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6735" w14:paraId="577A56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4B0D32" w14:textId="77777777" w:rsidR="00751A4A" w:rsidRPr="009F6735" w:rsidRDefault="003838FF" w:rsidP="0010095E">
            <w:pPr>
              <w:pStyle w:val="EPName"/>
            </w:pPr>
            <w:r w:rsidRPr="009F6735">
              <w:t>Evropský parlament</w:t>
            </w:r>
          </w:p>
          <w:p w14:paraId="1E45FB93" w14:textId="77777777" w:rsidR="00751A4A" w:rsidRPr="009F67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6735">
              <w:t>2024</w:t>
            </w:r>
            <w:r w:rsidR="00817416" w:rsidRPr="009F6735">
              <w:t>-202</w:t>
            </w:r>
            <w:r w:rsidRPr="009F6735">
              <w:t>9</w:t>
            </w:r>
          </w:p>
        </w:tc>
        <w:tc>
          <w:tcPr>
            <w:tcW w:w="2268" w:type="dxa"/>
            <w:shd w:val="clear" w:color="auto" w:fill="auto"/>
          </w:tcPr>
          <w:p w14:paraId="7DD10A05" w14:textId="77777777" w:rsidR="00751A4A" w:rsidRPr="009F6735" w:rsidRDefault="00187494" w:rsidP="0010095E">
            <w:pPr>
              <w:pStyle w:val="EPLogo"/>
            </w:pPr>
            <w:r w:rsidRPr="009F6735">
              <w:rPr>
                <w:noProof/>
                <w:lang w:eastAsia="ja-JP"/>
              </w:rPr>
              <w:drawing>
                <wp:inline distT="0" distB="0" distL="0" distR="0" wp14:anchorId="5281E790" wp14:editId="5C9D63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5BEB5" w14:textId="77777777" w:rsidR="00D058B8" w:rsidRPr="009F6735" w:rsidRDefault="00D058B8" w:rsidP="004C5D52">
      <w:pPr>
        <w:pStyle w:val="LineTop"/>
      </w:pPr>
    </w:p>
    <w:p w14:paraId="5951DBDA" w14:textId="77777777" w:rsidR="00680577" w:rsidRPr="009F6735" w:rsidRDefault="003838FF" w:rsidP="00680577">
      <w:pPr>
        <w:pStyle w:val="EPBodyTA1"/>
      </w:pPr>
      <w:r w:rsidRPr="009F6735">
        <w:t>PŘIJATÉ TEXTY</w:t>
      </w:r>
    </w:p>
    <w:p w14:paraId="346C1994" w14:textId="77777777" w:rsidR="00D058B8" w:rsidRPr="009F6735" w:rsidRDefault="00D058B8" w:rsidP="00D058B8">
      <w:pPr>
        <w:pStyle w:val="LineBottom"/>
      </w:pPr>
    </w:p>
    <w:p w14:paraId="321E255F" w14:textId="38488FDB" w:rsidR="003838FF" w:rsidRPr="009F6735" w:rsidRDefault="003838FF" w:rsidP="003838FF">
      <w:pPr>
        <w:pStyle w:val="ATHeading1"/>
      </w:pPr>
      <w:bookmarkStart w:id="0" w:name="TANumber"/>
      <w:r w:rsidRPr="009F6735">
        <w:t>P10_</w:t>
      </w:r>
      <w:proofErr w:type="gramStart"/>
      <w:r w:rsidRPr="009F6735">
        <w:t>TA(</w:t>
      </w:r>
      <w:proofErr w:type="gramEnd"/>
      <w:r w:rsidRPr="009F6735">
        <w:t>2025)0</w:t>
      </w:r>
      <w:bookmarkEnd w:id="0"/>
      <w:r w:rsidR="009F6735">
        <w:t>293</w:t>
      </w:r>
    </w:p>
    <w:p w14:paraId="498C88D9" w14:textId="77777777" w:rsidR="003838FF" w:rsidRPr="009F6735" w:rsidRDefault="003838FF" w:rsidP="003838FF">
      <w:pPr>
        <w:pStyle w:val="ATHeading2"/>
      </w:pPr>
      <w:bookmarkStart w:id="1" w:name="title"/>
      <w:r w:rsidRPr="009F6735">
        <w:t>Návrh opravného rozpočtu č. 3/2025: úpravy prostředků na platby, aktualizace příjmů a další technické aktualizace</w:t>
      </w:r>
    </w:p>
    <w:p w14:paraId="2F6AD6C8" w14:textId="77777777" w:rsidR="003838FF" w:rsidRPr="009F6735" w:rsidRDefault="003838FF" w:rsidP="003838FF">
      <w:pPr>
        <w:rPr>
          <w:i/>
          <w:vanish/>
        </w:rPr>
      </w:pPr>
      <w:r w:rsidRPr="009F6735">
        <w:rPr>
          <w:i/>
        </w:rPr>
        <w:fldChar w:fldCharType="begin"/>
      </w:r>
      <w:r w:rsidRPr="009F6735">
        <w:rPr>
          <w:i/>
        </w:rPr>
        <w:instrText xml:space="preserve"> TC"(</w:instrText>
      </w:r>
      <w:bookmarkStart w:id="2" w:name="DocNumber"/>
      <w:r w:rsidRPr="009F6735">
        <w:rPr>
          <w:i/>
        </w:rPr>
        <w:instrText>A10-0237/2025</w:instrText>
      </w:r>
      <w:bookmarkEnd w:id="2"/>
      <w:r w:rsidRPr="009F6735">
        <w:rPr>
          <w:i/>
        </w:rPr>
        <w:instrText xml:space="preserve"> - Zpravodaj: Victor Negrescu)"\l3 \n&gt; \* MERGEFORMAT </w:instrText>
      </w:r>
      <w:r w:rsidRPr="009F6735">
        <w:rPr>
          <w:i/>
        </w:rPr>
        <w:fldChar w:fldCharType="end"/>
      </w:r>
    </w:p>
    <w:p w14:paraId="30BE8A5A" w14:textId="77777777" w:rsidR="003838FF" w:rsidRPr="009F6735" w:rsidRDefault="003838FF" w:rsidP="003838FF">
      <w:pPr>
        <w:rPr>
          <w:vanish/>
        </w:rPr>
      </w:pPr>
      <w:bookmarkStart w:id="3" w:name="Commission"/>
      <w:r w:rsidRPr="009F6735">
        <w:rPr>
          <w:vanish/>
        </w:rPr>
        <w:t>Rozpočtový výbor</w:t>
      </w:r>
      <w:bookmarkEnd w:id="3"/>
    </w:p>
    <w:p w14:paraId="18CE746A" w14:textId="77777777" w:rsidR="003838FF" w:rsidRPr="009F6735" w:rsidRDefault="003838FF" w:rsidP="003838FF">
      <w:pPr>
        <w:rPr>
          <w:vanish/>
        </w:rPr>
      </w:pPr>
      <w:bookmarkStart w:id="4" w:name="PE"/>
      <w:r w:rsidRPr="009F6735">
        <w:rPr>
          <w:vanish/>
        </w:rPr>
        <w:t>PE778.228</w:t>
      </w:r>
      <w:bookmarkEnd w:id="4"/>
    </w:p>
    <w:p w14:paraId="4354D88E" w14:textId="524D3360" w:rsidR="003838FF" w:rsidRPr="009F6735" w:rsidRDefault="003838FF" w:rsidP="00AC10A9">
      <w:pPr>
        <w:pStyle w:val="ATHeading3"/>
      </w:pPr>
      <w:bookmarkStart w:id="5" w:name="Sujet"/>
      <w:r w:rsidRPr="009F6735">
        <w:t>Usnesení Evropského parlamentu ze dne</w:t>
      </w:r>
      <w:r w:rsidR="00772190" w:rsidRPr="009F6735">
        <w:t xml:space="preserve"> </w:t>
      </w:r>
      <w:r w:rsidR="00AC10A9" w:rsidRPr="009F6735">
        <w:t>26</w:t>
      </w:r>
      <w:r w:rsidR="00772190" w:rsidRPr="009F6735">
        <w:t>. listopadu</w:t>
      </w:r>
      <w:r w:rsidRPr="009F6735">
        <w:t xml:space="preserve"> 2025 o postoji Rady k návrhu opravného rozpočtu č. 3</w:t>
      </w:r>
      <w:r w:rsidR="009F6735" w:rsidRPr="009F6735">
        <w:t xml:space="preserve"> </w:t>
      </w:r>
      <w:r w:rsidR="00AC10A9" w:rsidRPr="009F6735">
        <w:t xml:space="preserve">k souhrnnému rozpočtu </w:t>
      </w:r>
      <w:r w:rsidRPr="009F6735">
        <w:t>na rok 2025</w:t>
      </w:r>
      <w:r w:rsidR="00941428" w:rsidRPr="009F6735">
        <w:t>:</w:t>
      </w:r>
      <w:r w:rsidRPr="009F6735">
        <w:t xml:space="preserve"> úprava prostředků na platby, aktualizace příjmů a další technické aktualizace</w:t>
      </w:r>
      <w:bookmarkEnd w:id="5"/>
      <w:r w:rsidRPr="009F6735">
        <w:t xml:space="preserve"> </w:t>
      </w:r>
      <w:bookmarkStart w:id="6" w:name="References"/>
      <w:r w:rsidRPr="009F6735">
        <w:t>(14878/2025 – C10-0301/</w:t>
      </w:r>
      <w:proofErr w:type="gramStart"/>
      <w:r w:rsidRPr="009F6735">
        <w:t>2025 – 2025</w:t>
      </w:r>
      <w:proofErr w:type="gramEnd"/>
      <w:r w:rsidRPr="009F6735">
        <w:t>/0319(BUD))</w:t>
      </w:r>
      <w:bookmarkEnd w:id="6"/>
    </w:p>
    <w:p w14:paraId="6349140D" w14:textId="21FB0258" w:rsidR="00A470E0" w:rsidRPr="009F6735" w:rsidRDefault="00A470E0" w:rsidP="00A470E0">
      <w:pPr>
        <w:pStyle w:val="EPComma"/>
      </w:pPr>
      <w:bookmarkStart w:id="7" w:name="TextBodyBegin"/>
      <w:bookmarkEnd w:id="1"/>
      <w:bookmarkEnd w:id="7"/>
      <w:r w:rsidRPr="009F6735">
        <w:rPr>
          <w:i/>
        </w:rPr>
        <w:t>Evropský parlament</w:t>
      </w:r>
      <w:r w:rsidRPr="009F6735">
        <w:t>,</w:t>
      </w:r>
    </w:p>
    <w:p w14:paraId="05932253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článek 314 Smlouvy o fungování Evropské unie,</w:t>
      </w:r>
    </w:p>
    <w:p w14:paraId="78987755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článek 106a Smlouvy o založení Evropského společenství pro atomovou energii,</w:t>
      </w:r>
    </w:p>
    <w:p w14:paraId="0C26E607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nařízení Evropského parlamentu a Rady (EU, Euratom) 2024/2509 ze dne 23. září 2024, kterým se stanoví finanční pravidla pro souhrnný rozpočet Unie</w:t>
      </w:r>
      <w:r w:rsidRPr="009F6735">
        <w:rPr>
          <w:rStyle w:val="FootnoteReference"/>
        </w:rPr>
        <w:footnoteReference w:id="1"/>
      </w:r>
      <w:r w:rsidRPr="009F6735">
        <w:t>, a zejména na článek 44 tohoto nařízení,</w:t>
      </w:r>
    </w:p>
    <w:p w14:paraId="4B534E9E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souhrnný rozpočet Evropské unie na rozpočtový rok 2025 přijatý s konečnou platností dne 27. listopadu 2024</w:t>
      </w:r>
      <w:r w:rsidRPr="009F6735">
        <w:rPr>
          <w:rStyle w:val="FootnoteReference"/>
        </w:rPr>
        <w:footnoteReference w:id="2"/>
      </w:r>
      <w:r w:rsidRPr="009F6735">
        <w:t>,</w:t>
      </w:r>
    </w:p>
    <w:p w14:paraId="55FBE674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nařízení Rady (EU, Euratom) 2020/2093 ze dne 17. prosince 2020, kterým se stanoví víceletý finanční rámec na období 2021–2027</w:t>
      </w:r>
      <w:r w:rsidRPr="009F6735">
        <w:rPr>
          <w:rStyle w:val="FootnoteReference"/>
        </w:rPr>
        <w:footnoteReference w:id="3"/>
      </w:r>
      <w:r w:rsidRPr="009F6735">
        <w:t>,</w:t>
      </w:r>
    </w:p>
    <w:p w14:paraId="3BC4CEED" w14:textId="6C028FE2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interinstitucionální dohodu ze dne 16. prosince 2020 mezi Evropským parlamentem, Radou a Komisí o rozpočtové kázni, spolupráci v rozpočtových záležitostech a řádném finančním řízení, jakož i o nových vlastních zdrojích, včetně plánu zavádění nových vlastních zdrojů</w:t>
      </w:r>
      <w:r w:rsidRPr="009F6735">
        <w:rPr>
          <w:rStyle w:val="FootnoteReference"/>
        </w:rPr>
        <w:footnoteReference w:id="4"/>
      </w:r>
      <w:r w:rsidR="00941428" w:rsidRPr="009F6735">
        <w:t xml:space="preserve"> (dále jen „interinstitucionální dohoda“)</w:t>
      </w:r>
      <w:r w:rsidRPr="009F6735">
        <w:t>,</w:t>
      </w:r>
    </w:p>
    <w:p w14:paraId="08432B53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 xml:space="preserve">s ohledem na rozhodnutí Rady (EU, Euratom) 2020/2053 ze dne 14. prosince 2020 </w:t>
      </w:r>
      <w:r w:rsidRPr="009F6735">
        <w:lastRenderedPageBreak/>
        <w:t>o systému vlastních zdrojů Evropské unie a o zrušení rozhodnutí 2014/335/EU, Euratom</w:t>
      </w:r>
      <w:r w:rsidRPr="009F6735">
        <w:rPr>
          <w:rStyle w:val="FootnoteReference"/>
        </w:rPr>
        <w:footnoteReference w:id="5"/>
      </w:r>
      <w:r w:rsidRPr="009F6735">
        <w:t>,</w:t>
      </w:r>
    </w:p>
    <w:p w14:paraId="13E1BEBC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návrh opravného rozpočtu č. 3/2025, který Komise přijala dne 3. října 2025 (</w:t>
      </w:r>
      <w:proofErr w:type="gramStart"/>
      <w:r w:rsidRPr="009F6735">
        <w:t>COM(</w:t>
      </w:r>
      <w:proofErr w:type="gramEnd"/>
      <w:r w:rsidRPr="009F6735">
        <w:t>2025)0850),</w:t>
      </w:r>
    </w:p>
    <w:p w14:paraId="565EF2E2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postoj k návrhu opravného rozpočtu č. 3/2025, který Rada přijala dne 17. listopadu 2025 a postoupila téhož dne Evropskému parlamentu (14878/2025 – C10</w:t>
      </w:r>
      <w:r w:rsidRPr="009F6735">
        <w:noBreakHyphen/>
        <w:t>0301/2025),</w:t>
      </w:r>
    </w:p>
    <w:p w14:paraId="1398B7F9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články 96 a 98 jednacího řádu,</w:t>
      </w:r>
    </w:p>
    <w:p w14:paraId="64D68633" w14:textId="77777777" w:rsidR="00A470E0" w:rsidRPr="009F6735" w:rsidRDefault="00A470E0" w:rsidP="00A470E0">
      <w:pPr>
        <w:pStyle w:val="NormalHanging12a"/>
      </w:pPr>
      <w:r w:rsidRPr="009F6735">
        <w:t>–</w:t>
      </w:r>
      <w:r w:rsidRPr="009F6735">
        <w:tab/>
        <w:t>s ohledem na zprávu Rozpočtového výboru (A10</w:t>
      </w:r>
      <w:r w:rsidRPr="009F6735">
        <w:noBreakHyphen/>
        <w:t>0237/2025),</w:t>
      </w:r>
    </w:p>
    <w:p w14:paraId="14E73BF4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A.</w:t>
      </w:r>
      <w:r w:rsidRPr="009F6735">
        <w:rPr>
          <w:color w:val="000000"/>
        </w:rPr>
        <w:tab/>
        <w:t xml:space="preserve">vzhledem k tomu, že cílem návrhu opravného rozpočtu č. 3/2025 je aktualizovat příjmovou stranu rozpočtu s ohledem na nejnovější vývoj, upravit výdajovou stranu rozpočtu ve vztahu k prostředkům na </w:t>
      </w:r>
      <w:proofErr w:type="gramStart"/>
      <w:r w:rsidRPr="009F6735">
        <w:rPr>
          <w:color w:val="000000"/>
        </w:rPr>
        <w:t>platby</w:t>
      </w:r>
      <w:proofErr w:type="gramEnd"/>
      <w:r w:rsidRPr="009F6735">
        <w:rPr>
          <w:color w:val="000000"/>
        </w:rPr>
        <w:t xml:space="preserve"> a navíc upravit výdajovou stranu rozpočtu ve vztahu k řadě decentralizovaných agentur;</w:t>
      </w:r>
    </w:p>
    <w:p w14:paraId="05F3C8ED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B.</w:t>
      </w:r>
      <w:r w:rsidRPr="009F6735">
        <w:rPr>
          <w:color w:val="000000"/>
        </w:rPr>
        <w:tab/>
        <w:t>vzhledem k tomu, že z hlediska výdajů znamená návrh opravného rozpočtu č. 3/2025 čisté zvýšení o 123,7 milionu EUR v prostředcích na závazky a o 2,52 miliardy EUR v prostředcích na platby;</w:t>
      </w:r>
    </w:p>
    <w:p w14:paraId="746FD1EF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C.</w:t>
      </w:r>
      <w:r w:rsidRPr="009F6735">
        <w:rPr>
          <w:color w:val="000000"/>
        </w:rPr>
        <w:tab/>
        <w:t>vzhledem k tomu, že návrh opravného rozpočtu č. 3/2025 navrhuje řadu úprav ve financování decentralizovaných agentur v různých okruzích;</w:t>
      </w:r>
    </w:p>
    <w:p w14:paraId="00D5B39E" w14:textId="7C6480D3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D.</w:t>
      </w:r>
      <w:r w:rsidRPr="009F6735">
        <w:rPr>
          <w:color w:val="000000"/>
        </w:rPr>
        <w:tab/>
        <w:t xml:space="preserve">vzhledem k tomu, že na straně příjmů zapisuje návrh opravného rozpočtu č. 3/2025 do rozpočtu na rok 2025 konečné pokuty a penále uhrazené do září 2025 v celkové výši 1,19 miliardy EUR </w:t>
      </w:r>
      <w:r w:rsidR="00DD759C" w:rsidRPr="009F6735">
        <w:rPr>
          <w:color w:val="000000"/>
        </w:rPr>
        <w:t>i</w:t>
      </w:r>
      <w:r w:rsidRPr="009F6735">
        <w:rPr>
          <w:color w:val="000000"/>
        </w:rPr>
        <w:t xml:space="preserve"> dodatečné tradiční vlastní zdroje ve výši 1,3 miliardy EUR;</w:t>
      </w:r>
    </w:p>
    <w:p w14:paraId="21585631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E.</w:t>
      </w:r>
      <w:r w:rsidRPr="009F6735">
        <w:rPr>
          <w:color w:val="000000"/>
        </w:rPr>
        <w:tab/>
        <w:t>vzhledem k tomu, že v důsledku těchto úprav jsou na pokrytí potřeb plateb zapotřebí dodatečné příspěvky založené na HND ve výši 31,9 milionu EUR;</w:t>
      </w:r>
    </w:p>
    <w:p w14:paraId="54EF6C91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1.</w:t>
      </w:r>
      <w:r w:rsidRPr="009F6735">
        <w:rPr>
          <w:color w:val="000000"/>
        </w:rPr>
        <w:tab/>
        <w:t>bere na vědomí návrh opravného rozpočtu č. 3/2025, jak jej předložila Komise, a zejména celkově velmi malý dopad na příspěvky členských států založené na HND, v důsledku rovnováhy mezi vyššími potřebami plateb a dodatečnými toky příjmů;</w:t>
      </w:r>
    </w:p>
    <w:p w14:paraId="0024E90F" w14:textId="36AF144A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2.</w:t>
      </w:r>
      <w:r w:rsidRPr="009F6735">
        <w:rPr>
          <w:color w:val="000000"/>
        </w:rPr>
        <w:tab/>
        <w:t xml:space="preserve">vítá zvýšení prostředků na platby pro Evropský fond pro regionální rozvoj (EFRR) o 2 miliardy EUR </w:t>
      </w:r>
      <w:r w:rsidR="00DD759C" w:rsidRPr="009F6735">
        <w:rPr>
          <w:color w:val="000000"/>
        </w:rPr>
        <w:t xml:space="preserve">ve spojení </w:t>
      </w:r>
      <w:r w:rsidRPr="009F6735">
        <w:rPr>
          <w:color w:val="000000"/>
        </w:rPr>
        <w:t xml:space="preserve">s navýšením prostředků na společnou zemědělskou politiku </w:t>
      </w:r>
      <w:r w:rsidR="00AC10A9" w:rsidRPr="009F6735">
        <w:rPr>
          <w:color w:val="000000"/>
        </w:rPr>
        <w:t xml:space="preserve">(SZP) </w:t>
      </w:r>
      <w:r w:rsidRPr="009F6735">
        <w:rPr>
          <w:color w:val="000000"/>
        </w:rPr>
        <w:t>v letošním globálním převodu (DEC 15/25) jako známku toho, že provádění programu se po znepokojivě pomalém začátku v období 2021–2027 zrychluje; zdůrazňuje, že posílení strukturálních fondů a prostředků SZP má klíčový význam pro zachování kontinuity režimů podpory zemědělství, potravinové zabezpečení a podporu udržitelného rozvoje venkova; konstatuje, že tato opatření jsou obzvláště důležitá pro posílení odolnosti zemědělského odvětví a zachování socioekonomické rovnováhy ve venkovských oblastech; připomíná, že tato navýšení doplňují úpravy prostředků na platby v rámci globálního převodu (DEC 15/2025);</w:t>
      </w:r>
    </w:p>
    <w:p w14:paraId="230D8F4F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3.</w:t>
      </w:r>
      <w:r w:rsidRPr="009F6735">
        <w:rPr>
          <w:color w:val="000000"/>
        </w:rPr>
        <w:tab/>
        <w:t xml:space="preserve">nadále naléhavě vyzývá k urychlenému provádění opatření v rámci EFRR, ESF+ a Nástroje pro finanční podporu správy hranic a vízové politiky; vítá rychlejší zavádění </w:t>
      </w:r>
      <w:r w:rsidRPr="009F6735">
        <w:rPr>
          <w:color w:val="000000"/>
        </w:rPr>
        <w:lastRenderedPageBreak/>
        <w:t xml:space="preserve">Platformy strategických technologií pro Evropu (STEP), než se očekávalo; </w:t>
      </w:r>
      <w:r w:rsidRPr="009F6735">
        <w:t xml:space="preserve">očekává, že </w:t>
      </w:r>
      <w:sdt>
        <w:sdtPr>
          <w:tag w:val="goog_rdk_2"/>
          <w:id w:val="1285891827"/>
        </w:sdtPr>
        <w:sdtEndPr/>
        <w:sdtContent>
          <w:r w:rsidRPr="009F6735">
            <w:t>dodatečné</w:t>
          </w:r>
        </w:sdtContent>
      </w:sdt>
      <w:r w:rsidRPr="009F6735">
        <w:t xml:space="preserve"> platby z platformy STEP ve výši více než 3 miliardy EUR budou rychle a účinně využity na specifické cíle podle příslušných základních aktů;</w:t>
      </w:r>
    </w:p>
    <w:p w14:paraId="5A3F9FA4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4.</w:t>
      </w:r>
      <w:r w:rsidRPr="009F6735">
        <w:rPr>
          <w:color w:val="000000"/>
        </w:rPr>
        <w:tab/>
        <w:t>bere na vědomí aktuální situaci, pokud jde o dohody o partnerství v oblasti udržitelného rybolovu, a vítá skutečnost, že v souladu s příslušnými ustanoveními interinstitucionální dohody hraje rozpočtový orgán aktivní roli při uvolňování prostředků z rezervy v závislosti na vstupu v platnost a uplatňování příslušných mezinárodních prováděcích protokolů;</w:t>
      </w:r>
    </w:p>
    <w:p w14:paraId="55DC4BEA" w14:textId="06BC813A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5.</w:t>
      </w:r>
      <w:r w:rsidRPr="009F6735">
        <w:rPr>
          <w:color w:val="000000"/>
        </w:rPr>
        <w:tab/>
        <w:t>vyjadřuje politování nad snížením prostředků na závazky (78 milionů EUR) a na platby (48 milionů EUR) u Nástroje pro finanční podporu vybavení pro celní kontroly v důsledku zpoždění při provádění v členských státech v </w:t>
      </w:r>
      <w:r w:rsidR="00DD759C" w:rsidRPr="009F6735">
        <w:rPr>
          <w:color w:val="000000"/>
        </w:rPr>
        <w:t>dobách</w:t>
      </w:r>
      <w:r w:rsidRPr="009F6735">
        <w:rPr>
          <w:color w:val="000000"/>
        </w:rPr>
        <w:t>, kdy by se spolupráci a investicím v této oblasti mělo dařit;</w:t>
      </w:r>
    </w:p>
    <w:p w14:paraId="7F593B14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6.</w:t>
      </w:r>
      <w:r w:rsidRPr="009F6735">
        <w:rPr>
          <w:color w:val="000000"/>
        </w:rPr>
        <w:tab/>
        <w:t>vítá úspory v závazcích (5 milionů EUR) u Nástroje pro technickou podporu z důvodu zvýšení efektivity díky konkurenčním zadávacím řízením;</w:t>
      </w:r>
    </w:p>
    <w:p w14:paraId="1D3C5DC3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7.</w:t>
      </w:r>
      <w:r w:rsidRPr="009F6735">
        <w:rPr>
          <w:color w:val="000000"/>
        </w:rPr>
        <w:tab/>
      </w:r>
      <w:sdt>
        <w:sdtPr>
          <w:tag w:val="goog_rdk_4"/>
          <w:id w:val="438155605"/>
        </w:sdtPr>
        <w:sdtEndPr/>
        <w:sdtContent>
          <w:sdt>
            <w:sdtPr>
              <w:tag w:val="goog_rdk_5"/>
              <w:id w:val="557417589"/>
            </w:sdtPr>
            <w:sdtEndPr/>
            <w:sdtContent>
              <w:r w:rsidRPr="009F6735">
                <w:t>bere na vědomí</w:t>
              </w:r>
            </w:sdtContent>
          </w:sdt>
        </w:sdtContent>
      </w:sdt>
      <w:r w:rsidRPr="009F6735">
        <w:t xml:space="preserve"> tempo provádění reforem a odpovídající zpomalení čerpání plateb v rámci Nástroje pro Ukrajinu;</w:t>
      </w:r>
      <w:r w:rsidRPr="009F6735">
        <w:rPr>
          <w:color w:val="000000"/>
        </w:rPr>
        <w:t xml:space="preserve"> </w:t>
      </w:r>
      <w:r w:rsidRPr="009F6735">
        <w:t xml:space="preserve">uznává, že část nevyčerpaných prostředků </w:t>
      </w:r>
      <w:sdt>
        <w:sdtPr>
          <w:tag w:val="goog_rdk_7"/>
          <w:id w:val="1769977353"/>
        </w:sdtPr>
        <w:sdtEndPr/>
        <w:sdtContent>
          <w:r w:rsidRPr="009F6735">
            <w:t>může</w:t>
          </w:r>
        </w:sdtContent>
      </w:sdt>
      <w:r w:rsidRPr="009F6735">
        <w:t xml:space="preserve"> být přenesena do následujícího rozpočtového roku;</w:t>
      </w:r>
      <w:r w:rsidRPr="009F6735">
        <w:rPr>
          <w:color w:val="000000"/>
        </w:rPr>
        <w:t xml:space="preserve"> vybízí všechny zúčastněné strany, aby pokročily v opatřeních souvisejících s reformami a investicemi, jako jsou dohody o kombinování zdrojů;</w:t>
      </w:r>
    </w:p>
    <w:p w14:paraId="2FE5C01B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8.</w:t>
      </w:r>
      <w:r w:rsidRPr="009F6735">
        <w:rPr>
          <w:color w:val="000000"/>
        </w:rPr>
        <w:tab/>
        <w:t xml:space="preserve">bere na vědomí úpravy příspěvku Unie pro různé decentralizované agentury; domnívá se, že tyto úpravy jsou převážně technické povahy; tyto úpravy vítá, pokud optimalizují využívání zdrojů v rámci operačních položek, jako je LIFE, AMIF nebo Program pro jednotný trh; vyjadřuje však politování nad tím, že hlavním důvodem pro „vracení“ prostředků na závazky a platby z položek příslušných agentur do položek souvisejících programů je zpoždění při náboru zaměstnanců nebo zpoždění při zavádění nových politických a legislativních iniciativ, jako je Strategie pro retailové investice (což se týká ESMA a EIOPA), Pakt o migraci a azylu (týká se EUAA), balíček o námořní bezpečnosti (týká se EMSA) nebo návrh o nových </w:t>
      </w:r>
      <w:proofErr w:type="spellStart"/>
      <w:r w:rsidRPr="009F6735">
        <w:rPr>
          <w:color w:val="000000"/>
        </w:rPr>
        <w:t>genomických</w:t>
      </w:r>
      <w:proofErr w:type="spellEnd"/>
      <w:r w:rsidRPr="009F6735">
        <w:rPr>
          <w:color w:val="000000"/>
        </w:rPr>
        <w:t xml:space="preserve"> technikách (týká se EFSA);</w:t>
      </w:r>
    </w:p>
    <w:p w14:paraId="1C07A37A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9.</w:t>
      </w:r>
      <w:r w:rsidRPr="009F6735">
        <w:rPr>
          <w:color w:val="000000"/>
        </w:rPr>
        <w:tab/>
        <w:t xml:space="preserve">v této souvislosti zdůrazňuje a znovu vyjadřuje svou důraznou podporu nově zřízenému Orgánu pro boj proti praní peněz (AMLA) v revidovaném rámci pro boj proti praní peněz na úrovni Unie; </w:t>
      </w:r>
      <w:r w:rsidRPr="009F6735">
        <w:t>je i nadále hluboce znepokojen pokračujícími zpožděními ve fázi zřizování, zejména v souvislosti s náborem</w:t>
      </w:r>
      <w:sdt>
        <w:sdtPr>
          <w:tag w:val="goog_rdk_18"/>
          <w:id w:val="-1528576562"/>
        </w:sdtPr>
        <w:sdtEndPr/>
        <w:sdtContent>
          <w:r w:rsidRPr="009F6735">
            <w:t>, a vyzývá k urychlení příslušných procesů přijímání nových zaměstnanců</w:t>
          </w:r>
        </w:sdtContent>
      </w:sdt>
      <w:r w:rsidRPr="009F6735">
        <w:t>;</w:t>
      </w:r>
    </w:p>
    <w:p w14:paraId="3E0E20EE" w14:textId="77777777" w:rsidR="00FB6AD8" w:rsidRDefault="00FB6AD8" w:rsidP="00A470E0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A470E0" w:rsidRPr="009F6735">
        <w:rPr>
          <w:color w:val="000000"/>
        </w:rPr>
        <w:t>10.</w:t>
      </w:r>
      <w:r w:rsidR="00A470E0" w:rsidRPr="009F6735">
        <w:rPr>
          <w:color w:val="000000"/>
        </w:rPr>
        <w:tab/>
        <w:t>vítá začleněn</w:t>
      </w:r>
      <w:r w:rsidR="00DD759C" w:rsidRPr="009F6735">
        <w:rPr>
          <w:color w:val="000000"/>
        </w:rPr>
        <w:t>í</w:t>
      </w:r>
      <w:r w:rsidR="00A470E0" w:rsidRPr="009F6735">
        <w:rPr>
          <w:color w:val="000000"/>
        </w:rPr>
        <w:t xml:space="preserve"> dodatečn</w:t>
      </w:r>
      <w:r w:rsidR="00DD759C" w:rsidRPr="009F6735">
        <w:rPr>
          <w:color w:val="000000"/>
        </w:rPr>
        <w:t>ých</w:t>
      </w:r>
      <w:r w:rsidR="00A470E0" w:rsidRPr="009F6735">
        <w:rPr>
          <w:color w:val="000000"/>
        </w:rPr>
        <w:t xml:space="preserve"> příjm</w:t>
      </w:r>
      <w:r w:rsidR="00DD759C" w:rsidRPr="009F6735">
        <w:rPr>
          <w:color w:val="000000"/>
        </w:rPr>
        <w:t>ů</w:t>
      </w:r>
      <w:r w:rsidR="00A470E0" w:rsidRPr="009F6735">
        <w:rPr>
          <w:color w:val="000000"/>
        </w:rPr>
        <w:t xml:space="preserve"> plynoucí</w:t>
      </w:r>
      <w:r w:rsidR="00DD759C" w:rsidRPr="009F6735">
        <w:rPr>
          <w:color w:val="000000"/>
        </w:rPr>
        <w:t>ch</w:t>
      </w:r>
      <w:r w:rsidR="00A470E0" w:rsidRPr="009F6735">
        <w:rPr>
          <w:color w:val="000000"/>
        </w:rPr>
        <w:t xml:space="preserve"> z plateb konečných pokut a penále ve výši 1 185,1 milionu EUR</w:t>
      </w:r>
      <w:r w:rsidR="00DD759C" w:rsidRPr="009F6735">
        <w:rPr>
          <w:color w:val="000000"/>
        </w:rPr>
        <w:t xml:space="preserve"> do rozpočtu</w:t>
      </w:r>
      <w:r w:rsidR="00A470E0" w:rsidRPr="009F6735">
        <w:rPr>
          <w:color w:val="000000"/>
        </w:rPr>
        <w:t xml:space="preserve">; považuje tyto částky za skutečné zdroje příjmů Unie, které snižují příspěvky členských států založené na HND; v této souvislosti připomíná, že Komise navrhla změny pro </w:t>
      </w:r>
      <w:r w:rsidR="00AC10A9" w:rsidRPr="009F6735">
        <w:rPr>
          <w:color w:val="000000"/>
        </w:rPr>
        <w:t xml:space="preserve">období </w:t>
      </w:r>
      <w:r w:rsidR="00A470E0" w:rsidRPr="009F6735">
        <w:rPr>
          <w:color w:val="000000"/>
        </w:rPr>
        <w:t>příští</w:t>
      </w:r>
      <w:r w:rsidR="00AC10A9" w:rsidRPr="009F6735">
        <w:rPr>
          <w:color w:val="000000"/>
        </w:rPr>
        <w:t>ho</w:t>
      </w:r>
      <w:r w:rsidR="00A470E0" w:rsidRPr="009F6735">
        <w:rPr>
          <w:color w:val="000000"/>
        </w:rPr>
        <w:t xml:space="preserve"> </w:t>
      </w:r>
      <w:r w:rsidR="00AC10A9" w:rsidRPr="009F6735">
        <w:rPr>
          <w:color w:val="000000"/>
        </w:rPr>
        <w:t xml:space="preserve">víceletého finančního rámce </w:t>
      </w:r>
      <w:r w:rsidR="00A470E0" w:rsidRPr="009F6735">
        <w:rPr>
          <w:color w:val="000000"/>
        </w:rPr>
        <w:t>s cílem zajistit, aby tyto mimořádné příjmy mohly vést k dodatečným prostředkům na výdaje;</w:t>
      </w:r>
    </w:p>
    <w:p w14:paraId="54012B61" w14:textId="0973E468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11.</w:t>
      </w:r>
      <w:r w:rsidRPr="009F6735">
        <w:rPr>
          <w:color w:val="000000"/>
        </w:rPr>
        <w:tab/>
        <w:t xml:space="preserve">bere na vědomí návrh na zapsání odhadovaného „přebytku tradičních vlastních zdrojů“ ve výši 1 300 milionů EUR do rozpočtu; vyjadřuje pochybnosti o přínosu opakovaných aktualizací příjmů plynoucích z cel v průběhu rozpočtového roku, zejména mimo rámec </w:t>
      </w:r>
      <w:r w:rsidRPr="009F6735">
        <w:rPr>
          <w:color w:val="000000"/>
        </w:rPr>
        <w:lastRenderedPageBreak/>
        <w:t>ročního opravného rozpočtu, který má aktualizovat a </w:t>
      </w:r>
      <w:proofErr w:type="spellStart"/>
      <w:r w:rsidRPr="009F6735">
        <w:rPr>
          <w:color w:val="000000"/>
        </w:rPr>
        <w:t>regularizovat</w:t>
      </w:r>
      <w:proofErr w:type="spellEnd"/>
      <w:r w:rsidRPr="009F6735">
        <w:rPr>
          <w:color w:val="000000"/>
        </w:rPr>
        <w:t xml:space="preserve"> stranu příjmů;</w:t>
      </w:r>
    </w:p>
    <w:p w14:paraId="4BEA11F6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t>12.</w:t>
      </w:r>
      <w:r w:rsidRPr="009F6735">
        <w:tab/>
        <w:t>bere na vědomí aktualizaci úprav platů za rok 2025 a souhlasí s tím, že rozpočtový dopad těchto úprav začlení do návrhu opravného rozpočtu č. 3/2025 jako technickou změnu; konstatuje, že to znamená snížení o celkem 78,8 milionu EUR v nerozlišených prostředcích v příslušných rozpočtových položkách a oddílech okruhu 7;</w:t>
      </w:r>
    </w:p>
    <w:p w14:paraId="6DBFEF85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13.</w:t>
      </w:r>
      <w:r w:rsidRPr="009F6735">
        <w:rPr>
          <w:color w:val="000000"/>
        </w:rPr>
        <w:tab/>
        <w:t>schvaluje postoj Rady k návrhu opravného rozpočtu č. 3/2025;</w:t>
      </w:r>
    </w:p>
    <w:p w14:paraId="7754A365" w14:textId="77777777" w:rsidR="00A470E0" w:rsidRPr="009F6735" w:rsidRDefault="00A470E0" w:rsidP="00A470E0">
      <w:pPr>
        <w:spacing w:after="240"/>
        <w:ind w:left="567" w:hanging="567"/>
        <w:rPr>
          <w:color w:val="000000"/>
        </w:rPr>
      </w:pPr>
      <w:r w:rsidRPr="009F6735">
        <w:rPr>
          <w:color w:val="000000"/>
        </w:rPr>
        <w:t>14.</w:t>
      </w:r>
      <w:r w:rsidRPr="009F6735">
        <w:rPr>
          <w:color w:val="000000"/>
        </w:rPr>
        <w:tab/>
        <w:t>pověřuje svou předsedkyni, aby prohlásila opravný rozpočet č. 3/2025 za přijatý s konečnou platností a aby zajistila jeho zveřejnění v </w:t>
      </w:r>
      <w:r w:rsidRPr="009F6735">
        <w:rPr>
          <w:i/>
          <w:color w:val="000000"/>
        </w:rPr>
        <w:t>Úředním věstníku Evropské unie;</w:t>
      </w:r>
    </w:p>
    <w:p w14:paraId="050D510E" w14:textId="5BE97F1C" w:rsidR="0044686D" w:rsidRPr="009F6735" w:rsidRDefault="00A470E0" w:rsidP="0044686D">
      <w:pPr>
        <w:spacing w:after="240"/>
        <w:ind w:left="567" w:hanging="567"/>
        <w:rPr>
          <w:sz w:val="28"/>
          <w:lang w:eastAsia="fr-FR"/>
        </w:rPr>
      </w:pPr>
      <w:r w:rsidRPr="009F6735">
        <w:rPr>
          <w:color w:val="000000"/>
        </w:rPr>
        <w:t>15.</w:t>
      </w:r>
      <w:r w:rsidRPr="009F6735">
        <w:rPr>
          <w:color w:val="000000"/>
        </w:rPr>
        <w:tab/>
        <w:t>pověřuje svou předsedkyni, aby předala toto usnesení Radě a Komisi, jakož i vnitrostátním parlamentům.</w:t>
      </w:r>
    </w:p>
    <w:p w14:paraId="1D2BC7FC" w14:textId="4B4CD800" w:rsidR="00E365E1" w:rsidRPr="009F6735" w:rsidRDefault="00E365E1" w:rsidP="00A470E0">
      <w:pPr>
        <w:rPr>
          <w:sz w:val="28"/>
          <w:lang w:eastAsia="fr-FR"/>
        </w:rPr>
      </w:pPr>
    </w:p>
    <w:sectPr w:rsidR="00E365E1" w:rsidRPr="009F6735" w:rsidSect="004468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D64D" w14:textId="77777777" w:rsidR="003838FF" w:rsidRPr="0044686D" w:rsidRDefault="003838FF">
      <w:r w:rsidRPr="0044686D">
        <w:separator/>
      </w:r>
    </w:p>
  </w:endnote>
  <w:endnote w:type="continuationSeparator" w:id="0">
    <w:p w14:paraId="33AA2093" w14:textId="77777777" w:rsidR="003838FF" w:rsidRPr="0044686D" w:rsidRDefault="003838FF">
      <w:r w:rsidRPr="004468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5EA1C" w14:textId="77777777" w:rsidR="00064002" w:rsidRPr="004468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8FA5" w14:textId="77777777" w:rsidR="00064002" w:rsidRPr="004468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C7B61" w14:textId="77777777" w:rsidR="00064002" w:rsidRPr="004468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F6C67" w14:textId="77777777" w:rsidR="003838FF" w:rsidRPr="0044686D" w:rsidRDefault="003838FF">
      <w:r w:rsidRPr="0044686D">
        <w:separator/>
      </w:r>
    </w:p>
  </w:footnote>
  <w:footnote w:type="continuationSeparator" w:id="0">
    <w:p w14:paraId="7EBCE19B" w14:textId="77777777" w:rsidR="003838FF" w:rsidRPr="0044686D" w:rsidRDefault="003838FF">
      <w:r w:rsidRPr="0044686D">
        <w:continuationSeparator/>
      </w:r>
    </w:p>
  </w:footnote>
  <w:footnote w:id="1">
    <w:p w14:paraId="1A83570A" w14:textId="6EEE4100" w:rsidR="00A470E0" w:rsidRPr="009F6735" w:rsidRDefault="00A470E0" w:rsidP="0044686D">
      <w:pPr>
        <w:pStyle w:val="FootnoteText"/>
        <w:ind w:left="567" w:hanging="567"/>
        <w:rPr>
          <w:sz w:val="24"/>
          <w:szCs w:val="24"/>
          <w:lang w:val="cs-CZ"/>
        </w:rPr>
      </w:pPr>
      <w:r w:rsidRPr="0044686D">
        <w:rPr>
          <w:rStyle w:val="FootnoteReference"/>
          <w:sz w:val="24"/>
          <w:lang w:val="cs-CZ"/>
        </w:rPr>
        <w:footnoteRef/>
      </w:r>
      <w:r w:rsidR="0044686D" w:rsidRPr="0044686D">
        <w:rPr>
          <w:sz w:val="24"/>
          <w:lang w:val="cs-CZ"/>
        </w:rPr>
        <w:t xml:space="preserve"> </w:t>
      </w:r>
      <w:r w:rsidR="0044686D" w:rsidRPr="0044686D">
        <w:rPr>
          <w:sz w:val="24"/>
          <w:lang w:val="cs-CZ"/>
        </w:rPr>
        <w:tab/>
      </w:r>
      <w:proofErr w:type="spellStart"/>
      <w:r w:rsidRPr="009F6735">
        <w:rPr>
          <w:sz w:val="24"/>
          <w:szCs w:val="24"/>
          <w:lang w:val="cs-CZ"/>
        </w:rPr>
        <w:t>Úř</w:t>
      </w:r>
      <w:proofErr w:type="spellEnd"/>
      <w:r w:rsidRPr="009F6735">
        <w:rPr>
          <w:sz w:val="24"/>
          <w:szCs w:val="24"/>
          <w:lang w:val="cs-CZ"/>
        </w:rPr>
        <w:t xml:space="preserve">. </w:t>
      </w:r>
      <w:proofErr w:type="spellStart"/>
      <w:r w:rsidRPr="009F6735">
        <w:rPr>
          <w:sz w:val="24"/>
          <w:szCs w:val="24"/>
          <w:lang w:val="cs-CZ"/>
        </w:rPr>
        <w:t>věst</w:t>
      </w:r>
      <w:proofErr w:type="spellEnd"/>
      <w:r w:rsidRPr="009F6735">
        <w:rPr>
          <w:sz w:val="24"/>
          <w:szCs w:val="24"/>
          <w:lang w:val="cs-CZ"/>
        </w:rPr>
        <w:t xml:space="preserve">. L, 2024/2509, 26.9.2024, ELI: </w:t>
      </w:r>
      <w:r w:rsidR="00FB6AD8">
        <w:fldChar w:fldCharType="begin"/>
      </w:r>
      <w:r w:rsidR="00FB6AD8" w:rsidRPr="00FB6AD8">
        <w:rPr>
          <w:lang w:val="fi-FI"/>
        </w:rPr>
        <w:instrText>HYPERLINK "http://data.europa.eu/eli/reg/2024/2509/oj"</w:instrText>
      </w:r>
      <w:r w:rsidR="00FB6AD8">
        <w:fldChar w:fldCharType="separate"/>
      </w:r>
      <w:r w:rsidRPr="009F6735">
        <w:rPr>
          <w:rStyle w:val="Hyperlink"/>
          <w:sz w:val="24"/>
          <w:szCs w:val="24"/>
          <w:lang w:val="cs-CZ"/>
        </w:rPr>
        <w:t>http://data.europa.eu/eli/reg/2024/2509/oj</w:t>
      </w:r>
      <w:r w:rsidR="00FB6AD8">
        <w:rPr>
          <w:rStyle w:val="Hyperlink"/>
          <w:sz w:val="24"/>
          <w:szCs w:val="24"/>
          <w:lang w:val="cs-CZ"/>
        </w:rPr>
        <w:fldChar w:fldCharType="end"/>
      </w:r>
      <w:r w:rsidRPr="009F6735">
        <w:rPr>
          <w:sz w:val="24"/>
          <w:szCs w:val="24"/>
          <w:lang w:val="cs-CZ"/>
        </w:rPr>
        <w:t>.</w:t>
      </w:r>
    </w:p>
  </w:footnote>
  <w:footnote w:id="2">
    <w:p w14:paraId="3BAEE051" w14:textId="57916B9B" w:rsidR="00A470E0" w:rsidRPr="009F6735" w:rsidRDefault="00A470E0" w:rsidP="0044686D">
      <w:pPr>
        <w:pStyle w:val="FootnoteText"/>
        <w:ind w:left="567" w:hanging="567"/>
        <w:rPr>
          <w:sz w:val="24"/>
          <w:szCs w:val="24"/>
          <w:lang w:val="cs-CZ"/>
        </w:rPr>
      </w:pPr>
      <w:r w:rsidRPr="009F6735">
        <w:rPr>
          <w:rStyle w:val="FootnoteReference"/>
          <w:sz w:val="24"/>
          <w:szCs w:val="24"/>
          <w:lang w:val="cs-CZ"/>
        </w:rPr>
        <w:footnoteRef/>
      </w:r>
      <w:r w:rsidR="0044686D" w:rsidRPr="009F6735">
        <w:rPr>
          <w:sz w:val="24"/>
          <w:szCs w:val="24"/>
          <w:lang w:val="cs-CZ"/>
        </w:rPr>
        <w:t xml:space="preserve"> </w:t>
      </w:r>
      <w:r w:rsidR="0044686D" w:rsidRPr="009F6735">
        <w:rPr>
          <w:sz w:val="24"/>
          <w:szCs w:val="24"/>
          <w:lang w:val="cs-CZ"/>
        </w:rPr>
        <w:tab/>
      </w:r>
      <w:proofErr w:type="spellStart"/>
      <w:r w:rsidRPr="009F6735">
        <w:rPr>
          <w:sz w:val="24"/>
          <w:szCs w:val="24"/>
          <w:lang w:val="cs-CZ"/>
        </w:rPr>
        <w:t>Úř</w:t>
      </w:r>
      <w:proofErr w:type="spellEnd"/>
      <w:r w:rsidRPr="009F6735">
        <w:rPr>
          <w:sz w:val="24"/>
          <w:szCs w:val="24"/>
          <w:lang w:val="cs-CZ"/>
        </w:rPr>
        <w:t xml:space="preserve">. </w:t>
      </w:r>
      <w:proofErr w:type="spellStart"/>
      <w:r w:rsidRPr="009F6735">
        <w:rPr>
          <w:sz w:val="24"/>
          <w:szCs w:val="24"/>
          <w:lang w:val="cs-CZ"/>
        </w:rPr>
        <w:t>věst</w:t>
      </w:r>
      <w:proofErr w:type="spellEnd"/>
      <w:r w:rsidRPr="009F6735">
        <w:rPr>
          <w:sz w:val="24"/>
          <w:szCs w:val="24"/>
          <w:lang w:val="cs-CZ"/>
        </w:rPr>
        <w:t xml:space="preserve">. L, 2025/31, 27.2.2025, ELI: </w:t>
      </w:r>
      <w:r w:rsidR="00FB6AD8">
        <w:fldChar w:fldCharType="begin"/>
      </w:r>
      <w:r w:rsidR="00FB6AD8" w:rsidRPr="00FB6AD8">
        <w:rPr>
          <w:lang w:val="fi-FI"/>
        </w:rPr>
        <w:instrText>HYPERLINK "http://data.europa.eu/eli/budget/2025/31/oj%20"</w:instrText>
      </w:r>
      <w:r w:rsidR="00FB6AD8">
        <w:fldChar w:fldCharType="separate"/>
      </w:r>
      <w:r w:rsidRPr="009F6735">
        <w:rPr>
          <w:rStyle w:val="Hyperlink"/>
          <w:sz w:val="24"/>
          <w:szCs w:val="24"/>
          <w:lang w:val="cs-CZ"/>
        </w:rPr>
        <w:t>http://data.europa.eu/eli/budget/2025/31/oj</w:t>
      </w:r>
      <w:r w:rsidR="00FB6AD8">
        <w:rPr>
          <w:rStyle w:val="Hyperlink"/>
          <w:sz w:val="24"/>
          <w:szCs w:val="24"/>
          <w:lang w:val="cs-CZ"/>
        </w:rPr>
        <w:fldChar w:fldCharType="end"/>
      </w:r>
      <w:r w:rsidRPr="009F6735">
        <w:rPr>
          <w:rStyle w:val="Hyperlink"/>
          <w:sz w:val="24"/>
          <w:szCs w:val="24"/>
          <w:lang w:val="cs-CZ"/>
        </w:rPr>
        <w:t>.</w:t>
      </w:r>
    </w:p>
  </w:footnote>
  <w:footnote w:id="3">
    <w:p w14:paraId="3EE05A6B" w14:textId="4351F5FD" w:rsidR="00A470E0" w:rsidRPr="009F6735" w:rsidRDefault="00A470E0" w:rsidP="0044686D">
      <w:pPr>
        <w:pStyle w:val="FootnoteText"/>
        <w:ind w:left="567" w:hanging="567"/>
        <w:rPr>
          <w:sz w:val="24"/>
          <w:szCs w:val="24"/>
          <w:lang w:val="cs-CZ"/>
        </w:rPr>
      </w:pPr>
      <w:r w:rsidRPr="009F6735">
        <w:rPr>
          <w:rStyle w:val="FootnoteReference"/>
          <w:sz w:val="24"/>
          <w:szCs w:val="24"/>
          <w:lang w:val="cs-CZ"/>
        </w:rPr>
        <w:footnoteRef/>
      </w:r>
      <w:r w:rsidR="0044686D" w:rsidRPr="009F6735">
        <w:rPr>
          <w:sz w:val="24"/>
          <w:szCs w:val="24"/>
          <w:lang w:val="cs-CZ"/>
        </w:rPr>
        <w:t xml:space="preserve"> </w:t>
      </w:r>
      <w:r w:rsidR="0044686D" w:rsidRPr="009F6735">
        <w:rPr>
          <w:sz w:val="24"/>
          <w:szCs w:val="24"/>
          <w:lang w:val="cs-CZ"/>
        </w:rPr>
        <w:tab/>
      </w:r>
      <w:proofErr w:type="spellStart"/>
      <w:r w:rsidRPr="009F6735">
        <w:rPr>
          <w:sz w:val="24"/>
          <w:szCs w:val="24"/>
          <w:lang w:val="cs-CZ"/>
        </w:rPr>
        <w:t>Úř</w:t>
      </w:r>
      <w:proofErr w:type="spellEnd"/>
      <w:r w:rsidRPr="009F6735">
        <w:rPr>
          <w:sz w:val="24"/>
          <w:szCs w:val="24"/>
          <w:lang w:val="cs-CZ"/>
        </w:rPr>
        <w:t xml:space="preserve">. </w:t>
      </w:r>
      <w:proofErr w:type="spellStart"/>
      <w:r w:rsidRPr="009F6735">
        <w:rPr>
          <w:sz w:val="24"/>
          <w:szCs w:val="24"/>
          <w:lang w:val="cs-CZ"/>
        </w:rPr>
        <w:t>věst</w:t>
      </w:r>
      <w:proofErr w:type="spellEnd"/>
      <w:r w:rsidRPr="009F6735">
        <w:rPr>
          <w:sz w:val="24"/>
          <w:szCs w:val="24"/>
          <w:lang w:val="cs-CZ"/>
        </w:rPr>
        <w:t xml:space="preserve">. L 433 I, 22.12.2020, s. 11, ELI: </w:t>
      </w:r>
      <w:r w:rsidR="00FB6AD8">
        <w:fldChar w:fldCharType="begin"/>
      </w:r>
      <w:r w:rsidR="00FB6AD8" w:rsidRPr="00FB6AD8">
        <w:rPr>
          <w:lang w:val="cs-CZ"/>
        </w:rPr>
        <w:instrText>HYPERLINK "http://data.europa.eu/eli/reg/2020/433/oj"</w:instrText>
      </w:r>
      <w:r w:rsidR="00FB6AD8">
        <w:fldChar w:fldCharType="separate"/>
      </w:r>
      <w:r w:rsidRPr="009F6735">
        <w:rPr>
          <w:rStyle w:val="Hyperlink"/>
          <w:sz w:val="24"/>
          <w:szCs w:val="24"/>
          <w:lang w:val="cs-CZ"/>
        </w:rPr>
        <w:t>http://data.europa.eu/eli/reg/2020/433/oj</w:t>
      </w:r>
      <w:r w:rsidR="00FB6AD8">
        <w:rPr>
          <w:rStyle w:val="Hyperlink"/>
          <w:sz w:val="24"/>
          <w:szCs w:val="24"/>
          <w:lang w:val="cs-CZ"/>
        </w:rPr>
        <w:fldChar w:fldCharType="end"/>
      </w:r>
      <w:r w:rsidRPr="009F6735">
        <w:rPr>
          <w:sz w:val="24"/>
          <w:szCs w:val="24"/>
          <w:lang w:val="cs-CZ"/>
        </w:rPr>
        <w:t>.</w:t>
      </w:r>
    </w:p>
  </w:footnote>
  <w:footnote w:id="4">
    <w:p w14:paraId="3FF9904A" w14:textId="3F52A52F" w:rsidR="00A470E0" w:rsidRPr="009F6735" w:rsidRDefault="00A470E0" w:rsidP="0044686D">
      <w:pPr>
        <w:pStyle w:val="FootnoteText"/>
        <w:ind w:left="567" w:hanging="567"/>
        <w:rPr>
          <w:sz w:val="24"/>
          <w:szCs w:val="24"/>
          <w:lang w:val="cs-CZ"/>
        </w:rPr>
      </w:pPr>
      <w:r w:rsidRPr="009F6735">
        <w:rPr>
          <w:rStyle w:val="FootnoteReference"/>
          <w:sz w:val="24"/>
          <w:szCs w:val="24"/>
          <w:lang w:val="cs-CZ"/>
        </w:rPr>
        <w:footnoteRef/>
      </w:r>
      <w:r w:rsidR="0044686D" w:rsidRPr="009F6735">
        <w:rPr>
          <w:sz w:val="24"/>
          <w:szCs w:val="24"/>
          <w:lang w:val="cs-CZ"/>
        </w:rPr>
        <w:t xml:space="preserve"> </w:t>
      </w:r>
      <w:r w:rsidR="0044686D" w:rsidRPr="009F6735">
        <w:rPr>
          <w:sz w:val="24"/>
          <w:szCs w:val="24"/>
          <w:lang w:val="cs-CZ"/>
        </w:rPr>
        <w:tab/>
      </w:r>
      <w:proofErr w:type="spellStart"/>
      <w:r w:rsidRPr="009F6735">
        <w:rPr>
          <w:sz w:val="24"/>
          <w:szCs w:val="24"/>
          <w:lang w:val="cs-CZ"/>
        </w:rPr>
        <w:t>Úř</w:t>
      </w:r>
      <w:proofErr w:type="spellEnd"/>
      <w:r w:rsidRPr="009F6735">
        <w:rPr>
          <w:sz w:val="24"/>
          <w:szCs w:val="24"/>
          <w:lang w:val="cs-CZ"/>
        </w:rPr>
        <w:t xml:space="preserve">. </w:t>
      </w:r>
      <w:proofErr w:type="spellStart"/>
      <w:r w:rsidRPr="009F6735">
        <w:rPr>
          <w:sz w:val="24"/>
          <w:szCs w:val="24"/>
          <w:lang w:val="cs-CZ"/>
        </w:rPr>
        <w:t>věst</w:t>
      </w:r>
      <w:proofErr w:type="spellEnd"/>
      <w:r w:rsidRPr="009F6735">
        <w:rPr>
          <w:sz w:val="24"/>
          <w:szCs w:val="24"/>
          <w:lang w:val="cs-CZ"/>
        </w:rPr>
        <w:t xml:space="preserve">. L 433 I, 22.12.2020, s. 28, ELI: </w:t>
      </w:r>
      <w:r w:rsidR="00FB6AD8">
        <w:fldChar w:fldCharType="begin"/>
      </w:r>
      <w:r w:rsidR="00FB6AD8" w:rsidRPr="00FB6AD8">
        <w:rPr>
          <w:lang w:val="fi-FI"/>
        </w:rPr>
        <w:instrText>HYPERLINK "http://data.europa.eu/eli/agree_interinstit/2020/1222/oj"</w:instrText>
      </w:r>
      <w:r w:rsidR="00FB6AD8">
        <w:fldChar w:fldCharType="separate"/>
      </w:r>
      <w:r w:rsidR="009F6735" w:rsidRPr="009F6735">
        <w:rPr>
          <w:rStyle w:val="Hyperlink"/>
          <w:sz w:val="24"/>
          <w:szCs w:val="24"/>
          <w:lang w:val="cs-CZ"/>
        </w:rPr>
        <w:t>http://data.europa.eu/eli/agree_interinstit/2020/1222/oj</w:t>
      </w:r>
      <w:r w:rsidR="00FB6AD8">
        <w:rPr>
          <w:rStyle w:val="Hyperlink"/>
          <w:sz w:val="24"/>
          <w:szCs w:val="24"/>
          <w:lang w:val="cs-CZ"/>
        </w:rPr>
        <w:fldChar w:fldCharType="end"/>
      </w:r>
      <w:r w:rsidRPr="009F6735">
        <w:rPr>
          <w:sz w:val="24"/>
          <w:szCs w:val="24"/>
          <w:lang w:val="cs-CZ"/>
        </w:rPr>
        <w:t>.</w:t>
      </w:r>
    </w:p>
  </w:footnote>
  <w:footnote w:id="5">
    <w:p w14:paraId="6421436B" w14:textId="5C0DFDC8" w:rsidR="00A470E0" w:rsidRPr="0044686D" w:rsidRDefault="00A470E0" w:rsidP="0044686D">
      <w:pPr>
        <w:pStyle w:val="FootnoteText"/>
        <w:ind w:left="567" w:hanging="567"/>
        <w:rPr>
          <w:sz w:val="24"/>
          <w:lang w:val="cs-CZ"/>
        </w:rPr>
      </w:pPr>
      <w:r w:rsidRPr="0044686D">
        <w:rPr>
          <w:rStyle w:val="FootnoteReference"/>
          <w:sz w:val="24"/>
          <w:lang w:val="cs-CZ"/>
        </w:rPr>
        <w:footnoteRef/>
      </w:r>
      <w:r w:rsidR="0044686D" w:rsidRPr="0044686D">
        <w:rPr>
          <w:sz w:val="24"/>
          <w:lang w:val="cs-CZ"/>
        </w:rPr>
        <w:t xml:space="preserve"> </w:t>
      </w:r>
      <w:r w:rsidR="0044686D" w:rsidRPr="0044686D">
        <w:rPr>
          <w:sz w:val="24"/>
          <w:lang w:val="cs-CZ"/>
        </w:rPr>
        <w:tab/>
      </w:r>
      <w:proofErr w:type="spellStart"/>
      <w:r w:rsidRPr="0044686D">
        <w:rPr>
          <w:sz w:val="24"/>
          <w:lang w:val="cs-CZ"/>
        </w:rPr>
        <w:t>Úř</w:t>
      </w:r>
      <w:proofErr w:type="spellEnd"/>
      <w:r w:rsidRPr="0044686D">
        <w:rPr>
          <w:sz w:val="24"/>
          <w:lang w:val="cs-CZ"/>
        </w:rPr>
        <w:t xml:space="preserve">. </w:t>
      </w:r>
      <w:proofErr w:type="spellStart"/>
      <w:r w:rsidRPr="0044686D">
        <w:rPr>
          <w:sz w:val="24"/>
          <w:lang w:val="cs-CZ"/>
        </w:rPr>
        <w:t>věst</w:t>
      </w:r>
      <w:proofErr w:type="spellEnd"/>
      <w:r w:rsidRPr="0044686D">
        <w:rPr>
          <w:sz w:val="24"/>
          <w:lang w:val="cs-CZ"/>
        </w:rPr>
        <w:t xml:space="preserve">. L 424, 15.12.2020, s. 1, ELI: </w:t>
      </w:r>
      <w:r w:rsidR="00FB6AD8">
        <w:fldChar w:fldCharType="begin"/>
      </w:r>
      <w:r w:rsidR="00FB6AD8" w:rsidRPr="00FB6AD8">
        <w:rPr>
          <w:lang w:val="fi-FI"/>
        </w:rPr>
        <w:instrText>HYPERLINK "http://data.europa.eu/eli/dec/2020/2053/oj"</w:instrText>
      </w:r>
      <w:r w:rsidR="00FB6AD8">
        <w:fldChar w:fldCharType="separate"/>
      </w:r>
      <w:r w:rsidRPr="0044686D">
        <w:rPr>
          <w:rStyle w:val="Hyperlink"/>
          <w:sz w:val="24"/>
          <w:lang w:val="cs-CZ"/>
        </w:rPr>
        <w:t>http://data.europa.eu/eli/dec/2020/2053/oj</w:t>
      </w:r>
      <w:r w:rsidR="00FB6AD8">
        <w:rPr>
          <w:rStyle w:val="Hyperlink"/>
          <w:sz w:val="24"/>
          <w:lang w:val="cs-CZ"/>
        </w:rPr>
        <w:fldChar w:fldCharType="end"/>
      </w:r>
      <w:r w:rsidRPr="0044686D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0ABB" w14:textId="77777777" w:rsidR="00064002" w:rsidRPr="004468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3426" w14:textId="77777777" w:rsidR="00064002" w:rsidRPr="004468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266E" w14:textId="77777777" w:rsidR="00064002" w:rsidRPr="004468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0943064">
    <w:abstractNumId w:val="9"/>
  </w:num>
  <w:num w:numId="2" w16cid:durableId="1511143343">
    <w:abstractNumId w:val="9"/>
  </w:num>
  <w:num w:numId="3" w16cid:durableId="519851530">
    <w:abstractNumId w:val="7"/>
  </w:num>
  <w:num w:numId="4" w16cid:durableId="1933934298">
    <w:abstractNumId w:val="7"/>
  </w:num>
  <w:num w:numId="5" w16cid:durableId="198131038">
    <w:abstractNumId w:val="6"/>
  </w:num>
  <w:num w:numId="6" w16cid:durableId="663438008">
    <w:abstractNumId w:val="6"/>
  </w:num>
  <w:num w:numId="7" w16cid:durableId="1668052128">
    <w:abstractNumId w:val="5"/>
  </w:num>
  <w:num w:numId="8" w16cid:durableId="79648256">
    <w:abstractNumId w:val="5"/>
  </w:num>
  <w:num w:numId="9" w16cid:durableId="2094357678">
    <w:abstractNumId w:val="4"/>
  </w:num>
  <w:num w:numId="10" w16cid:durableId="1907764247">
    <w:abstractNumId w:val="4"/>
  </w:num>
  <w:num w:numId="11" w16cid:durableId="565846957">
    <w:abstractNumId w:val="8"/>
  </w:num>
  <w:num w:numId="12" w16cid:durableId="1951861520">
    <w:abstractNumId w:val="8"/>
  </w:num>
  <w:num w:numId="13" w16cid:durableId="1398939468">
    <w:abstractNumId w:val="3"/>
  </w:num>
  <w:num w:numId="14" w16cid:durableId="275916036">
    <w:abstractNumId w:val="3"/>
  </w:num>
  <w:num w:numId="15" w16cid:durableId="918907144">
    <w:abstractNumId w:val="2"/>
  </w:num>
  <w:num w:numId="16" w16cid:durableId="927344869">
    <w:abstractNumId w:val="2"/>
  </w:num>
  <w:num w:numId="17" w16cid:durableId="421726746">
    <w:abstractNumId w:val="1"/>
  </w:num>
  <w:num w:numId="18" w16cid:durableId="1404792222">
    <w:abstractNumId w:val="1"/>
  </w:num>
  <w:num w:numId="19" w16cid:durableId="48454444">
    <w:abstractNumId w:val="0"/>
  </w:num>
  <w:num w:numId="20" w16cid:durableId="1586761605">
    <w:abstractNumId w:val="0"/>
  </w:num>
  <w:num w:numId="21" w16cid:durableId="1639141471">
    <w:abstractNumId w:val="9"/>
  </w:num>
  <w:num w:numId="22" w16cid:durableId="1154688992">
    <w:abstractNumId w:val="7"/>
  </w:num>
  <w:num w:numId="23" w16cid:durableId="319577933">
    <w:abstractNumId w:val="6"/>
  </w:num>
  <w:num w:numId="24" w16cid:durableId="1961498972">
    <w:abstractNumId w:val="5"/>
  </w:num>
  <w:num w:numId="25" w16cid:durableId="1864444">
    <w:abstractNumId w:val="4"/>
  </w:num>
  <w:num w:numId="26" w16cid:durableId="688990245">
    <w:abstractNumId w:val="8"/>
  </w:num>
  <w:num w:numId="27" w16cid:durableId="30032922">
    <w:abstractNumId w:val="3"/>
  </w:num>
  <w:num w:numId="28" w16cid:durableId="1613633086">
    <w:abstractNumId w:val="2"/>
  </w:num>
  <w:num w:numId="29" w16cid:durableId="430661443">
    <w:abstractNumId w:val="1"/>
  </w:num>
  <w:num w:numId="30" w16cid:durableId="322317425">
    <w:abstractNumId w:val="0"/>
  </w:num>
  <w:num w:numId="31" w16cid:durableId="1643540375">
    <w:abstractNumId w:val="9"/>
  </w:num>
  <w:num w:numId="32" w16cid:durableId="2003925477">
    <w:abstractNumId w:val="7"/>
  </w:num>
  <w:num w:numId="33" w16cid:durableId="1470198823">
    <w:abstractNumId w:val="6"/>
  </w:num>
  <w:num w:numId="34" w16cid:durableId="622689530">
    <w:abstractNumId w:val="5"/>
  </w:num>
  <w:num w:numId="35" w16cid:durableId="1527212261">
    <w:abstractNumId w:val="4"/>
  </w:num>
  <w:num w:numId="36" w16cid:durableId="1606693706">
    <w:abstractNumId w:val="8"/>
  </w:num>
  <w:num w:numId="37" w16cid:durableId="2103984046">
    <w:abstractNumId w:val="3"/>
  </w:num>
  <w:num w:numId="38" w16cid:durableId="1071846992">
    <w:abstractNumId w:val="2"/>
  </w:num>
  <w:num w:numId="39" w16cid:durableId="1349477797">
    <w:abstractNumId w:val="1"/>
  </w:num>
  <w:num w:numId="40" w16cid:durableId="141775985">
    <w:abstractNumId w:val="0"/>
  </w:num>
  <w:num w:numId="41" w16cid:durableId="505629034">
    <w:abstractNumId w:val="10"/>
  </w:num>
  <w:num w:numId="42" w16cid:durableId="1374187066">
    <w:abstractNumId w:val="10"/>
  </w:num>
  <w:num w:numId="43" w16cid:durableId="635063513">
    <w:abstractNumId w:val="10"/>
  </w:num>
  <w:num w:numId="44" w16cid:durableId="14716332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CS"/>
    <w:docVar w:name="dvnumam" w:val="0"/>
    <w:docVar w:name="dvpe" w:val="778.228"/>
    <w:docVar w:name="dvrapporteur" w:val="Zpravodaj: "/>
    <w:docVar w:name="dvtitre" w:val="Usnesení Evropského parlamentu ze dne.... 2025 o postoji Rady k návrhu opravného rozpočtu Evropské unie č. 3/2025 na rozpočtový rok 2025 – úprava prostředků na platby, aktualizace příjmů a další technické aktualizace(14878/2025 – C10-0301/2025 – 2025/0319(BUD))"/>
  </w:docVars>
  <w:rsids>
    <w:rsidRoot w:val="003838F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38FF"/>
    <w:rsid w:val="00395FA1"/>
    <w:rsid w:val="003E15D4"/>
    <w:rsid w:val="00411CCE"/>
    <w:rsid w:val="0041666E"/>
    <w:rsid w:val="00421060"/>
    <w:rsid w:val="0044686D"/>
    <w:rsid w:val="00471C19"/>
    <w:rsid w:val="004867E3"/>
    <w:rsid w:val="00494A28"/>
    <w:rsid w:val="004C0004"/>
    <w:rsid w:val="004C5D52"/>
    <w:rsid w:val="0050519A"/>
    <w:rsid w:val="005072A1"/>
    <w:rsid w:val="00514517"/>
    <w:rsid w:val="00534DD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19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1D1"/>
    <w:rsid w:val="008C2AC6"/>
    <w:rsid w:val="00905F0B"/>
    <w:rsid w:val="00930C23"/>
    <w:rsid w:val="0093193B"/>
    <w:rsid w:val="00941428"/>
    <w:rsid w:val="009509D8"/>
    <w:rsid w:val="00950B64"/>
    <w:rsid w:val="00981893"/>
    <w:rsid w:val="009F6735"/>
    <w:rsid w:val="00A1687D"/>
    <w:rsid w:val="00A43E52"/>
    <w:rsid w:val="00A4678D"/>
    <w:rsid w:val="00A470E0"/>
    <w:rsid w:val="00A778C7"/>
    <w:rsid w:val="00AB441E"/>
    <w:rsid w:val="00AB6293"/>
    <w:rsid w:val="00AC10A9"/>
    <w:rsid w:val="00AE0928"/>
    <w:rsid w:val="00AE6E1C"/>
    <w:rsid w:val="00AF3B82"/>
    <w:rsid w:val="00B12E95"/>
    <w:rsid w:val="00B22876"/>
    <w:rsid w:val="00B558F0"/>
    <w:rsid w:val="00B9148E"/>
    <w:rsid w:val="00BD48FE"/>
    <w:rsid w:val="00BD7BD8"/>
    <w:rsid w:val="00BE6ADC"/>
    <w:rsid w:val="00C05BFE"/>
    <w:rsid w:val="00C23CD4"/>
    <w:rsid w:val="00C61C0C"/>
    <w:rsid w:val="00C67F42"/>
    <w:rsid w:val="00C776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59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AD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A694F7"/>
  <w15:chartTrackingRefBased/>
  <w15:docId w15:val="{1E35CC36-E4D7-4589-9047-AA401BAB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70E0"/>
    <w:pPr>
      <w:spacing w:before="480" w:after="240"/>
    </w:pPr>
  </w:style>
  <w:style w:type="paragraph" w:customStyle="1" w:styleId="NormalHanging12a">
    <w:name w:val="NormalHanging12a"/>
    <w:basedOn w:val="Normal"/>
    <w:rsid w:val="00A470E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470E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C10A9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9F6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1197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2026-01-27T11:26:00Z</dcterms:created>
  <dcterms:modified xsi:type="dcterms:W3CDTF">2026-01-27T11:26:00Z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P10_TA(2025)0293_</vt:lpwstr>
  </property>
  <property fmtid="{D5CDD505-2E9C-101B-9397-08002B2CF9AE}" pid="4" name="&lt;Type&gt;">
    <vt:lpwstr>RR</vt:lpwstr>
  </property>
</Properties>
</file>