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2E74" w14:paraId="045D7A20" w14:textId="77777777" w:rsidTr="0010095E">
        <w:trPr>
          <w:trHeight w:hRule="exact" w:val="1418"/>
        </w:trPr>
        <w:tc>
          <w:tcPr>
            <w:tcW w:w="6804" w:type="dxa"/>
            <w:shd w:val="clear" w:color="auto" w:fill="auto"/>
            <w:vAlign w:val="center"/>
          </w:tcPr>
          <w:p w14:paraId="0453E7CB" w14:textId="77777777" w:rsidR="00751A4A" w:rsidRPr="00E52E74" w:rsidRDefault="0003558F" w:rsidP="0010095E">
            <w:pPr>
              <w:pStyle w:val="EPName"/>
            </w:pPr>
            <w:r w:rsidRPr="00E52E74">
              <w:t>Euroopa Parlament</w:t>
            </w:r>
          </w:p>
          <w:p w14:paraId="21EFFE3C" w14:textId="77777777" w:rsidR="00751A4A" w:rsidRPr="00E52E74" w:rsidRDefault="005F1B17" w:rsidP="005F1B17">
            <w:pPr>
              <w:pStyle w:val="EPTerm"/>
              <w:rPr>
                <w:rStyle w:val="HideTWBExt"/>
                <w:noProof w:val="0"/>
                <w:vanish w:val="0"/>
                <w:color w:val="auto"/>
              </w:rPr>
            </w:pPr>
            <w:r w:rsidRPr="00E52E74">
              <w:t>2024</w:t>
            </w:r>
            <w:r w:rsidR="00817416" w:rsidRPr="00E52E74">
              <w:t>-202</w:t>
            </w:r>
            <w:r w:rsidRPr="00E52E74">
              <w:t>9</w:t>
            </w:r>
          </w:p>
        </w:tc>
        <w:tc>
          <w:tcPr>
            <w:tcW w:w="2268" w:type="dxa"/>
            <w:shd w:val="clear" w:color="auto" w:fill="auto"/>
          </w:tcPr>
          <w:p w14:paraId="0EF91313" w14:textId="77777777" w:rsidR="00751A4A" w:rsidRPr="00E52E74" w:rsidRDefault="00187494" w:rsidP="0010095E">
            <w:pPr>
              <w:pStyle w:val="EPLogo"/>
            </w:pPr>
            <w:r w:rsidRPr="00E52E74">
              <w:rPr>
                <w:noProof/>
                <w:lang w:eastAsia="ja-JP"/>
              </w:rPr>
              <w:drawing>
                <wp:inline distT="0" distB="0" distL="0" distR="0" wp14:anchorId="1CC4845B" wp14:editId="3A1659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22D646" w14:textId="77777777" w:rsidR="00D058B8" w:rsidRPr="00E52E74" w:rsidRDefault="00D058B8" w:rsidP="004C5D52">
      <w:pPr>
        <w:pStyle w:val="LineTop"/>
      </w:pPr>
    </w:p>
    <w:p w14:paraId="0082FB33" w14:textId="77777777" w:rsidR="00680577" w:rsidRPr="00E52E74" w:rsidRDefault="0003558F" w:rsidP="00680577">
      <w:pPr>
        <w:pStyle w:val="EPBodyTA1"/>
      </w:pPr>
      <w:r w:rsidRPr="00E52E74">
        <w:t>VASTUVÕETUD TEKSTID</w:t>
      </w:r>
    </w:p>
    <w:p w14:paraId="3BEB76BF" w14:textId="77777777" w:rsidR="00D058B8" w:rsidRPr="00E52E74" w:rsidRDefault="00D058B8" w:rsidP="00D058B8">
      <w:pPr>
        <w:pStyle w:val="LineBottom"/>
      </w:pPr>
    </w:p>
    <w:p w14:paraId="53373F19" w14:textId="04B25B18" w:rsidR="0003558F" w:rsidRPr="00E52E74" w:rsidRDefault="0003558F" w:rsidP="0003558F">
      <w:pPr>
        <w:pStyle w:val="ATHeading1"/>
      </w:pPr>
      <w:bookmarkStart w:id="0" w:name="TANumber"/>
      <w:r w:rsidRPr="00E52E74">
        <w:t>P10_TA(2025)0</w:t>
      </w:r>
      <w:bookmarkEnd w:id="0"/>
      <w:r w:rsidR="001A68EC" w:rsidRPr="00E52E74">
        <w:t>293</w:t>
      </w:r>
    </w:p>
    <w:p w14:paraId="097C92DA" w14:textId="77777777" w:rsidR="0003558F" w:rsidRPr="00E52E74" w:rsidRDefault="0003558F" w:rsidP="0003558F">
      <w:pPr>
        <w:pStyle w:val="ATHeading2"/>
      </w:pPr>
      <w:bookmarkStart w:id="1" w:name="title"/>
      <w:r w:rsidRPr="00E52E74">
        <w:t>Paranduseelarve projekt nr 3/2025: maksete assigneeringute kohandamine, tulude ajakohastamine ja muud tehnilised ajakohastamised</w:t>
      </w:r>
      <w:bookmarkEnd w:id="1"/>
    </w:p>
    <w:p w14:paraId="0B1A76D6" w14:textId="77777777" w:rsidR="0003558F" w:rsidRPr="00E52E74" w:rsidRDefault="0003558F" w:rsidP="0003558F">
      <w:pPr>
        <w:rPr>
          <w:i/>
          <w:vanish/>
        </w:rPr>
      </w:pPr>
      <w:r w:rsidRPr="00E52E74">
        <w:rPr>
          <w:i/>
        </w:rPr>
        <w:fldChar w:fldCharType="begin"/>
      </w:r>
      <w:r w:rsidRPr="00E52E74">
        <w:rPr>
          <w:i/>
        </w:rPr>
        <w:instrText xml:space="preserve"> TC"(</w:instrText>
      </w:r>
      <w:bookmarkStart w:id="2" w:name="DocNumber"/>
      <w:r w:rsidRPr="00E52E74">
        <w:rPr>
          <w:i/>
        </w:rPr>
        <w:instrText>A10-0237/2025</w:instrText>
      </w:r>
      <w:bookmarkEnd w:id="2"/>
      <w:r w:rsidRPr="00E52E74">
        <w:rPr>
          <w:i/>
        </w:rPr>
        <w:instrText xml:space="preserve"> - Raportöör: Victor Negrescu)"\l3 \n&gt; \* MERGEFORMAT </w:instrText>
      </w:r>
      <w:r w:rsidRPr="00E52E74">
        <w:rPr>
          <w:i/>
        </w:rPr>
        <w:fldChar w:fldCharType="end"/>
      </w:r>
    </w:p>
    <w:p w14:paraId="114DA7B8" w14:textId="77777777" w:rsidR="0003558F" w:rsidRPr="00E52E74" w:rsidRDefault="0003558F" w:rsidP="0003558F">
      <w:pPr>
        <w:rPr>
          <w:vanish/>
        </w:rPr>
      </w:pPr>
      <w:bookmarkStart w:id="3" w:name="Commission"/>
      <w:r w:rsidRPr="00E52E74">
        <w:rPr>
          <w:vanish/>
        </w:rPr>
        <w:t>Eelarvekomisjon</w:t>
      </w:r>
      <w:bookmarkEnd w:id="3"/>
    </w:p>
    <w:p w14:paraId="6B27E541" w14:textId="77777777" w:rsidR="0003558F" w:rsidRPr="00E52E74" w:rsidRDefault="0003558F" w:rsidP="0003558F">
      <w:pPr>
        <w:rPr>
          <w:vanish/>
        </w:rPr>
      </w:pPr>
      <w:bookmarkStart w:id="4" w:name="PE"/>
      <w:r w:rsidRPr="00E52E74">
        <w:rPr>
          <w:vanish/>
        </w:rPr>
        <w:t>PE778.228</w:t>
      </w:r>
      <w:bookmarkEnd w:id="4"/>
    </w:p>
    <w:p w14:paraId="413FF7EF" w14:textId="3C87BA9E" w:rsidR="0003558F" w:rsidRPr="00E52E74" w:rsidRDefault="0003558F" w:rsidP="004B5989">
      <w:pPr>
        <w:pStyle w:val="ATHeading3"/>
      </w:pPr>
      <w:bookmarkStart w:id="5" w:name="Sujet"/>
      <w:r w:rsidRPr="00E52E74">
        <w:t xml:space="preserve">Euroopa Parlamendi </w:t>
      </w:r>
      <w:r w:rsidR="004B5989" w:rsidRPr="00E52E74">
        <w:t>26</w:t>
      </w:r>
      <w:r w:rsidRPr="00E52E74">
        <w:t>.</w:t>
      </w:r>
      <w:r w:rsidR="004B5989" w:rsidRPr="00E52E74">
        <w:t> novembri</w:t>
      </w:r>
      <w:r w:rsidRPr="00E52E74">
        <w:t xml:space="preserve"> 2025.</w:t>
      </w:r>
      <w:r w:rsidR="004B5989" w:rsidRPr="00E52E74">
        <w:t> </w:t>
      </w:r>
      <w:r w:rsidRPr="00E52E74">
        <w:t>aasta resolutsioon</w:t>
      </w:r>
      <w:r w:rsidR="004B5989" w:rsidRPr="00E52E74">
        <w:t>,</w:t>
      </w:r>
      <w:r w:rsidRPr="00E52E74">
        <w:t xml:space="preserve"> mis käsitleb nõukogu seisukohta Euroopa Liidu 2025. aasta </w:t>
      </w:r>
      <w:r w:rsidR="004B5989" w:rsidRPr="00E52E74">
        <w:t xml:space="preserve">üldeelarve </w:t>
      </w:r>
      <w:r w:rsidRPr="00E52E74">
        <w:t>paranduseelarve projekti</w:t>
      </w:r>
      <w:r w:rsidR="004B5989" w:rsidRPr="00E52E74">
        <w:t xml:space="preserve"> </w:t>
      </w:r>
      <w:r w:rsidRPr="00E52E74">
        <w:t>nr 3 kohta</w:t>
      </w:r>
      <w:r w:rsidR="004B5989" w:rsidRPr="00E52E74">
        <w:t>:</w:t>
      </w:r>
      <w:r w:rsidRPr="00E52E74">
        <w:t xml:space="preserve"> </w:t>
      </w:r>
      <w:r w:rsidR="004B5989" w:rsidRPr="00E52E74">
        <w:t>m</w:t>
      </w:r>
      <w:r w:rsidRPr="00E52E74">
        <w:t>aksete assigneeringute kohandamine, tulude ajakohastamine ja muud tehnilised ajakohastamised</w:t>
      </w:r>
      <w:bookmarkEnd w:id="5"/>
      <w:r w:rsidRPr="00E52E74">
        <w:t xml:space="preserve"> </w:t>
      </w:r>
      <w:bookmarkStart w:id="6" w:name="References"/>
      <w:r w:rsidRPr="00E52E74">
        <w:t>(14878/2025 – C10-0301/2025 – 2025/0319(BUD))</w:t>
      </w:r>
      <w:bookmarkEnd w:id="6"/>
    </w:p>
    <w:p w14:paraId="06A78B74" w14:textId="77777777" w:rsidR="004A3C23" w:rsidRPr="00E52E74" w:rsidRDefault="004A3C23" w:rsidP="004A3C23">
      <w:pPr>
        <w:pStyle w:val="EPComma"/>
      </w:pPr>
      <w:bookmarkStart w:id="7" w:name="TextBodyBegin"/>
      <w:bookmarkEnd w:id="7"/>
      <w:r w:rsidRPr="00E52E74">
        <w:rPr>
          <w:i/>
        </w:rPr>
        <w:t>Euroopa Parlament</w:t>
      </w:r>
      <w:r w:rsidRPr="00E52E74">
        <w:t>,</w:t>
      </w:r>
    </w:p>
    <w:p w14:paraId="649D8854" w14:textId="77777777" w:rsidR="004A3C23" w:rsidRPr="00E52E74" w:rsidRDefault="004A3C23" w:rsidP="004A3C23">
      <w:pPr>
        <w:pStyle w:val="NormalHanging12a"/>
      </w:pPr>
      <w:r w:rsidRPr="00E52E74">
        <w:t>–</w:t>
      </w:r>
      <w:r w:rsidRPr="00E52E74">
        <w:tab/>
        <w:t>võttes arvesse Euroopa Liidu toimimise lepingu artiklit 314,</w:t>
      </w:r>
    </w:p>
    <w:p w14:paraId="0A83D849" w14:textId="77777777" w:rsidR="004A3C23" w:rsidRPr="00E52E74" w:rsidRDefault="004A3C23" w:rsidP="004A3C23">
      <w:pPr>
        <w:pStyle w:val="NormalHanging12a"/>
      </w:pPr>
      <w:r w:rsidRPr="00E52E74">
        <w:t>–</w:t>
      </w:r>
      <w:r w:rsidRPr="00E52E74">
        <w:tab/>
        <w:t>võttes arvesse Euroopa Aatomienergiaühenduse asutamislepingu artiklit 106a,</w:t>
      </w:r>
    </w:p>
    <w:p w14:paraId="7F0D0CDB" w14:textId="0910D800" w:rsidR="004A3C23" w:rsidRPr="00E52E74" w:rsidRDefault="004A3C23" w:rsidP="004A3C23">
      <w:pPr>
        <w:pStyle w:val="NormalHanging12a"/>
      </w:pPr>
      <w:r w:rsidRPr="00E52E74">
        <w:t>–</w:t>
      </w:r>
      <w:r w:rsidRPr="00E52E74">
        <w:tab/>
        <w:t>võttes arvesse Euroopa Parlamendi ja nõukogu 23. septembri 2024. aasta määrust</w:t>
      </w:r>
      <w:r w:rsidR="004B5989" w:rsidRPr="00E52E74">
        <w:t xml:space="preserve"> </w:t>
      </w:r>
      <w:r w:rsidRPr="00E52E74">
        <w:t>(EL, Euratom) 2024/2509 (mis käsitleb liidu üldeelarve suhtes kohaldatavaid finantsreegleid)</w:t>
      </w:r>
      <w:r w:rsidRPr="00E52E74">
        <w:rPr>
          <w:rStyle w:val="FootnoteReference"/>
        </w:rPr>
        <w:footnoteReference w:id="1"/>
      </w:r>
      <w:r w:rsidRPr="00E52E74">
        <w:t>, eriti selle artiklit 44,</w:t>
      </w:r>
    </w:p>
    <w:p w14:paraId="32B3316F" w14:textId="77777777" w:rsidR="004A3C23" w:rsidRPr="00E52E74" w:rsidRDefault="004A3C23" w:rsidP="004A3C23">
      <w:pPr>
        <w:pStyle w:val="NormalHanging12a"/>
      </w:pPr>
      <w:r w:rsidRPr="00E52E74">
        <w:t>–</w:t>
      </w:r>
      <w:r w:rsidRPr="00E52E74">
        <w:tab/>
        <w:t xml:space="preserve">võttes arvesse Euroopa Liidu 2025. aasta </w:t>
      </w:r>
      <w:proofErr w:type="spellStart"/>
      <w:r w:rsidRPr="00E52E74">
        <w:t>üldeelarvet</w:t>
      </w:r>
      <w:proofErr w:type="spellEnd"/>
      <w:r w:rsidRPr="00E52E74">
        <w:t>, mis võeti lõplikult vastu 27. novembril 2024. aastal</w:t>
      </w:r>
      <w:r w:rsidRPr="00E52E74">
        <w:rPr>
          <w:rStyle w:val="FootnoteReference"/>
        </w:rPr>
        <w:footnoteReference w:id="2"/>
      </w:r>
      <w:r w:rsidRPr="00E52E74">
        <w:t>,</w:t>
      </w:r>
    </w:p>
    <w:p w14:paraId="1F7C3D2D" w14:textId="77777777" w:rsidR="004A3C23" w:rsidRPr="00E52E74" w:rsidRDefault="004A3C23" w:rsidP="004A3C23">
      <w:pPr>
        <w:pStyle w:val="NormalHanging12a"/>
      </w:pPr>
      <w:r w:rsidRPr="00E52E74">
        <w:t>–</w:t>
      </w:r>
      <w:r w:rsidRPr="00E52E74">
        <w:tab/>
        <w:t>võttes arvesse nõukogu 17. detsembri 2020. aasta määrust (EL, Euratom) 2020/2093, millega määratakse kindlaks mitmeaastane finantsraamistik aastateks 2021–2027</w:t>
      </w:r>
      <w:r w:rsidRPr="00E52E74">
        <w:rPr>
          <w:rStyle w:val="FootnoteReference"/>
        </w:rPr>
        <w:footnoteReference w:id="3"/>
      </w:r>
      <w:r w:rsidRPr="00E52E74">
        <w:t>,</w:t>
      </w:r>
    </w:p>
    <w:p w14:paraId="7C43B69E" w14:textId="77777777" w:rsidR="004A3C23" w:rsidRPr="00E52E74" w:rsidRDefault="004A3C23" w:rsidP="004A3C23">
      <w:pPr>
        <w:pStyle w:val="NormalHanging12a"/>
      </w:pPr>
      <w:r w:rsidRPr="00E52E74">
        <w:t>–</w:t>
      </w:r>
      <w:r w:rsidRPr="00E52E74">
        <w:tab/>
        <w:t>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E52E74">
        <w:rPr>
          <w:rStyle w:val="FootnoteReference"/>
        </w:rPr>
        <w:footnoteReference w:id="4"/>
      </w:r>
      <w:r w:rsidRPr="00E52E74">
        <w:t xml:space="preserve"> (edaspidi „institutsioonidevaheline kokkulepe“),</w:t>
      </w:r>
    </w:p>
    <w:p w14:paraId="4CC1D258" w14:textId="06AF3C9E" w:rsidR="004A3C23" w:rsidRPr="00E52E74" w:rsidRDefault="004A3C23" w:rsidP="004A3C23">
      <w:pPr>
        <w:pStyle w:val="NormalHanging12a"/>
      </w:pPr>
      <w:r w:rsidRPr="00E52E74">
        <w:t>–</w:t>
      </w:r>
      <w:r w:rsidRPr="00E52E74">
        <w:tab/>
        <w:t xml:space="preserve">võttes arvesse nõukogu 14. detsembri 2020. aasta otsust (EL, Euratom) 2020/2053, mis </w:t>
      </w:r>
      <w:r w:rsidRPr="00E52E74">
        <w:lastRenderedPageBreak/>
        <w:t>käsitleb Euroopa Liidu omavahendite süsteemi ning millega tunnistatakse kehtetuks otsus</w:t>
      </w:r>
      <w:r w:rsidR="004B5989" w:rsidRPr="00E52E74">
        <w:t xml:space="preserve"> </w:t>
      </w:r>
      <w:r w:rsidRPr="00E52E74">
        <w:t>2014/335/EL, Euratom</w:t>
      </w:r>
      <w:r w:rsidRPr="00E52E74">
        <w:rPr>
          <w:rStyle w:val="FootnoteReference"/>
        </w:rPr>
        <w:footnoteReference w:id="5"/>
      </w:r>
      <w:r w:rsidRPr="00E52E74">
        <w:t>,</w:t>
      </w:r>
    </w:p>
    <w:p w14:paraId="42AF590E" w14:textId="2B4DC80A" w:rsidR="004A3C23" w:rsidRPr="00E52E74" w:rsidRDefault="004A3C23" w:rsidP="004A3C23">
      <w:pPr>
        <w:pStyle w:val="NormalHanging12a"/>
      </w:pPr>
      <w:r w:rsidRPr="00E52E74">
        <w:t>–</w:t>
      </w:r>
      <w:r w:rsidRPr="00E52E74">
        <w:tab/>
        <w:t>võttes arvesse paranduseelarve projekti nr 3/2025, mille komisjon võttis vastu 3. oktoobril 2025 (COM(2025)0850),</w:t>
      </w:r>
    </w:p>
    <w:p w14:paraId="5BF834D1" w14:textId="61FFEEBD" w:rsidR="004A3C23" w:rsidRPr="00E52E74" w:rsidRDefault="004A3C23" w:rsidP="004A3C23">
      <w:pPr>
        <w:pStyle w:val="NormalHanging12a"/>
      </w:pPr>
      <w:r w:rsidRPr="00E52E74">
        <w:t>–</w:t>
      </w:r>
      <w:r w:rsidRPr="00E52E74">
        <w:tab/>
        <w:t>võttes arvesse 17. novembril 2025 vastu võetud ja samal päeval Euroopa Parlamendile esitatud nõukogu seisukohta paranduseelarve projekti nr 3/2025 kohta (14878/2025 – C10</w:t>
      </w:r>
      <w:r w:rsidRPr="00E52E74">
        <w:noBreakHyphen/>
        <w:t>0301/2025),</w:t>
      </w:r>
    </w:p>
    <w:p w14:paraId="5C0F21BF" w14:textId="77777777" w:rsidR="004A3C23" w:rsidRPr="00E52E74" w:rsidRDefault="004A3C23" w:rsidP="004A3C23">
      <w:pPr>
        <w:pStyle w:val="NormalHanging12a"/>
      </w:pPr>
      <w:r w:rsidRPr="00E52E74">
        <w:t>–</w:t>
      </w:r>
      <w:r w:rsidRPr="00E52E74">
        <w:tab/>
        <w:t>võttes arvesse kodukorra artikleid 96 ja 98,</w:t>
      </w:r>
    </w:p>
    <w:p w14:paraId="4B8E84D6" w14:textId="77777777" w:rsidR="004A3C23" w:rsidRPr="00E52E74" w:rsidRDefault="004A3C23" w:rsidP="004A3C23">
      <w:pPr>
        <w:pStyle w:val="NormalHanging12a"/>
      </w:pPr>
      <w:r w:rsidRPr="00E52E74">
        <w:t>–</w:t>
      </w:r>
      <w:r w:rsidRPr="00E52E74">
        <w:tab/>
        <w:t>võttes arvesse eelarvekomisjoni raportit (A10-0237/2025),</w:t>
      </w:r>
    </w:p>
    <w:p w14:paraId="358AE786" w14:textId="11CD7B93" w:rsidR="004A3C23" w:rsidRPr="00E52E74" w:rsidRDefault="004A3C23" w:rsidP="004A3C23">
      <w:pPr>
        <w:spacing w:after="240"/>
        <w:ind w:left="567" w:hanging="567"/>
        <w:rPr>
          <w:color w:val="000000"/>
        </w:rPr>
      </w:pPr>
      <w:r w:rsidRPr="00E52E74">
        <w:rPr>
          <w:color w:val="000000"/>
        </w:rPr>
        <w:t>A.</w:t>
      </w:r>
      <w:r w:rsidRPr="00E52E74">
        <w:rPr>
          <w:color w:val="000000"/>
        </w:rPr>
        <w:tab/>
        <w:t>arvestades, et paranduseelarve projekti</w:t>
      </w:r>
      <w:r w:rsidR="004B5989" w:rsidRPr="00E52E74">
        <w:rPr>
          <w:color w:val="000000"/>
        </w:rPr>
        <w:t xml:space="preserve"> </w:t>
      </w:r>
      <w:r w:rsidRPr="00E52E74">
        <w:rPr>
          <w:color w:val="000000"/>
        </w:rPr>
        <w:t>nr 3/2025 eesmärk on ajakohastada eelarve tulupoolt, et võtta arvesse hiljutisi suundumusi, ning kohandada eelarve kulupoolt maksete assigneeringute osas ja kohandada eelarve kulupoolt ka mitme detsentraliseeritud asutuse osas;</w:t>
      </w:r>
    </w:p>
    <w:p w14:paraId="2CE0DB18" w14:textId="107E7A92" w:rsidR="004A3C23" w:rsidRPr="00E52E74" w:rsidRDefault="004A3C23" w:rsidP="004A3C23">
      <w:pPr>
        <w:spacing w:after="240"/>
        <w:ind w:left="567" w:hanging="567"/>
        <w:rPr>
          <w:color w:val="000000"/>
        </w:rPr>
      </w:pPr>
      <w:r w:rsidRPr="00E52E74">
        <w:rPr>
          <w:color w:val="000000"/>
        </w:rPr>
        <w:t>B.</w:t>
      </w:r>
      <w:r w:rsidRPr="00E52E74">
        <w:rPr>
          <w:color w:val="000000"/>
        </w:rPr>
        <w:tab/>
        <w:t>arvestades, et paranduseelarve projektiga</w:t>
      </w:r>
      <w:r w:rsidR="004B5989" w:rsidRPr="00E52E74">
        <w:rPr>
          <w:color w:val="000000"/>
        </w:rPr>
        <w:t xml:space="preserve"> </w:t>
      </w:r>
      <w:r w:rsidRPr="00E52E74">
        <w:rPr>
          <w:color w:val="000000"/>
        </w:rPr>
        <w:t>nr 3/2025 suurendatakse kulupoolel netosummades kulukohustuste assigneeringuid 123,7 miljoni euro võrra ja maksete assigneeringuid 2,52 miljardi euro võrra;</w:t>
      </w:r>
    </w:p>
    <w:p w14:paraId="4941F246" w14:textId="7286A1EF" w:rsidR="004A3C23" w:rsidRPr="00E52E74" w:rsidRDefault="004A3C23" w:rsidP="004A3C23">
      <w:pPr>
        <w:spacing w:after="240"/>
        <w:ind w:left="567" w:hanging="567"/>
        <w:rPr>
          <w:color w:val="000000"/>
        </w:rPr>
      </w:pPr>
      <w:r w:rsidRPr="00E52E74">
        <w:rPr>
          <w:color w:val="000000"/>
        </w:rPr>
        <w:t>C.</w:t>
      </w:r>
      <w:r w:rsidRPr="00E52E74">
        <w:rPr>
          <w:color w:val="000000"/>
        </w:rPr>
        <w:tab/>
        <w:t>arvestades, et paranduseelarve projektis</w:t>
      </w:r>
      <w:r w:rsidR="004B5989" w:rsidRPr="00E52E74">
        <w:rPr>
          <w:color w:val="000000"/>
        </w:rPr>
        <w:t xml:space="preserve"> </w:t>
      </w:r>
      <w:r w:rsidRPr="00E52E74">
        <w:rPr>
          <w:color w:val="000000"/>
        </w:rPr>
        <w:t>nr 3/2025 tehakse ettepanek eri rubriikides detsentraliseeritud asutuste rahastamises mitme kohanduse tegemiseks;</w:t>
      </w:r>
    </w:p>
    <w:p w14:paraId="01F83702" w14:textId="2622A52D" w:rsidR="004A3C23" w:rsidRPr="00E52E74" w:rsidRDefault="004A3C23" w:rsidP="004A3C23">
      <w:pPr>
        <w:spacing w:after="240"/>
        <w:ind w:left="567" w:hanging="567"/>
        <w:rPr>
          <w:color w:val="000000"/>
        </w:rPr>
      </w:pPr>
      <w:r w:rsidRPr="00E52E74">
        <w:rPr>
          <w:color w:val="000000"/>
        </w:rPr>
        <w:t>D.</w:t>
      </w:r>
      <w:r w:rsidRPr="00E52E74">
        <w:rPr>
          <w:color w:val="000000"/>
        </w:rPr>
        <w:tab/>
        <w:t>arvestades, et paranduseelarve projektiga</w:t>
      </w:r>
      <w:r w:rsidR="004B5989" w:rsidRPr="00E52E74">
        <w:rPr>
          <w:color w:val="000000"/>
        </w:rPr>
        <w:t xml:space="preserve"> </w:t>
      </w:r>
      <w:r w:rsidRPr="00E52E74">
        <w:rPr>
          <w:color w:val="000000"/>
        </w:rPr>
        <w:t>nr 3/2025 lisatakse 2025. aasta eelarve tulupoolele kuni 2025. aasta septembrini tasutud lõplikud trahvid ja karistusmaksed summas 1,19 miljardit eurot ja täiendavad traditsioonilised omavahendid summas 1,3 miljardit eurot;</w:t>
      </w:r>
    </w:p>
    <w:p w14:paraId="2A62F775" w14:textId="77777777" w:rsidR="004A3C23" w:rsidRPr="00E52E74" w:rsidRDefault="004A3C23" w:rsidP="004A3C23">
      <w:pPr>
        <w:spacing w:after="240"/>
        <w:ind w:left="567" w:hanging="567"/>
        <w:rPr>
          <w:color w:val="000000"/>
        </w:rPr>
      </w:pPr>
      <w:r w:rsidRPr="00E52E74">
        <w:rPr>
          <w:color w:val="000000"/>
        </w:rPr>
        <w:t>E.</w:t>
      </w:r>
      <w:r w:rsidRPr="00E52E74">
        <w:rPr>
          <w:color w:val="000000"/>
        </w:rPr>
        <w:tab/>
        <w:t>arvestades, et nende kohanduste tõttu on maksevajaduste katmiseks vaja täiendavaid kogurahvatulul põhinevaid osamakseid summas 31,9 miljonit eurot;</w:t>
      </w:r>
    </w:p>
    <w:p w14:paraId="31BC1208" w14:textId="77777777" w:rsidR="004A3C23" w:rsidRPr="00E52E74" w:rsidRDefault="004A3C23" w:rsidP="004A3C23">
      <w:pPr>
        <w:spacing w:after="240"/>
        <w:ind w:left="567" w:hanging="567"/>
        <w:rPr>
          <w:color w:val="000000"/>
        </w:rPr>
      </w:pPr>
      <w:r w:rsidRPr="00E52E74">
        <w:rPr>
          <w:color w:val="000000"/>
        </w:rPr>
        <w:t>1.</w:t>
      </w:r>
      <w:r w:rsidRPr="00E52E74">
        <w:rPr>
          <w:color w:val="000000"/>
        </w:rPr>
        <w:tab/>
        <w:t>võtab teadmiseks komisjoni esitatud paranduseelarve projekti nr 3/2025 ning eelkõige liikmesriikide kogurahvatulul põhinevatele osamaksudele avalduva üldise väga väikese mõju, mis on tingitud suuremate maksevajaduste ja täiendavate tuluvoogude tasakaalust;</w:t>
      </w:r>
    </w:p>
    <w:p w14:paraId="170C952D" w14:textId="0B87A1C5" w:rsidR="004A3C23" w:rsidRPr="00E52E74" w:rsidRDefault="004A3C23" w:rsidP="004A3C23">
      <w:pPr>
        <w:spacing w:after="240"/>
        <w:ind w:left="567" w:hanging="567"/>
        <w:rPr>
          <w:color w:val="000000"/>
        </w:rPr>
      </w:pPr>
      <w:r w:rsidRPr="00E52E74">
        <w:rPr>
          <w:color w:val="000000"/>
        </w:rPr>
        <w:t>2.</w:t>
      </w:r>
      <w:r w:rsidRPr="00E52E74">
        <w:rPr>
          <w:color w:val="000000"/>
        </w:rPr>
        <w:tab/>
        <w:t xml:space="preserve">tunneb heameelt Euroopa Regionaalarengu Fondi (ERF) maksete assigneeringute suurendamise üle 2 miljardi euro võrra koostoimes ühise põllumajanduspoliitika </w:t>
      </w:r>
      <w:r w:rsidR="008538FF" w:rsidRPr="00E52E74">
        <w:rPr>
          <w:color w:val="000000"/>
        </w:rPr>
        <w:t xml:space="preserve">(ÜPP) </w:t>
      </w:r>
      <w:r w:rsidRPr="00E52E74">
        <w:rPr>
          <w:color w:val="000000"/>
        </w:rPr>
        <w:t xml:space="preserve">assigneeringute suurendamisega käesoleva aasta koondümberpaigutuse (DEC 15/25) raames, sest see näitab, et kuigi programmi elluviimine perioodil 2021–2027 algas murettekitavalt aeglaselt, on see nüüd hoogustumas; rõhutab, et struktuurifondide ja ühise põllumajanduspoliitika assigneeringute suurendamisel on oluline roll põllumajanduse toetuskavade järjepidevuse säilitamisel, toiduga kindlustatuse tagamisel ja maaelu kestliku arengu edendamisel; märgib, et need meetmed on eriti olulised põllumajandussektori vastupanuvõime suurendamiseks ja maapiirkondade </w:t>
      </w:r>
      <w:proofErr w:type="spellStart"/>
      <w:r w:rsidRPr="00E52E74">
        <w:rPr>
          <w:color w:val="000000"/>
        </w:rPr>
        <w:t>sotsiaal-majandusliku</w:t>
      </w:r>
      <w:proofErr w:type="spellEnd"/>
      <w:r w:rsidRPr="00E52E74">
        <w:rPr>
          <w:color w:val="000000"/>
        </w:rPr>
        <w:t xml:space="preserve"> tasakaalu säilitamiseks; tuletab meelde, et need suurendamised täiendavad maksete assigneeringute kohandamist, mis tehti koondümberpaigutuse (DEC 15/2025) </w:t>
      </w:r>
      <w:r w:rsidRPr="00E52E74">
        <w:rPr>
          <w:color w:val="000000"/>
        </w:rPr>
        <w:lastRenderedPageBreak/>
        <w:t>raames;</w:t>
      </w:r>
    </w:p>
    <w:p w14:paraId="58C391C6" w14:textId="77777777" w:rsidR="004A3C23" w:rsidRPr="00E52E74" w:rsidRDefault="004A3C23" w:rsidP="004A3C23">
      <w:pPr>
        <w:spacing w:after="240"/>
        <w:ind w:left="567" w:hanging="567"/>
        <w:rPr>
          <w:color w:val="000000"/>
        </w:rPr>
      </w:pPr>
      <w:r w:rsidRPr="00E52E74">
        <w:rPr>
          <w:color w:val="000000"/>
        </w:rPr>
        <w:t>3.</w:t>
      </w:r>
      <w:r w:rsidRPr="00E52E74">
        <w:rPr>
          <w:color w:val="000000"/>
        </w:rPr>
        <w:tab/>
        <w:t xml:space="preserve">nõuab jätkuvalt tungivalt, et kiirendataks </w:t>
      </w:r>
      <w:proofErr w:type="spellStart"/>
      <w:r w:rsidRPr="00E52E74">
        <w:rPr>
          <w:color w:val="000000"/>
        </w:rPr>
        <w:t>ERFi</w:t>
      </w:r>
      <w:proofErr w:type="spellEnd"/>
      <w:r w:rsidRPr="00E52E74">
        <w:rPr>
          <w:color w:val="000000"/>
        </w:rPr>
        <w:t>, ESF+ ning piirihalduse ja viisapoliitika rahastu (BMVI) meetmete rakendamist; tunneb heameelt Euroopa strateegiliste tehnoloogiate platvormi (STEP) oodatust kiirema kasutuselevõtu üle; ootab, et STEPi</w:t>
      </w:r>
      <w:r w:rsidRPr="00E52E74">
        <w:t xml:space="preserve"> </w:t>
      </w:r>
      <w:sdt>
        <w:sdtPr>
          <w:tag w:val="goog_rdk_2"/>
          <w:id w:val="1285891827"/>
        </w:sdtPr>
        <w:sdtEndPr/>
        <w:sdtContent>
          <w:r w:rsidRPr="00E52E74">
            <w:rPr>
              <w:color w:val="000000"/>
            </w:rPr>
            <w:t>lisamaksetest</w:t>
          </w:r>
        </w:sdtContent>
      </w:sdt>
      <w:r w:rsidRPr="00E52E74">
        <w:rPr>
          <w:color w:val="000000"/>
        </w:rPr>
        <w:t xml:space="preserve"> saadavad rohkem kui 3 miljardit eurot kasutatakse kiiresti ja tulemuslikult asjaomaste alusaktide kohaste erieesmärkide täitmiseks;</w:t>
      </w:r>
    </w:p>
    <w:p w14:paraId="61BC3C22" w14:textId="77777777" w:rsidR="004A3C23" w:rsidRPr="00E52E74" w:rsidRDefault="004A3C23" w:rsidP="004A3C23">
      <w:pPr>
        <w:spacing w:after="240"/>
        <w:ind w:left="567" w:hanging="567"/>
        <w:rPr>
          <w:color w:val="000000"/>
        </w:rPr>
      </w:pPr>
      <w:r w:rsidRPr="00E52E74">
        <w:rPr>
          <w:color w:val="000000"/>
        </w:rPr>
        <w:t>4.</w:t>
      </w:r>
      <w:r w:rsidRPr="00E52E74">
        <w:rPr>
          <w:color w:val="000000"/>
        </w:rPr>
        <w:tab/>
        <w:t>võtab teadmiseks säästva kalapüügi partnerluslepingute praeguse seisu ja tunneb heameelt asjaolu üle, et kooskõlas institutsioonidevahelise kokkuleppe asjakohaste sätetega on eelarvepädevatel institutsioonidel aktiivne roll reservis olevate assigneeringute vabastamisel vastavalt asjaomaste rahvusvaheliste rakendusprotokollide jõustumisele ja kohaldamisele;</w:t>
      </w:r>
    </w:p>
    <w:p w14:paraId="0D5BD113" w14:textId="77777777" w:rsidR="004A3C23" w:rsidRPr="00E52E74" w:rsidRDefault="004A3C23" w:rsidP="004A3C23">
      <w:pPr>
        <w:spacing w:after="240"/>
        <w:ind w:left="567" w:hanging="567"/>
        <w:rPr>
          <w:color w:val="000000"/>
        </w:rPr>
      </w:pPr>
      <w:r w:rsidRPr="00E52E74">
        <w:rPr>
          <w:color w:val="000000"/>
        </w:rPr>
        <w:t>5.</w:t>
      </w:r>
      <w:r w:rsidRPr="00E52E74">
        <w:rPr>
          <w:color w:val="000000"/>
        </w:rPr>
        <w:tab/>
        <w:t>peab kahetsusväärseks tollikontrolliseadmete rahastu kulukohustuste (78 miljoni euro võrra) ja maksete (48 miljoni euro võrra) vähenemist, mis on tingitud liikmesriikides rakendamisel esinevatest viivitustest ajal, mil selle valdkonna koostöö ja investeeringud peaksid jõudsalt edenema;</w:t>
      </w:r>
    </w:p>
    <w:p w14:paraId="16708EE3" w14:textId="77777777" w:rsidR="004A3C23" w:rsidRPr="00E52E74" w:rsidRDefault="004A3C23" w:rsidP="004A3C23">
      <w:pPr>
        <w:spacing w:after="240"/>
        <w:ind w:left="567" w:hanging="567"/>
        <w:rPr>
          <w:color w:val="000000"/>
        </w:rPr>
      </w:pPr>
      <w:r w:rsidRPr="00E52E74">
        <w:rPr>
          <w:color w:val="000000"/>
        </w:rPr>
        <w:t>6.</w:t>
      </w:r>
      <w:r w:rsidRPr="00E52E74">
        <w:rPr>
          <w:color w:val="000000"/>
        </w:rPr>
        <w:tab/>
        <w:t>tunneb heameelt tehnilise toe instrumendi kulukohustuste kokkuhoiu üle (5 miljoni euro ulatuses), mis saavutati tänu konkurentsipõhistest hankemenetlustest tulenevale tõhususe suurenemisele;</w:t>
      </w:r>
    </w:p>
    <w:p w14:paraId="77264ACA" w14:textId="77777777" w:rsidR="004A3C23" w:rsidRPr="00E52E74" w:rsidRDefault="004A3C23" w:rsidP="004A3C23">
      <w:pPr>
        <w:spacing w:after="240"/>
        <w:ind w:left="567" w:hanging="567"/>
        <w:rPr>
          <w:color w:val="000000"/>
        </w:rPr>
      </w:pPr>
      <w:r w:rsidRPr="00E52E74">
        <w:rPr>
          <w:color w:val="000000"/>
        </w:rPr>
        <w:t>7.</w:t>
      </w:r>
      <w:r w:rsidRPr="00E52E74">
        <w:rPr>
          <w:color w:val="000000"/>
        </w:rPr>
        <w:tab/>
      </w:r>
      <w:sdt>
        <w:sdtPr>
          <w:tag w:val="goog_rdk_4"/>
          <w:id w:val="438155605"/>
        </w:sdtPr>
        <w:sdtEndPr/>
        <w:sdtContent>
          <w:sdt>
            <w:sdtPr>
              <w:tag w:val="goog_rdk_5"/>
              <w:id w:val="557417589"/>
            </w:sdtPr>
            <w:sdtEndPr/>
            <w:sdtContent>
              <w:r w:rsidRPr="00E52E74">
                <w:t>võtab teadmiseks</w:t>
              </w:r>
            </w:sdtContent>
          </w:sdt>
        </w:sdtContent>
      </w:sdt>
      <w:r w:rsidRPr="00E52E74">
        <w:t xml:space="preserve"> </w:t>
      </w:r>
      <w:r w:rsidRPr="00E52E74">
        <w:rPr>
          <w:color w:val="000000"/>
        </w:rPr>
        <w:t>reformide elluviimise tempo ja sellele vastava Ukraina rahastust maksete tegemise aeglustumise; tunnistab, et osa kasutamata assigneeringutest</w:t>
      </w:r>
      <w:r w:rsidRPr="00E52E74">
        <w:t xml:space="preserve"> </w:t>
      </w:r>
      <w:sdt>
        <w:sdtPr>
          <w:tag w:val="goog_rdk_7"/>
          <w:id w:val="1769977353"/>
        </w:sdtPr>
        <w:sdtEndPr/>
        <w:sdtContent>
          <w:r w:rsidRPr="00E52E74">
            <w:rPr>
              <w:color w:val="000000"/>
            </w:rPr>
            <w:t>võib</w:t>
          </w:r>
        </w:sdtContent>
      </w:sdt>
      <w:r w:rsidRPr="00E52E74">
        <w:rPr>
          <w:color w:val="000000"/>
        </w:rPr>
        <w:t xml:space="preserve"> üle kanda järgmisse eelarveaastasse; julgustab kõiki asjaosalisi tegema edusamme reformide ja investeeringutega seotud meetmete, näiteks </w:t>
      </w:r>
      <w:proofErr w:type="spellStart"/>
      <w:r w:rsidRPr="00E52E74">
        <w:rPr>
          <w:color w:val="000000"/>
        </w:rPr>
        <w:t>segarahastamislepingute</w:t>
      </w:r>
      <w:proofErr w:type="spellEnd"/>
      <w:r w:rsidRPr="00E52E74">
        <w:rPr>
          <w:color w:val="000000"/>
        </w:rPr>
        <w:t xml:space="preserve"> osas;</w:t>
      </w:r>
    </w:p>
    <w:p w14:paraId="13102DA8" w14:textId="77777777" w:rsidR="004A3C23" w:rsidRPr="00E52E74" w:rsidRDefault="004A3C23" w:rsidP="004A3C23">
      <w:pPr>
        <w:spacing w:after="240"/>
        <w:ind w:left="567" w:hanging="567"/>
        <w:rPr>
          <w:color w:val="000000"/>
        </w:rPr>
      </w:pPr>
      <w:r w:rsidRPr="00E52E74">
        <w:rPr>
          <w:color w:val="000000"/>
        </w:rPr>
        <w:t>8.</w:t>
      </w:r>
      <w:r w:rsidRPr="00E52E74">
        <w:rPr>
          <w:color w:val="000000"/>
        </w:rPr>
        <w:tab/>
        <w:t xml:space="preserve">võtab teadmiseks mitmele detsentraliseeritud asutusele antava liidu toetuse kohandamise; on seisukohal, et need kohandused on peamiselt tehnilist laadi; tunneb nende üle heameelt, kuivõrd need optimeerivad vahendite kasutamist tegevusassigneeringute eelarveridadel, nagu programm LIFE, Varjupaiga-, Rände- ja Integratsioonifond või ühtse turu programm; peab siiski kahetsusväärseks, et kulukohustuste ja maksete assigneeringute nn tagasitoomine asjaomaste asutuste ridadelt seonduvate programmide ridadele on tingitud viivitustest töötajate töölevõtmisel või uute poliitiliste ja seadusandlike algatuste, nagu </w:t>
      </w:r>
      <w:proofErr w:type="spellStart"/>
      <w:r w:rsidRPr="00E52E74">
        <w:rPr>
          <w:color w:val="000000"/>
        </w:rPr>
        <w:t>jaeinvesteeringute</w:t>
      </w:r>
      <w:proofErr w:type="spellEnd"/>
      <w:r w:rsidRPr="00E52E74">
        <w:rPr>
          <w:color w:val="000000"/>
        </w:rPr>
        <w:t xml:space="preserve"> strateegia (mis puudutab </w:t>
      </w:r>
      <w:proofErr w:type="spellStart"/>
      <w:r w:rsidRPr="00E52E74">
        <w:rPr>
          <w:color w:val="000000"/>
        </w:rPr>
        <w:t>ESMAt</w:t>
      </w:r>
      <w:proofErr w:type="spellEnd"/>
      <w:r w:rsidRPr="00E52E74">
        <w:rPr>
          <w:color w:val="000000"/>
        </w:rPr>
        <w:t xml:space="preserve"> ja </w:t>
      </w:r>
      <w:proofErr w:type="spellStart"/>
      <w:r w:rsidRPr="00E52E74">
        <w:rPr>
          <w:color w:val="000000"/>
        </w:rPr>
        <w:t>EIOPAt</w:t>
      </w:r>
      <w:proofErr w:type="spellEnd"/>
      <w:r w:rsidRPr="00E52E74">
        <w:rPr>
          <w:color w:val="000000"/>
        </w:rPr>
        <w:t xml:space="preserve">), varjupaiga- ja rändeleppe (mis puudutab </w:t>
      </w:r>
      <w:proofErr w:type="spellStart"/>
      <w:r w:rsidRPr="00E52E74">
        <w:rPr>
          <w:color w:val="000000"/>
        </w:rPr>
        <w:t>EUAAd</w:t>
      </w:r>
      <w:proofErr w:type="spellEnd"/>
      <w:r w:rsidRPr="00E52E74">
        <w:rPr>
          <w:color w:val="000000"/>
        </w:rPr>
        <w:t xml:space="preserve">), meresõiduohutuse paketi (mis puudutab </w:t>
      </w:r>
      <w:proofErr w:type="spellStart"/>
      <w:r w:rsidRPr="00E52E74">
        <w:rPr>
          <w:color w:val="000000"/>
        </w:rPr>
        <w:t>EMSAt</w:t>
      </w:r>
      <w:proofErr w:type="spellEnd"/>
      <w:r w:rsidRPr="00E52E74">
        <w:rPr>
          <w:color w:val="000000"/>
        </w:rPr>
        <w:t xml:space="preserve">) või uusi </w:t>
      </w:r>
      <w:proofErr w:type="spellStart"/>
      <w:r w:rsidRPr="00E52E74">
        <w:rPr>
          <w:color w:val="000000"/>
        </w:rPr>
        <w:t>genoomikameetodeid</w:t>
      </w:r>
      <w:proofErr w:type="spellEnd"/>
      <w:r w:rsidRPr="00E52E74">
        <w:rPr>
          <w:color w:val="000000"/>
        </w:rPr>
        <w:t xml:space="preserve"> käsitleva ettepaneku (mis puudutab </w:t>
      </w:r>
      <w:proofErr w:type="spellStart"/>
      <w:r w:rsidRPr="00E52E74">
        <w:rPr>
          <w:color w:val="000000"/>
        </w:rPr>
        <w:t>EFSAt</w:t>
      </w:r>
      <w:proofErr w:type="spellEnd"/>
      <w:r w:rsidRPr="00E52E74">
        <w:rPr>
          <w:color w:val="000000"/>
        </w:rPr>
        <w:t>) rakendamisel;</w:t>
      </w:r>
    </w:p>
    <w:p w14:paraId="6EB44CB0" w14:textId="77777777" w:rsidR="004A3C23" w:rsidRPr="00E52E74" w:rsidRDefault="004A3C23" w:rsidP="004A3C23">
      <w:pPr>
        <w:spacing w:after="240"/>
        <w:ind w:left="567" w:hanging="567"/>
        <w:rPr>
          <w:color w:val="000000"/>
        </w:rPr>
      </w:pPr>
      <w:r w:rsidRPr="00E52E74">
        <w:rPr>
          <w:color w:val="000000"/>
        </w:rPr>
        <w:t>9.</w:t>
      </w:r>
      <w:r w:rsidRPr="00E52E74">
        <w:rPr>
          <w:color w:val="000000"/>
        </w:rPr>
        <w:tab/>
        <w:t>rõhutab ja kordab sellega seoses oma tugevat toetust Rahapesu ja Terrorismi Rahastamise Tõkestamise Ametile (AMLA), mis loodi äsja liidu tasandil läbivaadatud rahapesuvastases raamistikus; on endiselt sügavalt mures jätkuvate viivituste pärast tegevuse alustamise etapis, eelkõige seoses inimeste töölevõtmisega</w:t>
      </w:r>
      <w:sdt>
        <w:sdtPr>
          <w:tag w:val="goog_rdk_18"/>
          <w:id w:val="-1528576562"/>
        </w:sdtPr>
        <w:sdtEndPr/>
        <w:sdtContent>
          <w:r w:rsidRPr="00E52E74">
            <w:rPr>
              <w:color w:val="000000"/>
            </w:rPr>
            <w:t>, ning nõuab asjaomaste värbamisprotsesside kiirendamist</w:t>
          </w:r>
        </w:sdtContent>
      </w:sdt>
      <w:r w:rsidRPr="00E52E74">
        <w:rPr>
          <w:color w:val="000000"/>
        </w:rPr>
        <w:t>;</w:t>
      </w:r>
    </w:p>
    <w:p w14:paraId="15EEE0CB" w14:textId="1057DEF7" w:rsidR="004A3C23" w:rsidRPr="00E52E74" w:rsidRDefault="006F6535" w:rsidP="004A3C23">
      <w:pPr>
        <w:spacing w:after="240"/>
        <w:ind w:left="567" w:hanging="567"/>
        <w:rPr>
          <w:color w:val="000000"/>
        </w:rPr>
      </w:pPr>
      <w:sdt>
        <w:sdtPr>
          <w:tag w:val="goog_rdk_19"/>
          <w:id w:val="599988960"/>
        </w:sdtPr>
        <w:sdtEndPr/>
        <w:sdtContent/>
      </w:sdt>
      <w:r w:rsidR="004A3C23" w:rsidRPr="00E52E74">
        <w:rPr>
          <w:color w:val="000000"/>
        </w:rPr>
        <w:t>10.</w:t>
      </w:r>
      <w:r w:rsidR="004A3C23" w:rsidRPr="00E52E74">
        <w:rPr>
          <w:color w:val="000000"/>
        </w:rPr>
        <w:tab/>
        <w:t>tunneb heameelt selle üle, et eelarvesse on lisatud täiendavad tulud, mis tulenevad lõplikest trahvidest ja karistusmaksetest summas 1 185,1</w:t>
      </w:r>
      <w:r w:rsidR="004B5989" w:rsidRPr="00E52E74">
        <w:rPr>
          <w:color w:val="000000"/>
        </w:rPr>
        <w:t> </w:t>
      </w:r>
      <w:r w:rsidR="004A3C23" w:rsidRPr="00E52E74">
        <w:rPr>
          <w:color w:val="000000"/>
        </w:rPr>
        <w:t xml:space="preserve">miljonit eurot; on seisukohal, et need summad kujutavad endast tõelisi liidu tuluallikaid, mis vähendavad liikmesriikide kogurahvatulul põhinevaid osamakseid; tuletab sellega seoses meelde, et komisjon on esildanud järgmise mitmeaastase finantsraamistiku perioodiks muudatused, </w:t>
      </w:r>
      <w:r w:rsidR="004A3C23" w:rsidRPr="00E52E74">
        <w:rPr>
          <w:color w:val="000000"/>
        </w:rPr>
        <w:lastRenderedPageBreak/>
        <w:t>mille eesmärk on tagada, et selliste erakorraliste tuludega võivad kaasneda täiendavad kulude assigneeringud;</w:t>
      </w:r>
    </w:p>
    <w:p w14:paraId="0832921C" w14:textId="77777777" w:rsidR="004A3C23" w:rsidRPr="00E52E74" w:rsidRDefault="004A3C23" w:rsidP="004A3C23">
      <w:pPr>
        <w:spacing w:after="240"/>
        <w:ind w:left="567" w:hanging="567"/>
        <w:rPr>
          <w:color w:val="000000"/>
        </w:rPr>
      </w:pPr>
      <w:r w:rsidRPr="00E52E74">
        <w:rPr>
          <w:color w:val="000000"/>
        </w:rPr>
        <w:t>11.</w:t>
      </w:r>
      <w:r w:rsidRPr="00E52E74">
        <w:rPr>
          <w:color w:val="000000"/>
        </w:rPr>
        <w:tab/>
        <w:t xml:space="preserve">võtab teadmiseks ettepaneku kanda eelarvesse 1 300 miljonit eurot prognoositava traditsiooniliste omavahendite ülejäägina; peab kaheldavaks, kas on põhjendatud teha tollimaksudest saadava tulu suhtes eelarveaasta jooksul korduvaid </w:t>
      </w:r>
      <w:proofErr w:type="spellStart"/>
      <w:r w:rsidRPr="00E52E74">
        <w:rPr>
          <w:color w:val="000000"/>
        </w:rPr>
        <w:t>ajakohastusi</w:t>
      </w:r>
      <w:proofErr w:type="spellEnd"/>
      <w:r w:rsidRPr="00E52E74">
        <w:rPr>
          <w:color w:val="000000"/>
        </w:rPr>
        <w:t xml:space="preserve">, eelkõige väljaspool iga-aastast sihipärast paranduseelarvet, mille eesmärk on tulupoolt ajakohastada ja </w:t>
      </w:r>
      <w:proofErr w:type="spellStart"/>
      <w:r w:rsidRPr="00E52E74">
        <w:rPr>
          <w:color w:val="000000"/>
        </w:rPr>
        <w:t>regulariseerida</w:t>
      </w:r>
      <w:proofErr w:type="spellEnd"/>
      <w:r w:rsidRPr="00E52E74">
        <w:rPr>
          <w:color w:val="000000"/>
        </w:rPr>
        <w:t>;</w:t>
      </w:r>
    </w:p>
    <w:p w14:paraId="171BDECB" w14:textId="64A8E879" w:rsidR="004A3C23" w:rsidRPr="00E52E74" w:rsidRDefault="004A3C23" w:rsidP="004A3C23">
      <w:pPr>
        <w:spacing w:after="240"/>
        <w:ind w:left="567" w:hanging="567"/>
        <w:rPr>
          <w:color w:val="000000"/>
        </w:rPr>
      </w:pPr>
      <w:r w:rsidRPr="00E52E74">
        <w:t>12.</w:t>
      </w:r>
      <w:r w:rsidRPr="00E52E74">
        <w:tab/>
        <w:t>võtab teadmiseks 2025. aasta töötasude kohanduste ajakohastamise ja nõustub sellega, et kõnealuste kohanduste mõju eelarvele lisatakse paranduseelarve projekti</w:t>
      </w:r>
      <w:r w:rsidR="004B5989" w:rsidRPr="00E52E74">
        <w:t xml:space="preserve"> </w:t>
      </w:r>
      <w:r w:rsidRPr="00E52E74">
        <w:t>nr 3/2025 tehnilise muudatusena; märgib, et see tähendab rubriigi 7 asjaomastel eelarveridadel ja asjaomastes jagudes liigendamata assigneeringute vähendamist kogusummas 78,8 miljonit eurot;</w:t>
      </w:r>
    </w:p>
    <w:p w14:paraId="233EC214" w14:textId="25756CDA" w:rsidR="004A3C23" w:rsidRPr="00E52E74" w:rsidRDefault="004A3C23" w:rsidP="004A3C23">
      <w:pPr>
        <w:spacing w:after="240"/>
        <w:ind w:left="567" w:hanging="567"/>
        <w:rPr>
          <w:color w:val="000000"/>
        </w:rPr>
      </w:pPr>
      <w:r w:rsidRPr="00E52E74">
        <w:rPr>
          <w:color w:val="000000"/>
        </w:rPr>
        <w:t>13.</w:t>
      </w:r>
      <w:r w:rsidRPr="00E52E74">
        <w:rPr>
          <w:color w:val="000000"/>
        </w:rPr>
        <w:tab/>
        <w:t>kiidab nõukogu seisukoha paranduseelarve projekti</w:t>
      </w:r>
      <w:r w:rsidR="004B5989" w:rsidRPr="00E52E74">
        <w:rPr>
          <w:color w:val="000000"/>
        </w:rPr>
        <w:t xml:space="preserve"> </w:t>
      </w:r>
      <w:r w:rsidRPr="00E52E74">
        <w:rPr>
          <w:color w:val="000000"/>
        </w:rPr>
        <w:t>nr 3/2025 kohta heaks;</w:t>
      </w:r>
    </w:p>
    <w:p w14:paraId="39A832D0" w14:textId="41223E49" w:rsidR="004A3C23" w:rsidRPr="00E52E74" w:rsidRDefault="004A3C23" w:rsidP="004A3C23">
      <w:pPr>
        <w:spacing w:after="240"/>
        <w:ind w:left="567" w:hanging="567"/>
        <w:rPr>
          <w:color w:val="000000"/>
        </w:rPr>
      </w:pPr>
      <w:r w:rsidRPr="00E52E74">
        <w:rPr>
          <w:color w:val="000000"/>
        </w:rPr>
        <w:t>14.</w:t>
      </w:r>
      <w:r w:rsidRPr="00E52E74">
        <w:rPr>
          <w:color w:val="000000"/>
        </w:rPr>
        <w:tab/>
        <w:t>teeb presidendile ülesandeks kuulutada paranduseelarve</w:t>
      </w:r>
      <w:r w:rsidR="004B5989" w:rsidRPr="00E52E74">
        <w:rPr>
          <w:color w:val="000000"/>
        </w:rPr>
        <w:t xml:space="preserve"> </w:t>
      </w:r>
      <w:r w:rsidRPr="00E52E74">
        <w:rPr>
          <w:color w:val="000000"/>
        </w:rPr>
        <w:t xml:space="preserve">nr 3/2025 lõplikult vastuvõetuks ja korraldada selle avaldamine </w:t>
      </w:r>
      <w:r w:rsidRPr="00E52E74">
        <w:rPr>
          <w:i/>
          <w:color w:val="000000"/>
        </w:rPr>
        <w:t>Euroopa Liidu Teatajas</w:t>
      </w:r>
      <w:r w:rsidRPr="00E52E74">
        <w:rPr>
          <w:color w:val="000000"/>
        </w:rPr>
        <w:t>;</w:t>
      </w:r>
    </w:p>
    <w:p w14:paraId="746A27FE" w14:textId="12E1273C" w:rsidR="00E365E1" w:rsidRPr="00E52E74" w:rsidRDefault="004A3C23" w:rsidP="004B5989">
      <w:pPr>
        <w:spacing w:after="240"/>
        <w:ind w:left="567" w:hanging="567"/>
      </w:pPr>
      <w:r w:rsidRPr="00E52E74">
        <w:rPr>
          <w:color w:val="000000"/>
        </w:rPr>
        <w:t>15.</w:t>
      </w:r>
      <w:r w:rsidRPr="00E52E74">
        <w:rPr>
          <w:color w:val="000000"/>
        </w:rPr>
        <w:tab/>
        <w:t>teeb presidendile ülesandeks edastada käesolev resolutsioon nõukogule, komisjonile ning liikmesriikide parlamentidele.</w:t>
      </w:r>
    </w:p>
    <w:sectPr w:rsidR="00E365E1" w:rsidRPr="00E52E74" w:rsidSect="00B512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C3ED2" w14:textId="77777777" w:rsidR="0003558F" w:rsidRPr="00B512A1" w:rsidRDefault="0003558F">
      <w:r w:rsidRPr="00B512A1">
        <w:separator/>
      </w:r>
    </w:p>
  </w:endnote>
  <w:endnote w:type="continuationSeparator" w:id="0">
    <w:p w14:paraId="7EE18FE4" w14:textId="77777777" w:rsidR="0003558F" w:rsidRPr="00B512A1" w:rsidRDefault="0003558F">
      <w:r w:rsidRPr="00B512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0338F" w14:textId="77777777" w:rsidR="00064002" w:rsidRPr="00B512A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C8887" w14:textId="77777777" w:rsidR="00064002" w:rsidRPr="00B512A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CE3BE" w14:textId="77777777" w:rsidR="00064002" w:rsidRPr="00B512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22C55B" w14:textId="77777777" w:rsidR="0003558F" w:rsidRPr="00B512A1" w:rsidRDefault="0003558F">
      <w:r w:rsidRPr="00B512A1">
        <w:separator/>
      </w:r>
    </w:p>
  </w:footnote>
  <w:footnote w:type="continuationSeparator" w:id="0">
    <w:p w14:paraId="2D0E3816" w14:textId="77777777" w:rsidR="0003558F" w:rsidRPr="00B512A1" w:rsidRDefault="0003558F">
      <w:r w:rsidRPr="00B512A1">
        <w:continuationSeparator/>
      </w:r>
    </w:p>
  </w:footnote>
  <w:footnote w:id="1">
    <w:p w14:paraId="3FF17533" w14:textId="2FCDA3E8" w:rsidR="004A3C23" w:rsidRPr="00B512A1" w:rsidRDefault="004A3C23" w:rsidP="00B512A1">
      <w:pPr>
        <w:pStyle w:val="FootnoteText"/>
        <w:ind w:left="567" w:hanging="567"/>
        <w:rPr>
          <w:sz w:val="24"/>
          <w:lang w:val="et-EE"/>
        </w:rPr>
      </w:pPr>
      <w:r w:rsidRPr="00B512A1">
        <w:rPr>
          <w:rStyle w:val="FootnoteReference"/>
          <w:sz w:val="24"/>
          <w:lang w:val="et-EE"/>
        </w:rPr>
        <w:footnoteRef/>
      </w:r>
      <w:r w:rsidR="00B512A1" w:rsidRPr="00B512A1">
        <w:rPr>
          <w:sz w:val="24"/>
          <w:lang w:val="et-EE"/>
        </w:rPr>
        <w:t xml:space="preserve"> </w:t>
      </w:r>
      <w:r w:rsidR="00B512A1" w:rsidRPr="00B512A1">
        <w:rPr>
          <w:sz w:val="24"/>
          <w:lang w:val="et-EE"/>
        </w:rPr>
        <w:tab/>
      </w:r>
      <w:r w:rsidRPr="00B512A1">
        <w:rPr>
          <w:sz w:val="24"/>
          <w:lang w:val="et-EE"/>
        </w:rPr>
        <w:t xml:space="preserve">ELT L, 2024/2509, 26.9.2024, ELI: </w:t>
      </w:r>
      <w:hyperlink r:id="rId1" w:history="1">
        <w:r w:rsidRPr="00B512A1">
          <w:rPr>
            <w:rStyle w:val="Hyperlink"/>
            <w:sz w:val="24"/>
            <w:lang w:val="et-EE"/>
          </w:rPr>
          <w:t>http://data.europa.eu/eli/reg/2024/2509/oj</w:t>
        </w:r>
      </w:hyperlink>
      <w:r w:rsidRPr="00B512A1">
        <w:rPr>
          <w:sz w:val="24"/>
          <w:lang w:val="et-EE"/>
        </w:rPr>
        <w:t>.</w:t>
      </w:r>
    </w:p>
  </w:footnote>
  <w:footnote w:id="2">
    <w:p w14:paraId="2D29EBBD" w14:textId="00C97887" w:rsidR="004A3C23" w:rsidRPr="00B512A1" w:rsidRDefault="004A3C23" w:rsidP="00B512A1">
      <w:pPr>
        <w:pStyle w:val="FootnoteText"/>
        <w:ind w:left="567" w:hanging="567"/>
        <w:rPr>
          <w:sz w:val="24"/>
          <w:lang w:val="et-EE"/>
        </w:rPr>
      </w:pPr>
      <w:r w:rsidRPr="00B512A1">
        <w:rPr>
          <w:rStyle w:val="FootnoteReference"/>
          <w:sz w:val="24"/>
          <w:lang w:val="et-EE"/>
        </w:rPr>
        <w:footnoteRef/>
      </w:r>
      <w:r w:rsidR="00B512A1" w:rsidRPr="00B512A1">
        <w:rPr>
          <w:sz w:val="24"/>
          <w:lang w:val="et-EE"/>
        </w:rPr>
        <w:t xml:space="preserve"> </w:t>
      </w:r>
      <w:r w:rsidR="00B512A1" w:rsidRPr="00B512A1">
        <w:rPr>
          <w:sz w:val="24"/>
          <w:lang w:val="et-EE"/>
        </w:rPr>
        <w:tab/>
      </w:r>
      <w:r w:rsidRPr="00B512A1">
        <w:rPr>
          <w:sz w:val="24"/>
          <w:lang w:val="et-EE"/>
        </w:rPr>
        <w:t xml:space="preserve">ELT L, 2025/31, 27.2.2025, ELI: </w:t>
      </w:r>
      <w:hyperlink r:id="rId2" w:history="1">
        <w:r w:rsidRPr="00B512A1">
          <w:rPr>
            <w:rStyle w:val="Hyperlink"/>
            <w:sz w:val="24"/>
            <w:lang w:val="et-EE"/>
          </w:rPr>
          <w:t>http://data.europa.eu/eli/budget/2025/31/oj</w:t>
        </w:r>
      </w:hyperlink>
      <w:r w:rsidRPr="00B512A1">
        <w:rPr>
          <w:rStyle w:val="Hyperlink"/>
          <w:sz w:val="24"/>
          <w:lang w:val="et-EE"/>
        </w:rPr>
        <w:t>.</w:t>
      </w:r>
    </w:p>
  </w:footnote>
  <w:footnote w:id="3">
    <w:p w14:paraId="3C456CB4" w14:textId="3D8E69DA" w:rsidR="004A3C23" w:rsidRPr="00B512A1" w:rsidRDefault="004A3C23" w:rsidP="00B512A1">
      <w:pPr>
        <w:pStyle w:val="FootnoteText"/>
        <w:ind w:left="567" w:hanging="567"/>
        <w:rPr>
          <w:sz w:val="24"/>
          <w:lang w:val="et-EE"/>
        </w:rPr>
      </w:pPr>
      <w:r w:rsidRPr="00B512A1">
        <w:rPr>
          <w:rStyle w:val="FootnoteReference"/>
          <w:sz w:val="24"/>
          <w:lang w:val="et-EE"/>
        </w:rPr>
        <w:footnoteRef/>
      </w:r>
      <w:r w:rsidR="00B512A1" w:rsidRPr="00B512A1">
        <w:rPr>
          <w:sz w:val="24"/>
          <w:lang w:val="et-EE"/>
        </w:rPr>
        <w:t xml:space="preserve"> </w:t>
      </w:r>
      <w:r w:rsidR="00B512A1" w:rsidRPr="00B512A1">
        <w:rPr>
          <w:sz w:val="24"/>
          <w:lang w:val="et-EE"/>
        </w:rPr>
        <w:tab/>
      </w:r>
      <w:r w:rsidRPr="00B512A1">
        <w:rPr>
          <w:sz w:val="24"/>
          <w:lang w:val="et-EE"/>
        </w:rPr>
        <w:t xml:space="preserve">ELT L 433 I, 22.12.2020, lk 11, ELI: </w:t>
      </w:r>
      <w:hyperlink r:id="rId3" w:history="1">
        <w:r w:rsidRPr="00B512A1">
          <w:rPr>
            <w:rStyle w:val="Hyperlink"/>
            <w:sz w:val="24"/>
            <w:lang w:val="et-EE"/>
          </w:rPr>
          <w:t>http://data.europa.eu/eli/reg/2020/433/oj</w:t>
        </w:r>
      </w:hyperlink>
      <w:r w:rsidRPr="00B512A1">
        <w:rPr>
          <w:sz w:val="24"/>
          <w:lang w:val="et-EE"/>
        </w:rPr>
        <w:t>.</w:t>
      </w:r>
    </w:p>
  </w:footnote>
  <w:footnote w:id="4">
    <w:p w14:paraId="4E681453" w14:textId="0ACD96E7" w:rsidR="004A3C23" w:rsidRPr="00B512A1" w:rsidRDefault="004A3C23" w:rsidP="00B512A1">
      <w:pPr>
        <w:pStyle w:val="FootnoteText"/>
        <w:ind w:left="567" w:hanging="567"/>
        <w:rPr>
          <w:sz w:val="24"/>
          <w:lang w:val="et-EE"/>
        </w:rPr>
      </w:pPr>
      <w:r w:rsidRPr="00B512A1">
        <w:rPr>
          <w:rStyle w:val="FootnoteReference"/>
          <w:sz w:val="24"/>
          <w:lang w:val="et-EE"/>
        </w:rPr>
        <w:footnoteRef/>
      </w:r>
      <w:r w:rsidR="00B512A1" w:rsidRPr="00B512A1">
        <w:rPr>
          <w:sz w:val="24"/>
          <w:lang w:val="et-EE"/>
        </w:rPr>
        <w:t xml:space="preserve"> </w:t>
      </w:r>
      <w:r w:rsidR="00B512A1" w:rsidRPr="00B512A1">
        <w:rPr>
          <w:sz w:val="24"/>
          <w:lang w:val="et-EE"/>
        </w:rPr>
        <w:tab/>
      </w:r>
      <w:r w:rsidRPr="00B512A1">
        <w:rPr>
          <w:sz w:val="24"/>
          <w:lang w:val="et-EE"/>
        </w:rPr>
        <w:t xml:space="preserve">ELT L 433 I, 22.12.2020, lk 28, ELI: </w:t>
      </w:r>
      <w:hyperlink r:id="rId4" w:history="1">
        <w:r w:rsidRPr="00B512A1">
          <w:rPr>
            <w:rStyle w:val="Hyperlink"/>
            <w:sz w:val="24"/>
            <w:lang w:val="et-EE"/>
          </w:rPr>
          <w:t>http://data.europa.eu/eli/agree_interinstit/2020/1222/oj</w:t>
        </w:r>
      </w:hyperlink>
      <w:r w:rsidRPr="00B512A1">
        <w:rPr>
          <w:sz w:val="24"/>
          <w:lang w:val="et-EE"/>
        </w:rPr>
        <w:t>.</w:t>
      </w:r>
    </w:p>
  </w:footnote>
  <w:footnote w:id="5">
    <w:p w14:paraId="09E09351" w14:textId="2FF9762A" w:rsidR="004A3C23" w:rsidRPr="00B512A1" w:rsidRDefault="004A3C23" w:rsidP="00B512A1">
      <w:pPr>
        <w:pStyle w:val="FootnoteText"/>
        <w:ind w:left="567" w:hanging="567"/>
        <w:rPr>
          <w:sz w:val="24"/>
          <w:lang w:val="et-EE"/>
        </w:rPr>
      </w:pPr>
      <w:r w:rsidRPr="00B512A1">
        <w:rPr>
          <w:rStyle w:val="FootnoteReference"/>
          <w:sz w:val="24"/>
          <w:lang w:val="et-EE"/>
        </w:rPr>
        <w:footnoteRef/>
      </w:r>
      <w:r w:rsidR="00B512A1" w:rsidRPr="00B512A1">
        <w:rPr>
          <w:sz w:val="24"/>
          <w:lang w:val="et-EE"/>
        </w:rPr>
        <w:t xml:space="preserve"> </w:t>
      </w:r>
      <w:r w:rsidR="00B512A1" w:rsidRPr="00B512A1">
        <w:rPr>
          <w:sz w:val="24"/>
          <w:lang w:val="et-EE"/>
        </w:rPr>
        <w:tab/>
      </w:r>
      <w:r w:rsidRPr="00B512A1">
        <w:rPr>
          <w:sz w:val="24"/>
          <w:lang w:val="et-EE"/>
        </w:rPr>
        <w:t xml:space="preserve">ELT L 424, 15.12.2020, lk 1, ELI: </w:t>
      </w:r>
      <w:hyperlink r:id="rId5" w:history="1">
        <w:r w:rsidRPr="00B512A1">
          <w:rPr>
            <w:rStyle w:val="Hyperlink"/>
            <w:sz w:val="24"/>
            <w:lang w:val="et-EE"/>
          </w:rPr>
          <w:t>http://data.europa.eu/eli/dec/2020/2053/oj</w:t>
        </w:r>
      </w:hyperlink>
      <w:r w:rsidRPr="00B512A1">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3D6FF" w14:textId="77777777" w:rsidR="00064002" w:rsidRPr="00B512A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41A78" w14:textId="77777777" w:rsidR="00064002" w:rsidRPr="00B512A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A0CA4" w14:textId="77777777" w:rsidR="00064002" w:rsidRPr="00B512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2809334">
    <w:abstractNumId w:val="9"/>
  </w:num>
  <w:num w:numId="2" w16cid:durableId="498693264">
    <w:abstractNumId w:val="9"/>
  </w:num>
  <w:num w:numId="3" w16cid:durableId="733312673">
    <w:abstractNumId w:val="7"/>
  </w:num>
  <w:num w:numId="4" w16cid:durableId="270284669">
    <w:abstractNumId w:val="7"/>
  </w:num>
  <w:num w:numId="5" w16cid:durableId="1530601401">
    <w:abstractNumId w:val="6"/>
  </w:num>
  <w:num w:numId="6" w16cid:durableId="584849400">
    <w:abstractNumId w:val="6"/>
  </w:num>
  <w:num w:numId="7" w16cid:durableId="1149244010">
    <w:abstractNumId w:val="5"/>
  </w:num>
  <w:num w:numId="8" w16cid:durableId="585188952">
    <w:abstractNumId w:val="5"/>
  </w:num>
  <w:num w:numId="9" w16cid:durableId="588779301">
    <w:abstractNumId w:val="4"/>
  </w:num>
  <w:num w:numId="10" w16cid:durableId="1204750874">
    <w:abstractNumId w:val="4"/>
  </w:num>
  <w:num w:numId="11" w16cid:durableId="490681529">
    <w:abstractNumId w:val="8"/>
  </w:num>
  <w:num w:numId="12" w16cid:durableId="1424376479">
    <w:abstractNumId w:val="8"/>
  </w:num>
  <w:num w:numId="13" w16cid:durableId="872112530">
    <w:abstractNumId w:val="3"/>
  </w:num>
  <w:num w:numId="14" w16cid:durableId="1975989251">
    <w:abstractNumId w:val="3"/>
  </w:num>
  <w:num w:numId="15" w16cid:durableId="214898634">
    <w:abstractNumId w:val="2"/>
  </w:num>
  <w:num w:numId="16" w16cid:durableId="960264346">
    <w:abstractNumId w:val="2"/>
  </w:num>
  <w:num w:numId="17" w16cid:durableId="374627069">
    <w:abstractNumId w:val="1"/>
  </w:num>
  <w:num w:numId="18" w16cid:durableId="1732922520">
    <w:abstractNumId w:val="1"/>
  </w:num>
  <w:num w:numId="19" w16cid:durableId="746459236">
    <w:abstractNumId w:val="0"/>
  </w:num>
  <w:num w:numId="20" w16cid:durableId="167409713">
    <w:abstractNumId w:val="0"/>
  </w:num>
  <w:num w:numId="21" w16cid:durableId="1415853468">
    <w:abstractNumId w:val="9"/>
  </w:num>
  <w:num w:numId="22" w16cid:durableId="187917190">
    <w:abstractNumId w:val="7"/>
  </w:num>
  <w:num w:numId="23" w16cid:durableId="630329927">
    <w:abstractNumId w:val="6"/>
  </w:num>
  <w:num w:numId="24" w16cid:durableId="287663202">
    <w:abstractNumId w:val="5"/>
  </w:num>
  <w:num w:numId="25" w16cid:durableId="1830553362">
    <w:abstractNumId w:val="4"/>
  </w:num>
  <w:num w:numId="26" w16cid:durableId="249313078">
    <w:abstractNumId w:val="8"/>
  </w:num>
  <w:num w:numId="27" w16cid:durableId="278999561">
    <w:abstractNumId w:val="3"/>
  </w:num>
  <w:num w:numId="28" w16cid:durableId="570309499">
    <w:abstractNumId w:val="2"/>
  </w:num>
  <w:num w:numId="29" w16cid:durableId="818624">
    <w:abstractNumId w:val="1"/>
  </w:num>
  <w:num w:numId="30" w16cid:durableId="74522208">
    <w:abstractNumId w:val="0"/>
  </w:num>
  <w:num w:numId="31" w16cid:durableId="1331567411">
    <w:abstractNumId w:val="9"/>
  </w:num>
  <w:num w:numId="32" w16cid:durableId="640186546">
    <w:abstractNumId w:val="7"/>
  </w:num>
  <w:num w:numId="33" w16cid:durableId="446394825">
    <w:abstractNumId w:val="6"/>
  </w:num>
  <w:num w:numId="34" w16cid:durableId="1954902540">
    <w:abstractNumId w:val="5"/>
  </w:num>
  <w:num w:numId="35" w16cid:durableId="900142297">
    <w:abstractNumId w:val="4"/>
  </w:num>
  <w:num w:numId="36" w16cid:durableId="686640261">
    <w:abstractNumId w:val="8"/>
  </w:num>
  <w:num w:numId="37" w16cid:durableId="687828210">
    <w:abstractNumId w:val="3"/>
  </w:num>
  <w:num w:numId="38" w16cid:durableId="1712614114">
    <w:abstractNumId w:val="2"/>
  </w:num>
  <w:num w:numId="39" w16cid:durableId="1842698644">
    <w:abstractNumId w:val="1"/>
  </w:num>
  <w:num w:numId="40" w16cid:durableId="408504710">
    <w:abstractNumId w:val="0"/>
  </w:num>
  <w:num w:numId="41" w16cid:durableId="1944919447">
    <w:abstractNumId w:val="10"/>
  </w:num>
  <w:num w:numId="42" w16cid:durableId="752627378">
    <w:abstractNumId w:val="10"/>
  </w:num>
  <w:num w:numId="43" w16cid:durableId="1744332098">
    <w:abstractNumId w:val="10"/>
  </w:num>
  <w:num w:numId="44" w16cid:durableId="112728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7/2025"/>
    <w:docVar w:name="dvlangue" w:val="ET"/>
    <w:docVar w:name="dvnumam" w:val="0"/>
    <w:docVar w:name="dvpe" w:val="778.228"/>
    <w:docVar w:name="dvrapporteur" w:val="Raportöör: "/>
    <w:docVar w:name="dvtitre" w:val="Euroopa Parlamendi .... 2025. aasta seadusandlik resolutsioon mis käsitleb nõukogu seisukohta Euroopa Liidu 2025. aasta paranduseelarve projekti nr 3/2025 kohta – Maksete assigneeringute kohandamine, tulude ajakohastamine ja muud tehnilised ajakohastamised(14878/2025 – C10-0301/2025 – 2025/0319(BUD))"/>
  </w:docVars>
  <w:rsids>
    <w:rsidRoot w:val="0003558F"/>
    <w:rsid w:val="00002272"/>
    <w:rsid w:val="0003558F"/>
    <w:rsid w:val="00064002"/>
    <w:rsid w:val="000677B9"/>
    <w:rsid w:val="000831BA"/>
    <w:rsid w:val="000A42CC"/>
    <w:rsid w:val="000E7DD9"/>
    <w:rsid w:val="0010095E"/>
    <w:rsid w:val="00125B37"/>
    <w:rsid w:val="00187494"/>
    <w:rsid w:val="001A68EC"/>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3C23"/>
    <w:rsid w:val="004B5989"/>
    <w:rsid w:val="004C0004"/>
    <w:rsid w:val="004C5D52"/>
    <w:rsid w:val="004F4254"/>
    <w:rsid w:val="0050519A"/>
    <w:rsid w:val="005072A1"/>
    <w:rsid w:val="00514517"/>
    <w:rsid w:val="00545827"/>
    <w:rsid w:val="00560270"/>
    <w:rsid w:val="005C2568"/>
    <w:rsid w:val="005F1B17"/>
    <w:rsid w:val="006037C0"/>
    <w:rsid w:val="006631B6"/>
    <w:rsid w:val="00680577"/>
    <w:rsid w:val="006F6535"/>
    <w:rsid w:val="006F74FA"/>
    <w:rsid w:val="00731ADD"/>
    <w:rsid w:val="00734777"/>
    <w:rsid w:val="00747932"/>
    <w:rsid w:val="00751A4A"/>
    <w:rsid w:val="00756632"/>
    <w:rsid w:val="00762C74"/>
    <w:rsid w:val="00786EC0"/>
    <w:rsid w:val="007D1690"/>
    <w:rsid w:val="007E22AD"/>
    <w:rsid w:val="00817416"/>
    <w:rsid w:val="00842779"/>
    <w:rsid w:val="008538FF"/>
    <w:rsid w:val="00865F67"/>
    <w:rsid w:val="00881A7B"/>
    <w:rsid w:val="008840E5"/>
    <w:rsid w:val="00887B3E"/>
    <w:rsid w:val="008C2AC6"/>
    <w:rsid w:val="00930C23"/>
    <w:rsid w:val="0093193B"/>
    <w:rsid w:val="009509D8"/>
    <w:rsid w:val="00950B64"/>
    <w:rsid w:val="00981893"/>
    <w:rsid w:val="00A1687D"/>
    <w:rsid w:val="00A43E52"/>
    <w:rsid w:val="00A43FB0"/>
    <w:rsid w:val="00A4678D"/>
    <w:rsid w:val="00A778C7"/>
    <w:rsid w:val="00AB441E"/>
    <w:rsid w:val="00AB6293"/>
    <w:rsid w:val="00AC73DE"/>
    <w:rsid w:val="00AE0928"/>
    <w:rsid w:val="00AF3B82"/>
    <w:rsid w:val="00B12E95"/>
    <w:rsid w:val="00B22876"/>
    <w:rsid w:val="00B512A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2E7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92C4A6"/>
  <w15:chartTrackingRefBased/>
  <w15:docId w15:val="{1809548D-23F6-46F2-812A-36443D1C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3C23"/>
    <w:pPr>
      <w:spacing w:before="480" w:after="240"/>
    </w:pPr>
  </w:style>
  <w:style w:type="paragraph" w:customStyle="1" w:styleId="NormalHanging12a">
    <w:name w:val="NormalHanging12a"/>
    <w:basedOn w:val="Normal"/>
    <w:rsid w:val="004A3C23"/>
    <w:pPr>
      <w:spacing w:after="240"/>
      <w:ind w:left="567" w:hanging="567"/>
    </w:pPr>
  </w:style>
  <w:style w:type="character" w:styleId="Hyperlink">
    <w:name w:val="Hyperlink"/>
    <w:basedOn w:val="DefaultParagraphFont"/>
    <w:uiPriority w:val="99"/>
    <w:rsid w:val="004A3C23"/>
    <w:rPr>
      <w:color w:val="0563C1" w:themeColor="hyperlink"/>
      <w:u w:val="single"/>
    </w:rPr>
  </w:style>
  <w:style w:type="paragraph" w:styleId="Revision">
    <w:name w:val="Revision"/>
    <w:hidden/>
    <w:uiPriority w:val="99"/>
    <w:semiHidden/>
    <w:rsid w:val="004B5989"/>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43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988</Words>
  <Characters>7893</Characters>
  <Application>Microsoft Office Word</Application>
  <DocSecurity>0</DocSecurity>
  <Lines>315</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2025-11-27T09:25:00Z</dcterms:created>
  <dcterms:modified xsi:type="dcterms:W3CDTF">2025-11-27T09:25:00Z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P10_TA(2025)0293_</vt:lpwstr>
  </property>
  <property fmtid="{D5CDD505-2E9C-101B-9397-08002B2CF9AE}" pid="4" name="&lt;Type&gt;">
    <vt:lpwstr>RR</vt:lpwstr>
  </property>
</Properties>
</file>