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4965" w14:paraId="7C573C9D" w14:textId="77777777" w:rsidTr="0010095E">
        <w:trPr>
          <w:trHeight w:hRule="exact" w:val="1418"/>
        </w:trPr>
        <w:tc>
          <w:tcPr>
            <w:tcW w:w="6804" w:type="dxa"/>
            <w:shd w:val="clear" w:color="auto" w:fill="auto"/>
            <w:vAlign w:val="center"/>
          </w:tcPr>
          <w:p w14:paraId="3352492D" w14:textId="77777777" w:rsidR="00751A4A" w:rsidRPr="00C44965" w:rsidRDefault="00B506FB" w:rsidP="0010095E">
            <w:pPr>
              <w:pStyle w:val="EPName"/>
            </w:pPr>
            <w:r w:rsidRPr="00C44965">
              <w:t>Euroopan parlamentti</w:t>
            </w:r>
          </w:p>
          <w:p w14:paraId="76CE12EB" w14:textId="77777777" w:rsidR="00751A4A" w:rsidRPr="00C44965" w:rsidRDefault="005F1B17" w:rsidP="005F1B17">
            <w:pPr>
              <w:pStyle w:val="EPTerm"/>
              <w:rPr>
                <w:rStyle w:val="HideTWBExt"/>
                <w:noProof w:val="0"/>
                <w:vanish w:val="0"/>
                <w:color w:val="auto"/>
              </w:rPr>
            </w:pPr>
            <w:r w:rsidRPr="00C44965">
              <w:t>2024</w:t>
            </w:r>
            <w:r w:rsidR="00817416" w:rsidRPr="00C44965">
              <w:t>-202</w:t>
            </w:r>
            <w:r w:rsidRPr="00C44965">
              <w:t>9</w:t>
            </w:r>
          </w:p>
        </w:tc>
        <w:tc>
          <w:tcPr>
            <w:tcW w:w="2268" w:type="dxa"/>
            <w:shd w:val="clear" w:color="auto" w:fill="auto"/>
          </w:tcPr>
          <w:p w14:paraId="5AB8BDD3" w14:textId="77777777" w:rsidR="00751A4A" w:rsidRPr="00C44965" w:rsidRDefault="00187494" w:rsidP="0010095E">
            <w:pPr>
              <w:pStyle w:val="EPLogo"/>
            </w:pPr>
            <w:r w:rsidRPr="00C44965">
              <w:rPr>
                <w:noProof/>
                <w:lang w:eastAsia="ja-JP"/>
              </w:rPr>
              <w:drawing>
                <wp:inline distT="0" distB="0" distL="0" distR="0" wp14:anchorId="2249FEDB" wp14:editId="0BC2DB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BD41A1" w14:textId="77777777" w:rsidR="00D058B8" w:rsidRPr="00C44965" w:rsidRDefault="00D058B8" w:rsidP="004C5D52">
      <w:pPr>
        <w:pStyle w:val="LineTop"/>
      </w:pPr>
    </w:p>
    <w:p w14:paraId="2C8B9B3A" w14:textId="77777777" w:rsidR="00680577" w:rsidRPr="00C44965" w:rsidRDefault="00B506FB" w:rsidP="00680577">
      <w:pPr>
        <w:pStyle w:val="EPBodyTA1"/>
      </w:pPr>
      <w:r w:rsidRPr="00C44965">
        <w:t>HYVÄKSYTYT TEKSTIT</w:t>
      </w:r>
    </w:p>
    <w:p w14:paraId="02CEBC77" w14:textId="77777777" w:rsidR="00D058B8" w:rsidRPr="00C44965" w:rsidRDefault="00D058B8" w:rsidP="00D058B8">
      <w:pPr>
        <w:pStyle w:val="LineBottom"/>
      </w:pPr>
    </w:p>
    <w:p w14:paraId="5020E424" w14:textId="30A32C1D" w:rsidR="00B506FB" w:rsidRPr="00C44965" w:rsidRDefault="00B506FB" w:rsidP="00B506FB">
      <w:pPr>
        <w:pStyle w:val="ATHeading1"/>
      </w:pPr>
      <w:bookmarkStart w:id="0" w:name="TANumber"/>
      <w:r w:rsidRPr="00C44965">
        <w:t>P10_TA(2025)0</w:t>
      </w:r>
      <w:r w:rsidR="00825AED">
        <w:t>293</w:t>
      </w:r>
      <w:bookmarkEnd w:id="0"/>
    </w:p>
    <w:p w14:paraId="18DD1ACA" w14:textId="2AB45FD5" w:rsidR="00B506FB" w:rsidRPr="00C44965" w:rsidRDefault="00CA3278" w:rsidP="00CA3278">
      <w:pPr>
        <w:pStyle w:val="ATHeading2"/>
      </w:pPr>
      <w:bookmarkStart w:id="1" w:name="title"/>
      <w:r w:rsidRPr="00C44965">
        <w:rPr>
          <w:bCs/>
        </w:rPr>
        <w:t>Lisätalousarvioesitys nro 3/2025: maksumäärärahojen mukauttaminen, tulojen päivittäminen ja muut tekniset päivitykset</w:t>
      </w:r>
      <w:bookmarkEnd w:id="1"/>
    </w:p>
    <w:p w14:paraId="75597C77" w14:textId="77777777" w:rsidR="00B506FB" w:rsidRPr="00C44965" w:rsidRDefault="00B506FB" w:rsidP="00B506FB">
      <w:pPr>
        <w:rPr>
          <w:i/>
          <w:vanish/>
        </w:rPr>
      </w:pPr>
      <w:r w:rsidRPr="00C44965">
        <w:rPr>
          <w:i/>
        </w:rPr>
        <w:fldChar w:fldCharType="begin"/>
      </w:r>
      <w:r w:rsidRPr="00C44965">
        <w:rPr>
          <w:i/>
        </w:rPr>
        <w:instrText xml:space="preserve"> TC"(</w:instrText>
      </w:r>
      <w:bookmarkStart w:id="2" w:name="DocNumber"/>
      <w:r w:rsidRPr="00C44965">
        <w:rPr>
          <w:i/>
        </w:rPr>
        <w:instrText>A10-0237/2025</w:instrText>
      </w:r>
      <w:bookmarkEnd w:id="2"/>
      <w:r w:rsidRPr="00C44965">
        <w:rPr>
          <w:i/>
        </w:rPr>
        <w:instrText xml:space="preserve"> - Esittelijä: Victor Negrescu)"\l3 \n&gt; \* MERGEFORMAT </w:instrText>
      </w:r>
      <w:r w:rsidRPr="00C44965">
        <w:rPr>
          <w:i/>
        </w:rPr>
        <w:fldChar w:fldCharType="end"/>
      </w:r>
    </w:p>
    <w:p w14:paraId="0508CD35" w14:textId="77777777" w:rsidR="00B506FB" w:rsidRPr="00C44965" w:rsidRDefault="00B506FB" w:rsidP="00B506FB">
      <w:pPr>
        <w:rPr>
          <w:vanish/>
        </w:rPr>
      </w:pPr>
      <w:bookmarkStart w:id="3" w:name="Commission"/>
      <w:r w:rsidRPr="00C44965">
        <w:rPr>
          <w:vanish/>
        </w:rPr>
        <w:t>Budjettivaliokunta</w:t>
      </w:r>
      <w:bookmarkEnd w:id="3"/>
    </w:p>
    <w:p w14:paraId="3DB513FD" w14:textId="77777777" w:rsidR="00B506FB" w:rsidRPr="00C44965" w:rsidRDefault="00B506FB" w:rsidP="00B506FB">
      <w:pPr>
        <w:rPr>
          <w:vanish/>
        </w:rPr>
      </w:pPr>
      <w:bookmarkStart w:id="4" w:name="PE"/>
      <w:r w:rsidRPr="00C44965">
        <w:rPr>
          <w:vanish/>
        </w:rPr>
        <w:t>PE778.228</w:t>
      </w:r>
      <w:bookmarkEnd w:id="4"/>
    </w:p>
    <w:p w14:paraId="66CCB16A" w14:textId="20EE97D3" w:rsidR="00B506FB" w:rsidRPr="00C44965" w:rsidRDefault="00B506FB" w:rsidP="00B506FB">
      <w:pPr>
        <w:pStyle w:val="ATHeading3"/>
      </w:pPr>
      <w:bookmarkStart w:id="5" w:name="Sujet"/>
      <w:r w:rsidRPr="00C44965">
        <w:t xml:space="preserve">Euroopan parlamentin päätöslauselma </w:t>
      </w:r>
      <w:r w:rsidR="00020B87" w:rsidRPr="00C44965">
        <w:t>26</w:t>
      </w:r>
      <w:r w:rsidRPr="00C44965">
        <w:t xml:space="preserve">. </w:t>
      </w:r>
      <w:r w:rsidR="00CA3278" w:rsidRPr="00C44965">
        <w:t>marras</w:t>
      </w:r>
      <w:r w:rsidRPr="00C44965">
        <w:t>kuuta 2025 neuvoston kannasta esitykseen Euroopan unionin lisätalousarvioksi nro 3/2025 varainhoitovuode</w:t>
      </w:r>
      <w:r w:rsidR="006B4C86" w:rsidRPr="00C44965">
        <w:t>n</w:t>
      </w:r>
      <w:r w:rsidRPr="00C44965">
        <w:t xml:space="preserve"> 2025</w:t>
      </w:r>
      <w:r w:rsidR="006B4C86" w:rsidRPr="00C44965">
        <w:t xml:space="preserve"> yleiseen talousarvioon:</w:t>
      </w:r>
      <w:r w:rsidRPr="00C44965">
        <w:t xml:space="preserve"> maksumäärärahojen mukauttaminen, tulojen päivittäminen ja muut tekniset päivitykset</w:t>
      </w:r>
      <w:bookmarkEnd w:id="5"/>
      <w:r w:rsidRPr="00C44965">
        <w:t xml:space="preserve"> </w:t>
      </w:r>
      <w:bookmarkStart w:id="6" w:name="References"/>
      <w:r w:rsidRPr="00C44965">
        <w:t>(14878/2025 – C10-0301/</w:t>
      </w:r>
      <w:proofErr w:type="gramStart"/>
      <w:r w:rsidRPr="00C44965">
        <w:t>2025 – 2025</w:t>
      </w:r>
      <w:proofErr w:type="gramEnd"/>
      <w:r w:rsidRPr="00C44965">
        <w:t>/0319(BUD))</w:t>
      </w:r>
      <w:bookmarkEnd w:id="6"/>
    </w:p>
    <w:p w14:paraId="27942FB0" w14:textId="77777777" w:rsidR="00E50C15" w:rsidRPr="00C44965" w:rsidRDefault="00E50C15" w:rsidP="00CA3278">
      <w:pPr>
        <w:pStyle w:val="EPComma"/>
        <w:widowControl/>
      </w:pPr>
      <w:bookmarkStart w:id="7" w:name="TextBodyBegin"/>
      <w:bookmarkEnd w:id="7"/>
      <w:r w:rsidRPr="00C44965">
        <w:rPr>
          <w:i/>
          <w:iCs/>
        </w:rPr>
        <w:t>Euroopan parlamentti</w:t>
      </w:r>
      <w:r w:rsidRPr="00C44965">
        <w:t>, joka</w:t>
      </w:r>
    </w:p>
    <w:p w14:paraId="7AF6310D" w14:textId="77777777" w:rsidR="00E50C15" w:rsidRPr="00C44965" w:rsidRDefault="00E50C15" w:rsidP="00CA3278">
      <w:pPr>
        <w:pStyle w:val="NormalHanging12a"/>
        <w:widowControl/>
      </w:pPr>
      <w:r w:rsidRPr="00C44965">
        <w:t>–</w:t>
      </w:r>
      <w:r w:rsidRPr="00C44965">
        <w:tab/>
        <w:t>ottaa huomioon Euroopan unionin toiminnasta tehdyn sopimuksen 314 artiklan,</w:t>
      </w:r>
    </w:p>
    <w:p w14:paraId="51C4AFD1" w14:textId="77777777" w:rsidR="00E50C15" w:rsidRPr="00C44965" w:rsidRDefault="00E50C15" w:rsidP="00CA3278">
      <w:pPr>
        <w:pStyle w:val="NormalHanging12a"/>
        <w:widowControl/>
      </w:pPr>
      <w:r w:rsidRPr="00C44965">
        <w:t>–</w:t>
      </w:r>
      <w:r w:rsidRPr="00C44965">
        <w:tab/>
        <w:t>ottaa huomioon Euroopan atomienergiayhteisön perustamissopimuksen 106 A artiklan,</w:t>
      </w:r>
    </w:p>
    <w:p w14:paraId="0199B494" w14:textId="77777777" w:rsidR="00E50C15" w:rsidRPr="00C44965" w:rsidRDefault="00E50C15" w:rsidP="00CA3278">
      <w:pPr>
        <w:pStyle w:val="NormalHanging12a"/>
        <w:widowControl/>
      </w:pPr>
      <w:r w:rsidRPr="00C44965">
        <w:t>–</w:t>
      </w:r>
      <w:r w:rsidRPr="00C44965">
        <w:tab/>
        <w:t>ottaa huomioon unionin yleiseen talousarvioon sovellettavista varainhoitosäännöistä 23. syyskuuta 2024 annetun Euroopan parlamentin ja neuvoston asetuksen (EU, Euratom) 2024/2509</w:t>
      </w:r>
      <w:r w:rsidRPr="00C44965">
        <w:rPr>
          <w:rStyle w:val="FootnoteReference"/>
        </w:rPr>
        <w:footnoteReference w:id="1"/>
      </w:r>
      <w:r w:rsidRPr="00C44965">
        <w:t xml:space="preserve"> ja erityisesti sen 44 artiklan,</w:t>
      </w:r>
    </w:p>
    <w:p w14:paraId="00B14878" w14:textId="77777777" w:rsidR="00E50C15" w:rsidRPr="00C44965" w:rsidRDefault="00E50C15" w:rsidP="00CA3278">
      <w:pPr>
        <w:pStyle w:val="NormalHanging12a"/>
        <w:widowControl/>
      </w:pPr>
      <w:r w:rsidRPr="00C44965">
        <w:t>–</w:t>
      </w:r>
      <w:r w:rsidRPr="00C44965">
        <w:tab/>
        <w:t>ottaa huomioon 27. marraskuuta 2024 lopullisesti hyväksytyn Euroopan unionin yleisen talousarvion varainhoitovuodeksi 2025</w:t>
      </w:r>
      <w:r w:rsidRPr="00C44965">
        <w:rPr>
          <w:rStyle w:val="FootnoteReference"/>
        </w:rPr>
        <w:footnoteReference w:id="2"/>
      </w:r>
      <w:r w:rsidRPr="00C44965">
        <w:t>,</w:t>
      </w:r>
    </w:p>
    <w:p w14:paraId="2C35C7A3" w14:textId="77777777" w:rsidR="00E50C15" w:rsidRPr="00C44965" w:rsidRDefault="00E50C15" w:rsidP="00CA3278">
      <w:pPr>
        <w:pStyle w:val="NormalHanging12a"/>
        <w:widowControl/>
      </w:pPr>
      <w:r w:rsidRPr="00C44965">
        <w:t>–</w:t>
      </w:r>
      <w:r w:rsidRPr="00C44965">
        <w:tab/>
        <w:t>ottaa huomioon vuosia 2021–2027 koskevan monivuotisen rahoituskehyksen vahvistamisesta 17. joulukuuta 2020 annetun neuvoston asetuksen (EU, Euratom) 2020/2093</w:t>
      </w:r>
      <w:r w:rsidRPr="00C44965">
        <w:rPr>
          <w:rStyle w:val="FootnoteReference"/>
        </w:rPr>
        <w:footnoteReference w:id="3"/>
      </w:r>
      <w:r w:rsidRPr="00C44965">
        <w:t>,</w:t>
      </w:r>
    </w:p>
    <w:p w14:paraId="2638855A" w14:textId="77777777" w:rsidR="00E50C15" w:rsidRPr="00C44965" w:rsidRDefault="00E50C15" w:rsidP="00CA3278">
      <w:pPr>
        <w:pStyle w:val="NormalHanging12a"/>
        <w:widowControl/>
      </w:pPr>
      <w:r w:rsidRPr="00C44965">
        <w:t>–</w:t>
      </w:r>
      <w:r w:rsidRPr="00C44965">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neuvoston ja Euroopan komission välisen toimielinten sopimuksen</w:t>
      </w:r>
      <w:r w:rsidRPr="00C44965">
        <w:rPr>
          <w:rStyle w:val="FootnoteReference"/>
        </w:rPr>
        <w:footnoteReference w:id="4"/>
      </w:r>
      <w:r w:rsidRPr="00C44965">
        <w:t>,</w:t>
      </w:r>
    </w:p>
    <w:p w14:paraId="6160A3AC" w14:textId="77777777" w:rsidR="00E50C15" w:rsidRPr="00C44965" w:rsidRDefault="00E50C15" w:rsidP="00CA3278">
      <w:pPr>
        <w:pStyle w:val="NormalHanging12a"/>
        <w:widowControl/>
      </w:pPr>
      <w:r w:rsidRPr="00C44965">
        <w:lastRenderedPageBreak/>
        <w:t>–</w:t>
      </w:r>
      <w:r w:rsidRPr="00C44965">
        <w:tab/>
        <w:t>ottaa huomioon Euroopan unionin omien varojen järjestelmästä ja päätöksen 2014/335/EU, Euratom kumoamisesta 14. joulukuuta 2020 annetun neuvoston päätöksen (EU, Euratom) 2020/2053</w:t>
      </w:r>
      <w:r w:rsidRPr="00C44965">
        <w:rPr>
          <w:rStyle w:val="FootnoteReference"/>
        </w:rPr>
        <w:footnoteReference w:id="5"/>
      </w:r>
      <w:r w:rsidRPr="00C44965">
        <w:t>,</w:t>
      </w:r>
    </w:p>
    <w:p w14:paraId="5373FB1A" w14:textId="77777777" w:rsidR="00E50C15" w:rsidRPr="00C44965" w:rsidRDefault="00E50C15" w:rsidP="00CA3278">
      <w:pPr>
        <w:pStyle w:val="NormalHanging12a"/>
        <w:widowControl/>
      </w:pPr>
      <w:r w:rsidRPr="00C44965">
        <w:t>–</w:t>
      </w:r>
      <w:r w:rsidRPr="00C44965">
        <w:tab/>
        <w:t>ottaa huomioon komission 3. lokakuuta 2025 antaman esityksen lisätalousarvioksi nro 3/2025 (COM(2025)0850),</w:t>
      </w:r>
    </w:p>
    <w:p w14:paraId="2374EF1C" w14:textId="77777777" w:rsidR="00E50C15" w:rsidRPr="00C44965" w:rsidRDefault="00E50C15" w:rsidP="00CA3278">
      <w:pPr>
        <w:pStyle w:val="NormalHanging12a"/>
        <w:widowControl/>
      </w:pPr>
      <w:r w:rsidRPr="00C44965">
        <w:t>–</w:t>
      </w:r>
      <w:r w:rsidRPr="00C44965">
        <w:tab/>
        <w:t>ottaa huomioon neuvoston 17. marraskuuta 2025 vahvistaman ja samana päivänä parlamentille toimittaman kannan esitykseen lisätalousarvioksi nro 3/2025 (14878/2025 – C10-0301/2025),</w:t>
      </w:r>
    </w:p>
    <w:p w14:paraId="5805D6C5" w14:textId="77777777" w:rsidR="00E50C15" w:rsidRPr="00C44965" w:rsidRDefault="00E50C15" w:rsidP="00CA3278">
      <w:pPr>
        <w:pStyle w:val="NormalHanging12a"/>
        <w:widowControl/>
      </w:pPr>
      <w:r w:rsidRPr="00C44965">
        <w:t>–</w:t>
      </w:r>
      <w:r w:rsidRPr="00C44965">
        <w:tab/>
        <w:t>ottaa huomioon työjärjestyksen 96 ja 98 artiklan,</w:t>
      </w:r>
    </w:p>
    <w:p w14:paraId="730D15FC" w14:textId="77777777" w:rsidR="00E50C15" w:rsidRPr="00C44965" w:rsidRDefault="00E50C15" w:rsidP="00CA3278">
      <w:pPr>
        <w:pStyle w:val="NormalHanging12a"/>
        <w:widowControl/>
      </w:pPr>
      <w:r w:rsidRPr="00C44965">
        <w:t>–</w:t>
      </w:r>
      <w:r w:rsidRPr="00C44965">
        <w:tab/>
        <w:t>ottaa huomioon budjettivaliokunnan mietinnön (A10-0237/2025),</w:t>
      </w:r>
    </w:p>
    <w:p w14:paraId="58115D41" w14:textId="77777777" w:rsidR="00E50C15" w:rsidRPr="00231F2D" w:rsidRDefault="00E50C15" w:rsidP="00231F2D">
      <w:pPr>
        <w:pStyle w:val="NormalHanging12a"/>
        <w:widowControl/>
      </w:pPr>
      <w:r w:rsidRPr="00231F2D">
        <w:t>A.</w:t>
      </w:r>
      <w:r w:rsidRPr="00231F2D">
        <w:tab/>
        <w:t>ottaa huomioon, että lisätalousarvioesityksen nro 3/2025 tarkoituksena on päivittää talousarvion tulopuolta viimeisimmän kehityksen huomioon ottamiseksi, mukauttaa talousarvion menopuolta maksumäärärahojen osalta ja lisäksi mukauttaa talousarvion menopuolta joidenkin erillisvirastojen osalta;</w:t>
      </w:r>
    </w:p>
    <w:p w14:paraId="2D33786E" w14:textId="77777777" w:rsidR="00E50C15" w:rsidRPr="00231F2D" w:rsidRDefault="00E50C15" w:rsidP="00231F2D">
      <w:pPr>
        <w:pStyle w:val="NormalHanging12a"/>
        <w:widowControl/>
      </w:pPr>
      <w:r w:rsidRPr="00231F2D">
        <w:t>B.</w:t>
      </w:r>
      <w:r w:rsidRPr="00231F2D">
        <w:tab/>
        <w:t>ottaa huomioon, että menopuolella lisätalousarvioesitykseen nro 3/2025 sisältyy 123,7 miljoonan euron nettolisäys maksusitoumusmäärärahoihin ja 2,52 miljardin euron nettolisäys maksumäärärahoihin;</w:t>
      </w:r>
    </w:p>
    <w:p w14:paraId="2A9FEA6E" w14:textId="77777777" w:rsidR="00E50C15" w:rsidRPr="00231F2D" w:rsidRDefault="00E50C15" w:rsidP="00231F2D">
      <w:pPr>
        <w:pStyle w:val="NormalHanging12a"/>
        <w:widowControl/>
      </w:pPr>
      <w:r w:rsidRPr="00231F2D">
        <w:t>C.</w:t>
      </w:r>
      <w:r w:rsidRPr="00231F2D">
        <w:tab/>
        <w:t>ottaa huomioon, että lisätalousarvioesityksessä nro 3/2025 ehdotetaan joitakin mukautuksia erillisvirastojen rahoitukseen eri otsakkeissa;</w:t>
      </w:r>
    </w:p>
    <w:p w14:paraId="53F148F7" w14:textId="77777777" w:rsidR="00E50C15" w:rsidRPr="00231F2D" w:rsidRDefault="00E50C15" w:rsidP="00231F2D">
      <w:pPr>
        <w:pStyle w:val="NormalHanging12a"/>
        <w:widowControl/>
      </w:pPr>
      <w:r w:rsidRPr="00231F2D">
        <w:t>D.</w:t>
      </w:r>
      <w:r w:rsidRPr="00231F2D">
        <w:tab/>
        <w:t>ottaa huomioon, että tulopuolella lisätalousarvioesityksellä nro 3/2025 otetaan vuoden 2025 talousarvioon syyskuuhun 2025 mennessä maksetut lopulliset sakot ja uhkasakot, joiden määrä on yhteensä 1,19 miljardia euroa, sekä 1,3 miljardin euron verran lisää perinteisiä omia varoja;</w:t>
      </w:r>
    </w:p>
    <w:p w14:paraId="6A88FEC0" w14:textId="77777777" w:rsidR="00E50C15" w:rsidRPr="00231F2D" w:rsidRDefault="00E50C15" w:rsidP="00231F2D">
      <w:pPr>
        <w:pStyle w:val="NormalHanging12a"/>
        <w:widowControl/>
      </w:pPr>
      <w:r w:rsidRPr="00231F2D">
        <w:t>E.</w:t>
      </w:r>
      <w:r w:rsidRPr="00231F2D">
        <w:tab/>
        <w:t>ottaa huomioon, että näiden mukautusten vuoksi BKTL-maksuosuuksiin tarvitaan maksutarpeiden kattamiseksi 31,9 miljoonan euron lisäys;</w:t>
      </w:r>
    </w:p>
    <w:p w14:paraId="24A1EF7B" w14:textId="77777777" w:rsidR="00E50C15" w:rsidRPr="00231F2D" w:rsidRDefault="00E50C15" w:rsidP="00231F2D">
      <w:pPr>
        <w:pStyle w:val="NormalHanging12a"/>
        <w:widowControl/>
      </w:pPr>
      <w:r w:rsidRPr="00231F2D">
        <w:t>1.</w:t>
      </w:r>
      <w:r w:rsidRPr="00231F2D">
        <w:tab/>
        <w:t>panee merkille komission esittämän lisätalousarvioesityksen nro 3/2025 ja erityisesti sen, että suurempien maksutarpeiden ja lisätulovirtojen yhteisvaikutuksen vuoksi vaikutus jäsenvaltioiden BKTL-maksuosuuksiin on kaiken kaikkiaan hyvin vähäinen;</w:t>
      </w:r>
    </w:p>
    <w:p w14:paraId="736D1274" w14:textId="5FD20A8A" w:rsidR="00E50C15" w:rsidRPr="00231F2D" w:rsidRDefault="00E50C15" w:rsidP="00231F2D">
      <w:pPr>
        <w:pStyle w:val="NormalHanging12a"/>
        <w:widowControl/>
      </w:pPr>
      <w:r w:rsidRPr="00231F2D">
        <w:t>2.</w:t>
      </w:r>
      <w:r w:rsidRPr="00231F2D">
        <w:tab/>
        <w:t xml:space="preserve">pitää myönteisenä, että Euroopan aluekehitysrahaston (EAKR) maksumäärärahoja lisättiin kaksi miljardia euroa, kun yhteisen maatalouspolitiikan </w:t>
      </w:r>
      <w:r w:rsidR="00020B87" w:rsidRPr="00231F2D">
        <w:t xml:space="preserve">(YMP) </w:t>
      </w:r>
      <w:r w:rsidRPr="00231F2D">
        <w:t>määrärahoja lisättiin tämän vuoden kokonaismäärärahasiirron (DEC 15/25) yhteydessä, mikä on merkki siitä, että ohjelmien täytäntöönpano on kiihtymässä kauden 2021–2027 huolestuttavan hitaan käynnistymisen jälkeen; korostaa, että rakennerahastojen ja YMP:n määrärahojen lisäämisellä on ratkaiseva merkitys maatalouden tukijärjestelmien jatkuvuuden ylläpitämisessä, elintarviketurvan varmistamisessa ja kestävän maaseutukehityksen edistämisessä; toteaa, että nämä toimenpiteet ovat erityisen tärkeitä maatalousalan häiriönsietokyvyn vahvistamiseksi ja maaseutualueiden sosioekonomisen tasapainon säilyttämiseksi; muistuttaa, että nämä lisäykset täydentävät maksumäärärahoihin kokonaismäärärahasiirrolla (DEC 15/2025) tehtyjä mukautuksia;</w:t>
      </w:r>
    </w:p>
    <w:p w14:paraId="3A69E500" w14:textId="77777777" w:rsidR="00E50C15" w:rsidRPr="00231F2D" w:rsidRDefault="00E50C15" w:rsidP="00231F2D">
      <w:pPr>
        <w:pStyle w:val="NormalHanging12a"/>
        <w:widowControl/>
      </w:pPr>
      <w:r w:rsidRPr="00231F2D">
        <w:lastRenderedPageBreak/>
        <w:t>3.</w:t>
      </w:r>
      <w:r w:rsidRPr="00231F2D">
        <w:tab/>
        <w:t xml:space="preserve">kehottaa jälleen nopeuttamaan EAKR:n, ESR+:n ja rajaturvallisuuden ja viisumipolitiikan rahoitustukivälineen (BMVI) toimenpiteiden täytäntöönpanoa; pitää myönteisenä Euroopan strategisten teknologioiden kehysvälineen (STEP) odotettua nopeampaa käyttöönottoa; </w:t>
      </w:r>
      <w:r w:rsidRPr="00C44965">
        <w:t>odottaa, että yli kolmen miljardin euron lisämaksut STEP</w:t>
      </w:r>
      <w:r w:rsidRPr="00C44965">
        <w:noBreakHyphen/>
        <w:t>kehysvälineestä käytetään nopeasti ja vaikuttavasti asianomaisten perussäädösten mukaisiin erityistavoitteisiin;</w:t>
      </w:r>
    </w:p>
    <w:p w14:paraId="0B830A65" w14:textId="77777777" w:rsidR="00E50C15" w:rsidRPr="00231F2D" w:rsidRDefault="00E50C15" w:rsidP="00231F2D">
      <w:pPr>
        <w:pStyle w:val="NormalHanging12a"/>
        <w:widowControl/>
      </w:pPr>
      <w:r w:rsidRPr="00231F2D">
        <w:t>4.</w:t>
      </w:r>
      <w:r w:rsidRPr="00231F2D">
        <w:tab/>
        <w:t xml:space="preserve">panee merkille kestävää kalastusta koskevien kumppanuussopimusten viimeisimmän tilanteen ja pitää myönteisenä, että toimielinten välisen sopimuksen asiaa koskevien määräysten mukaisesti budjettivallan käyttäjällä on aktiivinen rooli määrärahojen vapauttamisessa varauksesta asiaankuuluvien kansainvälisten täytäntöönpanopöytäkirjojen voimaantulon ja soveltamisen </w:t>
      </w:r>
      <w:proofErr w:type="gramStart"/>
      <w:r w:rsidRPr="00231F2D">
        <w:t>johdosta</w:t>
      </w:r>
      <w:proofErr w:type="gramEnd"/>
      <w:r w:rsidRPr="00231F2D">
        <w:t>;</w:t>
      </w:r>
    </w:p>
    <w:p w14:paraId="3D326C8E" w14:textId="77777777" w:rsidR="00E50C15" w:rsidRPr="00231F2D" w:rsidRDefault="00E50C15" w:rsidP="00231F2D">
      <w:pPr>
        <w:pStyle w:val="NormalHanging12a"/>
        <w:widowControl/>
      </w:pPr>
      <w:r w:rsidRPr="00231F2D">
        <w:t>5.</w:t>
      </w:r>
      <w:r w:rsidRPr="00231F2D">
        <w:tab/>
        <w:t>pitää valitettavana tullitarkastuslaitteiden rahoitusvälineen maksusitoumusmäärärahojen (78 miljoonaa euroa) ja maksumäärärahojen (48 miljoonaa euroa) vähentämistä sen seurauksena, että täytäntöönpano jäsenvaltioissa on viivästynyt, vaikka näinä aikoina tämän alan yhteistyön ja investointien pitäisi kukoistaa;</w:t>
      </w:r>
    </w:p>
    <w:p w14:paraId="527B4F56" w14:textId="77777777" w:rsidR="00E50C15" w:rsidRPr="00231F2D" w:rsidRDefault="00E50C15" w:rsidP="00231F2D">
      <w:pPr>
        <w:pStyle w:val="NormalHanging12a"/>
        <w:widowControl/>
      </w:pPr>
      <w:r w:rsidRPr="00231F2D">
        <w:t>6.</w:t>
      </w:r>
      <w:r w:rsidRPr="00231F2D">
        <w:tab/>
        <w:t>suhtautuu myönteisesti teknisen tuen välineen maksusitoumusmäärärahojen säästöihin (viisi miljoonaa euroa) kilpailuun perustuvissa hankintamenettelyissä aikaansaatujen tehokkuushyötyjen seurauksena;</w:t>
      </w:r>
    </w:p>
    <w:p w14:paraId="5F9F8895" w14:textId="77777777" w:rsidR="00E50C15" w:rsidRPr="00231F2D" w:rsidRDefault="00E50C15" w:rsidP="00231F2D">
      <w:pPr>
        <w:pStyle w:val="NormalHanging12a"/>
        <w:widowControl/>
      </w:pPr>
      <w:r w:rsidRPr="00231F2D">
        <w:t>7.</w:t>
      </w:r>
      <w:r w:rsidRPr="00231F2D">
        <w:tab/>
      </w:r>
      <w:r w:rsidRPr="00C44965">
        <w:t>panee merkille uudistusten täytäntöönpanovauhdin ja sitä vastaavan Ukrainan tukivälineen maksumäärärahojen käytön hidastumisen;</w:t>
      </w:r>
      <w:r w:rsidRPr="00231F2D">
        <w:t xml:space="preserve"> </w:t>
      </w:r>
      <w:r w:rsidRPr="00C44965">
        <w:t>toteaa, että osa käyttämättä jääneistä määrärahoista saatetaan siirtää seuraavan varainhoitovuoden talousarvioon;</w:t>
      </w:r>
      <w:r w:rsidRPr="00231F2D">
        <w:t xml:space="preserve"> kannustaa kaikkia asianomaisia toimijoita edistymään uudistuksiin ja investointeihin liittyvissä toimenpiteissä, kuten rahoituksen yhdistämistä koskevissa sopimuksissa;</w:t>
      </w:r>
    </w:p>
    <w:p w14:paraId="06479D04" w14:textId="77777777" w:rsidR="00E50C15" w:rsidRPr="00231F2D" w:rsidRDefault="00E50C15" w:rsidP="00231F2D">
      <w:pPr>
        <w:pStyle w:val="NormalHanging12a"/>
        <w:widowControl/>
      </w:pPr>
      <w:r w:rsidRPr="00231F2D">
        <w:t>8.</w:t>
      </w:r>
      <w:r w:rsidRPr="00231F2D">
        <w:tab/>
        <w:t xml:space="preserve">panee merkille eri erillisvirastoille myönnettyjen unionin rahoitusosuuksien mukautukset; katsoo, että nämä mukautukset ovat luonteeltaan enimmäkseen teknisiä; pitää niitä myönteisinä siltä osin kuin niillä optimoidaan esimerkiksi Life-ohjelman, AMIF-rahaston tai sisämarkkinaohjelman toimintamenojen budjettikohtien varojen käyttöä; pitää kuitenkin valitettavana, että syynä maksusitoumus- ja maksumäärärahojen palauttamiseen asianomaisten virastojen budjettikohdista asiaan liittyvien ohjelmien budjettikohtiin on henkilöstön </w:t>
      </w:r>
      <w:proofErr w:type="spellStart"/>
      <w:r w:rsidRPr="00231F2D">
        <w:t>palvelukseenoton</w:t>
      </w:r>
      <w:proofErr w:type="spellEnd"/>
      <w:r w:rsidRPr="00231F2D">
        <w:t xml:space="preserve"> viivästyminen tai uusien politiikka- ja lainsäädäntöaloitteiden, kuten vähittäissijoitusstrategian (joka koskee </w:t>
      </w:r>
      <w:proofErr w:type="spellStart"/>
      <w:r w:rsidRPr="00231F2D">
        <w:t>ESMAa</w:t>
      </w:r>
      <w:proofErr w:type="spellEnd"/>
      <w:r w:rsidRPr="00231F2D">
        <w:t xml:space="preserve"> ja </w:t>
      </w:r>
      <w:proofErr w:type="spellStart"/>
      <w:r w:rsidRPr="00231F2D">
        <w:t>EIOPAa</w:t>
      </w:r>
      <w:proofErr w:type="spellEnd"/>
      <w:r w:rsidRPr="00231F2D">
        <w:t xml:space="preserve">), muuttoliike- ja turvapaikkasopimuksen (joka koskee </w:t>
      </w:r>
      <w:proofErr w:type="spellStart"/>
      <w:r w:rsidRPr="00231F2D">
        <w:t>EUAA:ta</w:t>
      </w:r>
      <w:proofErr w:type="spellEnd"/>
      <w:r w:rsidRPr="00231F2D">
        <w:t xml:space="preserve">), meriturvallisuuspaketin (joka koskee </w:t>
      </w:r>
      <w:proofErr w:type="spellStart"/>
      <w:r w:rsidRPr="00231F2D">
        <w:t>EMSAa</w:t>
      </w:r>
      <w:proofErr w:type="spellEnd"/>
      <w:r w:rsidRPr="00231F2D">
        <w:t xml:space="preserve">) tai uusia genomitekniikoita koskevan ehdotuksen (joka koskee </w:t>
      </w:r>
      <w:proofErr w:type="spellStart"/>
      <w:r w:rsidRPr="00231F2D">
        <w:t>EFSAa</w:t>
      </w:r>
      <w:proofErr w:type="spellEnd"/>
      <w:r w:rsidRPr="00231F2D">
        <w:t>), viivästynyt käynnistäminen;</w:t>
      </w:r>
    </w:p>
    <w:p w14:paraId="045F509D" w14:textId="77777777" w:rsidR="00E50C15" w:rsidRPr="00231F2D" w:rsidRDefault="00E50C15" w:rsidP="00231F2D">
      <w:pPr>
        <w:pStyle w:val="NormalHanging12a"/>
        <w:widowControl/>
      </w:pPr>
      <w:r w:rsidRPr="00231F2D">
        <w:t>9.</w:t>
      </w:r>
      <w:r w:rsidRPr="00231F2D">
        <w:tab/>
        <w:t xml:space="preserve">korostaa tässä yhteydessä jälleen kerran vahvaa tukeaan tarkistetussa rahanpesunvastaisessa kehyksessä unionin tasolla äskettäin perustetulle rahanpesuntorjuntaviranomaiselle (AMLA); </w:t>
      </w:r>
      <w:r w:rsidRPr="00C44965">
        <w:t xml:space="preserve">on edelleen syvästi huolissaan perustamisvaiheen jatkuvista viivästyksistä, erityisesti </w:t>
      </w:r>
      <w:proofErr w:type="spellStart"/>
      <w:r w:rsidRPr="00C44965">
        <w:t>palvelukseenoton</w:t>
      </w:r>
      <w:proofErr w:type="spellEnd"/>
      <w:r w:rsidRPr="00C44965">
        <w:t xml:space="preserve"> osalta, ja kehottaa nopeuttamaan asiaankuuluvia työhönottoprosesseja;</w:t>
      </w:r>
    </w:p>
    <w:p w14:paraId="57A44650" w14:textId="0EC48237" w:rsidR="00E50C15" w:rsidRPr="00231F2D" w:rsidRDefault="00825AED" w:rsidP="00231F2D">
      <w:pPr>
        <w:pStyle w:val="NormalHanging12a"/>
        <w:widowControl/>
      </w:pPr>
      <w:sdt>
        <w:sdtPr>
          <w:tag w:val="goog_rdk_19"/>
          <w:id w:val="599988960"/>
        </w:sdtPr>
        <w:sdtEndPr/>
        <w:sdtContent/>
      </w:sdt>
      <w:r w:rsidR="00E50C15" w:rsidRPr="00231F2D">
        <w:t>10.</w:t>
      </w:r>
      <w:r w:rsidR="00E50C15" w:rsidRPr="00231F2D">
        <w:tab/>
        <w:t>pitää myönteisenä, että talousarvioon sisällytetään 1 185,1 miljoonaa euroa lisätuloja lopullisista sakoista ja uhkasakoista; pitää näitä määriä todellisina unionin tulonlähteinä, jotka pienentävät jäsenvaltioiden BKTL-perusteisia maksuosuuksia; muistuttaa tässä yhteydessä, että komissio on ehdottanut muutoksia seuraavalle monivuotiselle rahoituskehyskaudelle sen varmistamiseksi, että tällaiset satunnaiset tulot voivat tuottaa lisämäärärahoja menoja varten;</w:t>
      </w:r>
    </w:p>
    <w:p w14:paraId="542A5C81" w14:textId="77777777" w:rsidR="00E50C15" w:rsidRPr="00231F2D" w:rsidRDefault="00E50C15" w:rsidP="00231F2D">
      <w:pPr>
        <w:pStyle w:val="NormalHanging12a"/>
        <w:widowControl/>
      </w:pPr>
      <w:r w:rsidRPr="00231F2D">
        <w:lastRenderedPageBreak/>
        <w:t>11.</w:t>
      </w:r>
      <w:r w:rsidRPr="00231F2D">
        <w:tab/>
        <w:t>panee merkille ehdotuksen ottaa talousarvioon 1 300 miljoonaa euroa arvioidusta perinteisten omien varojen ylijäämästä; suhtautuu epäilevästi siihen, onko tullimaksuista saatavia tuloja aiheellista päivittää toistuvasti varainhoitovuoden aikana, erityisesti tulopuolen päivittämiseen ja mukauttamiseen tarkoitetun vuotuisen lisätalousarvion ulkopuolella;</w:t>
      </w:r>
    </w:p>
    <w:p w14:paraId="782B9AD9" w14:textId="77777777" w:rsidR="00E50C15" w:rsidRPr="00231F2D" w:rsidRDefault="00E50C15" w:rsidP="00231F2D">
      <w:pPr>
        <w:pStyle w:val="NormalHanging12a"/>
        <w:widowControl/>
      </w:pPr>
      <w:r w:rsidRPr="00C44965">
        <w:t>12.</w:t>
      </w:r>
      <w:r w:rsidRPr="00C44965">
        <w:tab/>
        <w:t>panee merkille palkkojen mukautusten päivityksen vuodeksi 2025 ja hyväksyy mukautusten talousarviovaikutusten sisällyttämisen lisätalousarvioesitykseen nro 3/2025 teknisenä muutoksena; toteaa tämän merkitsevän jaksottamattomien määrärahojen vähentämistä yhteensä 78,8 miljoonalla eurolla otsakkeen 7 asianomaisissa budjettikohdissa ja pääluokissa;</w:t>
      </w:r>
    </w:p>
    <w:p w14:paraId="3BE07CCE" w14:textId="77777777" w:rsidR="00E50C15" w:rsidRPr="00231F2D" w:rsidRDefault="00E50C15" w:rsidP="00231F2D">
      <w:pPr>
        <w:pStyle w:val="NormalHanging12a"/>
        <w:widowControl/>
      </w:pPr>
      <w:r w:rsidRPr="00231F2D">
        <w:t>13.</w:t>
      </w:r>
      <w:r w:rsidRPr="00231F2D">
        <w:tab/>
        <w:t>hyväksyy neuvoston kannan esitykseen lisätalousarvioksi nro 3/2025;</w:t>
      </w:r>
    </w:p>
    <w:p w14:paraId="2E20BBFC" w14:textId="77777777" w:rsidR="00E50C15" w:rsidRPr="00231F2D" w:rsidRDefault="00E50C15" w:rsidP="00231F2D">
      <w:pPr>
        <w:pStyle w:val="NormalHanging12a"/>
        <w:widowControl/>
      </w:pPr>
      <w:r w:rsidRPr="00231F2D">
        <w:t>14.</w:t>
      </w:r>
      <w:r w:rsidRPr="00231F2D">
        <w:tab/>
        <w:t xml:space="preserve">kehottaa puhemiestä toteamaan lisätalousarvion nro 3/2025 lopullisesti hyväksytyksi ja huolehtimaan sen julkaisemisesta </w:t>
      </w:r>
      <w:r w:rsidRPr="00231F2D">
        <w:rPr>
          <w:i/>
          <w:iCs/>
        </w:rPr>
        <w:t>Euroopan unionin virallisessa lehdessä</w:t>
      </w:r>
      <w:r w:rsidRPr="00231F2D">
        <w:t>;</w:t>
      </w:r>
    </w:p>
    <w:p w14:paraId="38D88186" w14:textId="77777777" w:rsidR="00E50C15" w:rsidRPr="00231F2D" w:rsidRDefault="00E50C15" w:rsidP="00231F2D">
      <w:pPr>
        <w:pStyle w:val="NormalHanging12a"/>
        <w:widowControl/>
      </w:pPr>
      <w:r w:rsidRPr="00231F2D">
        <w:t>15.</w:t>
      </w:r>
      <w:r w:rsidRPr="00231F2D">
        <w:tab/>
        <w:t>kehottaa puhemiestä välittämään tämän päätöslauselman neuvostolle ja komissiolle sekä kansallisille parlamenteille.</w:t>
      </w:r>
    </w:p>
    <w:sectPr w:rsidR="00E50C15" w:rsidRPr="00231F2D" w:rsidSect="007A511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A8D56" w14:textId="77777777" w:rsidR="00B506FB" w:rsidRPr="007A511A" w:rsidRDefault="00B506FB">
      <w:r w:rsidRPr="007A511A">
        <w:separator/>
      </w:r>
    </w:p>
  </w:endnote>
  <w:endnote w:type="continuationSeparator" w:id="0">
    <w:p w14:paraId="52020B9E" w14:textId="77777777" w:rsidR="00B506FB" w:rsidRPr="007A511A" w:rsidRDefault="00B506FB">
      <w:r w:rsidRPr="007A51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58A6F" w14:textId="77777777" w:rsidR="00B506FB" w:rsidRPr="007A511A" w:rsidRDefault="00B506FB">
      <w:r w:rsidRPr="007A511A">
        <w:separator/>
      </w:r>
    </w:p>
  </w:footnote>
  <w:footnote w:type="continuationSeparator" w:id="0">
    <w:p w14:paraId="68C19061" w14:textId="77777777" w:rsidR="00B506FB" w:rsidRPr="007A511A" w:rsidRDefault="00B506FB">
      <w:r w:rsidRPr="007A511A">
        <w:continuationSeparator/>
      </w:r>
    </w:p>
  </w:footnote>
  <w:footnote w:id="1">
    <w:p w14:paraId="13C936AD" w14:textId="4158E625" w:rsidR="00E50C15" w:rsidRPr="007A511A" w:rsidRDefault="00E50C15" w:rsidP="007A511A">
      <w:pPr>
        <w:pStyle w:val="FootnoteText"/>
        <w:ind w:left="567" w:hanging="567"/>
        <w:rPr>
          <w:sz w:val="24"/>
          <w:lang w:val="fi-FI"/>
        </w:rPr>
      </w:pPr>
      <w:r w:rsidRPr="007A511A">
        <w:rPr>
          <w:rStyle w:val="FootnoteReference"/>
          <w:sz w:val="24"/>
          <w:lang w:val="fi-FI"/>
        </w:rPr>
        <w:footnoteRef/>
      </w:r>
      <w:r w:rsidR="007A511A" w:rsidRPr="007A511A">
        <w:rPr>
          <w:sz w:val="24"/>
          <w:lang w:val="fi-FI"/>
        </w:rPr>
        <w:t xml:space="preserve"> </w:t>
      </w:r>
      <w:r w:rsidR="007A511A" w:rsidRPr="007A511A">
        <w:rPr>
          <w:sz w:val="24"/>
          <w:lang w:val="fi-FI"/>
        </w:rPr>
        <w:tab/>
      </w:r>
      <w:r w:rsidRPr="007A511A">
        <w:rPr>
          <w:sz w:val="24"/>
          <w:lang w:val="fi-FI"/>
        </w:rPr>
        <w:t xml:space="preserve">EUVL L, 2024/2509, 26.9.2024, ELI: </w:t>
      </w:r>
      <w:hyperlink r:id="rId1" w:history="1">
        <w:r w:rsidRPr="007A511A">
          <w:rPr>
            <w:rStyle w:val="Hyperlink"/>
            <w:sz w:val="24"/>
            <w:lang w:val="fi-FI"/>
          </w:rPr>
          <w:t>http://data.europa.eu/eli/reg/2024/2509/oj</w:t>
        </w:r>
      </w:hyperlink>
      <w:r w:rsidRPr="007A511A">
        <w:rPr>
          <w:sz w:val="24"/>
          <w:lang w:val="fi-FI"/>
        </w:rPr>
        <w:t>.</w:t>
      </w:r>
    </w:p>
  </w:footnote>
  <w:footnote w:id="2">
    <w:p w14:paraId="2943407F" w14:textId="375BD773" w:rsidR="00E50C15" w:rsidRPr="007A511A" w:rsidRDefault="00E50C15" w:rsidP="007A511A">
      <w:pPr>
        <w:pStyle w:val="FootnoteText"/>
        <w:ind w:left="567" w:hanging="567"/>
        <w:rPr>
          <w:sz w:val="24"/>
          <w:lang w:val="fi-FI"/>
        </w:rPr>
      </w:pPr>
      <w:r w:rsidRPr="007A511A">
        <w:rPr>
          <w:rStyle w:val="FootnoteReference"/>
          <w:sz w:val="24"/>
          <w:lang w:val="fi-FI"/>
        </w:rPr>
        <w:footnoteRef/>
      </w:r>
      <w:r w:rsidR="007A511A" w:rsidRPr="007A511A">
        <w:rPr>
          <w:sz w:val="24"/>
          <w:lang w:val="fi-FI"/>
        </w:rPr>
        <w:t xml:space="preserve"> </w:t>
      </w:r>
      <w:r w:rsidR="007A511A" w:rsidRPr="007A511A">
        <w:rPr>
          <w:sz w:val="24"/>
          <w:lang w:val="fi-FI"/>
        </w:rPr>
        <w:tab/>
      </w:r>
      <w:r w:rsidRPr="007A511A">
        <w:rPr>
          <w:sz w:val="24"/>
          <w:lang w:val="fi-FI"/>
        </w:rPr>
        <w:t xml:space="preserve">EUVL L, 2025/31, 27.2.2025, ELI: </w:t>
      </w:r>
      <w:r w:rsidR="00825AED">
        <w:fldChar w:fldCharType="begin"/>
      </w:r>
      <w:r w:rsidR="00825AED" w:rsidRPr="00825AED">
        <w:rPr>
          <w:lang w:val="fi-FI"/>
        </w:rPr>
        <w:instrText>HYPERLINK "http://data.europa.eu/eli/budget/2025/31/oj%20"</w:instrText>
      </w:r>
      <w:r w:rsidR="00825AED">
        <w:fldChar w:fldCharType="separate"/>
      </w:r>
      <w:r w:rsidRPr="007A511A">
        <w:rPr>
          <w:rStyle w:val="Hyperlink"/>
          <w:sz w:val="24"/>
          <w:lang w:val="fi-FI"/>
        </w:rPr>
        <w:t>http://data.europa.eu/eli/budget/2025/31/oj</w:t>
      </w:r>
      <w:r w:rsidR="00825AED">
        <w:rPr>
          <w:rStyle w:val="Hyperlink"/>
          <w:sz w:val="24"/>
          <w:lang w:val="fi-FI"/>
        </w:rPr>
        <w:fldChar w:fldCharType="end"/>
      </w:r>
      <w:r w:rsidRPr="007A511A">
        <w:rPr>
          <w:rStyle w:val="Hyperlink"/>
          <w:sz w:val="24"/>
          <w:lang w:val="fi-FI"/>
        </w:rPr>
        <w:t>.</w:t>
      </w:r>
    </w:p>
  </w:footnote>
  <w:footnote w:id="3">
    <w:p w14:paraId="140E2414" w14:textId="175ACDDA" w:rsidR="00E50C15" w:rsidRPr="007A511A" w:rsidRDefault="00E50C15" w:rsidP="007A511A">
      <w:pPr>
        <w:pStyle w:val="FootnoteText"/>
        <w:ind w:left="567" w:hanging="567"/>
        <w:rPr>
          <w:sz w:val="24"/>
          <w:lang w:val="fi-FI"/>
        </w:rPr>
      </w:pPr>
      <w:r w:rsidRPr="007A511A">
        <w:rPr>
          <w:rStyle w:val="FootnoteReference"/>
          <w:sz w:val="24"/>
          <w:lang w:val="fi-FI"/>
        </w:rPr>
        <w:footnoteRef/>
      </w:r>
      <w:r w:rsidR="007A511A" w:rsidRPr="007A511A">
        <w:rPr>
          <w:sz w:val="24"/>
          <w:lang w:val="fi-FI"/>
        </w:rPr>
        <w:t xml:space="preserve"> </w:t>
      </w:r>
      <w:r w:rsidR="007A511A" w:rsidRPr="007A511A">
        <w:rPr>
          <w:sz w:val="24"/>
          <w:lang w:val="fi-FI"/>
        </w:rPr>
        <w:tab/>
      </w:r>
      <w:r w:rsidRPr="007A511A">
        <w:rPr>
          <w:sz w:val="24"/>
          <w:lang w:val="fi-FI"/>
        </w:rPr>
        <w:t xml:space="preserve">EUVL L 433 I, 22.12.2020, s. 11, ELI: </w:t>
      </w:r>
      <w:r w:rsidR="00825AED">
        <w:fldChar w:fldCharType="begin"/>
      </w:r>
      <w:r w:rsidR="00825AED" w:rsidRPr="00825AED">
        <w:rPr>
          <w:lang w:val="fi-FI"/>
        </w:rPr>
        <w:instrText>HYPERLINK "http://data.europa.eu/eli/reg/2020/433/oj"</w:instrText>
      </w:r>
      <w:r w:rsidR="00825AED">
        <w:fldChar w:fldCharType="separate"/>
      </w:r>
      <w:r w:rsidRPr="007A511A">
        <w:rPr>
          <w:rStyle w:val="Hyperlink"/>
          <w:sz w:val="24"/>
          <w:lang w:val="fi-FI"/>
        </w:rPr>
        <w:t>http://data.europa.eu/eli/reg/2020/433/oj</w:t>
      </w:r>
      <w:r w:rsidR="00825AED">
        <w:rPr>
          <w:rStyle w:val="Hyperlink"/>
          <w:sz w:val="24"/>
          <w:lang w:val="fi-FI"/>
        </w:rPr>
        <w:fldChar w:fldCharType="end"/>
      </w:r>
      <w:r w:rsidRPr="007A511A">
        <w:rPr>
          <w:sz w:val="24"/>
          <w:lang w:val="fi-FI"/>
        </w:rPr>
        <w:t>.</w:t>
      </w:r>
    </w:p>
  </w:footnote>
  <w:footnote w:id="4">
    <w:p w14:paraId="7D8AC1DE" w14:textId="0C6A0E6E" w:rsidR="00E50C15" w:rsidRPr="007A511A" w:rsidRDefault="00E50C15" w:rsidP="007A511A">
      <w:pPr>
        <w:pStyle w:val="FootnoteText"/>
        <w:ind w:left="567" w:hanging="567"/>
        <w:rPr>
          <w:sz w:val="24"/>
          <w:lang w:val="fi-FI"/>
        </w:rPr>
      </w:pPr>
      <w:r w:rsidRPr="007A511A">
        <w:rPr>
          <w:rStyle w:val="FootnoteReference"/>
          <w:sz w:val="24"/>
          <w:lang w:val="fi-FI"/>
        </w:rPr>
        <w:footnoteRef/>
      </w:r>
      <w:r w:rsidR="007A511A" w:rsidRPr="007A511A">
        <w:rPr>
          <w:sz w:val="24"/>
          <w:lang w:val="fi-FI"/>
        </w:rPr>
        <w:t xml:space="preserve"> </w:t>
      </w:r>
      <w:r w:rsidR="007A511A" w:rsidRPr="007A511A">
        <w:rPr>
          <w:sz w:val="24"/>
          <w:lang w:val="fi-FI"/>
        </w:rPr>
        <w:tab/>
      </w:r>
      <w:r w:rsidRPr="007A511A">
        <w:rPr>
          <w:sz w:val="24"/>
          <w:lang w:val="fi-FI"/>
        </w:rPr>
        <w:t xml:space="preserve">EUVL L 433 I, 22.12.2020, s. 28, ELI: </w:t>
      </w:r>
      <w:r w:rsidR="00825AED">
        <w:fldChar w:fldCharType="begin"/>
      </w:r>
      <w:r w:rsidR="00825AED" w:rsidRPr="00825AED">
        <w:rPr>
          <w:lang w:val="fi-FI"/>
        </w:rPr>
        <w:instrText>HYPERLINK "http://data.europa.eu/eli/agree_interinstit/2020/1222/oj"</w:instrText>
      </w:r>
      <w:r w:rsidR="00825AED">
        <w:fldChar w:fldCharType="separate"/>
      </w:r>
      <w:r w:rsidRPr="007A511A">
        <w:rPr>
          <w:rStyle w:val="Hyperlink"/>
          <w:sz w:val="24"/>
          <w:lang w:val="fi-FI"/>
        </w:rPr>
        <w:t>http://data.europa.eu/eli/agree_interinstit/2020/1222/oj</w:t>
      </w:r>
      <w:r w:rsidR="00825AED">
        <w:rPr>
          <w:rStyle w:val="Hyperlink"/>
          <w:sz w:val="24"/>
          <w:lang w:val="fi-FI"/>
        </w:rPr>
        <w:fldChar w:fldCharType="end"/>
      </w:r>
      <w:r w:rsidRPr="007A511A">
        <w:rPr>
          <w:sz w:val="24"/>
          <w:lang w:val="fi-FI"/>
        </w:rPr>
        <w:t>.</w:t>
      </w:r>
    </w:p>
  </w:footnote>
  <w:footnote w:id="5">
    <w:p w14:paraId="4F3C611A" w14:textId="4A0FCB8B" w:rsidR="00E50C15" w:rsidRPr="007A511A" w:rsidRDefault="00E50C15" w:rsidP="007A511A">
      <w:pPr>
        <w:pStyle w:val="FootnoteText"/>
        <w:ind w:left="567" w:hanging="567"/>
        <w:rPr>
          <w:sz w:val="24"/>
          <w:lang w:val="fi-FI"/>
        </w:rPr>
      </w:pPr>
      <w:r w:rsidRPr="007A511A">
        <w:rPr>
          <w:rStyle w:val="FootnoteReference"/>
          <w:sz w:val="24"/>
          <w:lang w:val="fi-FI"/>
        </w:rPr>
        <w:footnoteRef/>
      </w:r>
      <w:r w:rsidR="007A511A" w:rsidRPr="007A511A">
        <w:rPr>
          <w:sz w:val="24"/>
          <w:lang w:val="fi-FI"/>
        </w:rPr>
        <w:t xml:space="preserve"> </w:t>
      </w:r>
      <w:r w:rsidR="007A511A" w:rsidRPr="007A511A">
        <w:rPr>
          <w:sz w:val="24"/>
          <w:lang w:val="fi-FI"/>
        </w:rPr>
        <w:tab/>
      </w:r>
      <w:r w:rsidRPr="007A511A">
        <w:rPr>
          <w:sz w:val="24"/>
          <w:lang w:val="fi-FI"/>
        </w:rPr>
        <w:t xml:space="preserve">EUVL L 424, 15.12.2020, s. 1, ELI: </w:t>
      </w:r>
      <w:r w:rsidR="00825AED">
        <w:fldChar w:fldCharType="begin"/>
      </w:r>
      <w:r w:rsidR="00825AED" w:rsidRPr="00825AED">
        <w:rPr>
          <w:lang w:val="fi-FI"/>
        </w:rPr>
        <w:instrText>HYPERLINK "http://data.europa.eu/eli/dec/2020/2053/oj"</w:instrText>
      </w:r>
      <w:r w:rsidR="00825AED">
        <w:fldChar w:fldCharType="separate"/>
      </w:r>
      <w:r w:rsidRPr="007A511A">
        <w:rPr>
          <w:rStyle w:val="Hyperlink"/>
          <w:sz w:val="24"/>
          <w:lang w:val="fi-FI"/>
        </w:rPr>
        <w:t>http://data.europa.eu/eli/dec/2020/2053/oj</w:t>
      </w:r>
      <w:r w:rsidR="00825AED">
        <w:rPr>
          <w:rStyle w:val="Hyperlink"/>
          <w:sz w:val="24"/>
          <w:lang w:val="fi-FI"/>
        </w:rPr>
        <w:fldChar w:fldCharType="end"/>
      </w:r>
      <w:r w:rsidRPr="007A511A">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5646654">
    <w:abstractNumId w:val="9"/>
  </w:num>
  <w:num w:numId="2" w16cid:durableId="1291977089">
    <w:abstractNumId w:val="9"/>
  </w:num>
  <w:num w:numId="3" w16cid:durableId="1208837510">
    <w:abstractNumId w:val="7"/>
  </w:num>
  <w:num w:numId="4" w16cid:durableId="274169024">
    <w:abstractNumId w:val="7"/>
  </w:num>
  <w:num w:numId="5" w16cid:durableId="1916011855">
    <w:abstractNumId w:val="6"/>
  </w:num>
  <w:num w:numId="6" w16cid:durableId="2073000226">
    <w:abstractNumId w:val="6"/>
  </w:num>
  <w:num w:numId="7" w16cid:durableId="600260176">
    <w:abstractNumId w:val="5"/>
  </w:num>
  <w:num w:numId="8" w16cid:durableId="277683458">
    <w:abstractNumId w:val="5"/>
  </w:num>
  <w:num w:numId="9" w16cid:durableId="2137944056">
    <w:abstractNumId w:val="4"/>
  </w:num>
  <w:num w:numId="10" w16cid:durableId="1984196997">
    <w:abstractNumId w:val="4"/>
  </w:num>
  <w:num w:numId="11" w16cid:durableId="1969818406">
    <w:abstractNumId w:val="8"/>
  </w:num>
  <w:num w:numId="12" w16cid:durableId="1263803494">
    <w:abstractNumId w:val="8"/>
  </w:num>
  <w:num w:numId="13" w16cid:durableId="573006850">
    <w:abstractNumId w:val="3"/>
  </w:num>
  <w:num w:numId="14" w16cid:durableId="1939412325">
    <w:abstractNumId w:val="3"/>
  </w:num>
  <w:num w:numId="15" w16cid:durableId="1919558549">
    <w:abstractNumId w:val="2"/>
  </w:num>
  <w:num w:numId="16" w16cid:durableId="107433871">
    <w:abstractNumId w:val="2"/>
  </w:num>
  <w:num w:numId="17" w16cid:durableId="838230311">
    <w:abstractNumId w:val="1"/>
  </w:num>
  <w:num w:numId="18" w16cid:durableId="1250579089">
    <w:abstractNumId w:val="1"/>
  </w:num>
  <w:num w:numId="19" w16cid:durableId="390077180">
    <w:abstractNumId w:val="0"/>
  </w:num>
  <w:num w:numId="20" w16cid:durableId="626668746">
    <w:abstractNumId w:val="0"/>
  </w:num>
  <w:num w:numId="21" w16cid:durableId="1354766428">
    <w:abstractNumId w:val="9"/>
  </w:num>
  <w:num w:numId="22" w16cid:durableId="1444617182">
    <w:abstractNumId w:val="7"/>
  </w:num>
  <w:num w:numId="23" w16cid:durableId="887230294">
    <w:abstractNumId w:val="6"/>
  </w:num>
  <w:num w:numId="24" w16cid:durableId="732584305">
    <w:abstractNumId w:val="5"/>
  </w:num>
  <w:num w:numId="25" w16cid:durableId="894587205">
    <w:abstractNumId w:val="4"/>
  </w:num>
  <w:num w:numId="26" w16cid:durableId="1135680168">
    <w:abstractNumId w:val="8"/>
  </w:num>
  <w:num w:numId="27" w16cid:durableId="613025443">
    <w:abstractNumId w:val="3"/>
  </w:num>
  <w:num w:numId="28" w16cid:durableId="666633961">
    <w:abstractNumId w:val="2"/>
  </w:num>
  <w:num w:numId="29" w16cid:durableId="1638417149">
    <w:abstractNumId w:val="1"/>
  </w:num>
  <w:num w:numId="30" w16cid:durableId="1661955915">
    <w:abstractNumId w:val="0"/>
  </w:num>
  <w:num w:numId="31" w16cid:durableId="450899267">
    <w:abstractNumId w:val="9"/>
  </w:num>
  <w:num w:numId="32" w16cid:durableId="707216947">
    <w:abstractNumId w:val="7"/>
  </w:num>
  <w:num w:numId="33" w16cid:durableId="124549862">
    <w:abstractNumId w:val="6"/>
  </w:num>
  <w:num w:numId="34" w16cid:durableId="1502155771">
    <w:abstractNumId w:val="5"/>
  </w:num>
  <w:num w:numId="35" w16cid:durableId="1744838862">
    <w:abstractNumId w:val="4"/>
  </w:num>
  <w:num w:numId="36" w16cid:durableId="1379360441">
    <w:abstractNumId w:val="8"/>
  </w:num>
  <w:num w:numId="37" w16cid:durableId="508952855">
    <w:abstractNumId w:val="3"/>
  </w:num>
  <w:num w:numId="38" w16cid:durableId="515387037">
    <w:abstractNumId w:val="2"/>
  </w:num>
  <w:num w:numId="39" w16cid:durableId="748428478">
    <w:abstractNumId w:val="1"/>
  </w:num>
  <w:num w:numId="40" w16cid:durableId="824780394">
    <w:abstractNumId w:val="0"/>
  </w:num>
  <w:num w:numId="41" w16cid:durableId="1748569355">
    <w:abstractNumId w:val="10"/>
  </w:num>
  <w:num w:numId="42" w16cid:durableId="423117308">
    <w:abstractNumId w:val="10"/>
  </w:num>
  <w:num w:numId="43" w16cid:durableId="2099669884">
    <w:abstractNumId w:val="10"/>
  </w:num>
  <w:num w:numId="44" w16cid:durableId="547393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7/2025"/>
    <w:docVar w:name="dvlangue" w:val="FI"/>
    <w:docVar w:name="dvnumam" w:val="0"/>
    <w:docVar w:name="dvpe" w:val="778.228"/>
    <w:docVar w:name="dvrapporteur" w:val="Esittelijä: "/>
    <w:docVar w:name="dvtitre" w:val="Euroopan parlamentin lainsäädäntöpäätöslauselma xx. xxxkuuta 2025 neuvoston kannasta esitykseen Euroopan unionin lisätalousarvioksi nro 3/2025 varainhoitovuodeksi 2025 – maksumäärärahojen mukauttaminen, tulojen päivittäminen ja muut tekniset päivitykset(14878/2025 – C10-0301/2025 – 2025/0319(BUD))"/>
  </w:docVars>
  <w:rsids>
    <w:rsidRoot w:val="00B506FB"/>
    <w:rsid w:val="00002272"/>
    <w:rsid w:val="00020B87"/>
    <w:rsid w:val="00064002"/>
    <w:rsid w:val="000677B9"/>
    <w:rsid w:val="000831BA"/>
    <w:rsid w:val="000A42CC"/>
    <w:rsid w:val="000E7DD9"/>
    <w:rsid w:val="0010095E"/>
    <w:rsid w:val="00125B37"/>
    <w:rsid w:val="00187494"/>
    <w:rsid w:val="001F32AE"/>
    <w:rsid w:val="00231F2D"/>
    <w:rsid w:val="002767FF"/>
    <w:rsid w:val="00282B0B"/>
    <w:rsid w:val="002B18FE"/>
    <w:rsid w:val="002B5493"/>
    <w:rsid w:val="00343214"/>
    <w:rsid w:val="00361C00"/>
    <w:rsid w:val="00395FA1"/>
    <w:rsid w:val="003A3BF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4C86"/>
    <w:rsid w:val="006F74FA"/>
    <w:rsid w:val="00731ADD"/>
    <w:rsid w:val="00734777"/>
    <w:rsid w:val="00747932"/>
    <w:rsid w:val="00751A4A"/>
    <w:rsid w:val="00756632"/>
    <w:rsid w:val="00762C74"/>
    <w:rsid w:val="00786EC0"/>
    <w:rsid w:val="007A511A"/>
    <w:rsid w:val="007D1690"/>
    <w:rsid w:val="007E22AD"/>
    <w:rsid w:val="00817416"/>
    <w:rsid w:val="00825AED"/>
    <w:rsid w:val="00842779"/>
    <w:rsid w:val="00865F67"/>
    <w:rsid w:val="00881A7B"/>
    <w:rsid w:val="008840E5"/>
    <w:rsid w:val="00887B3E"/>
    <w:rsid w:val="008C2AC6"/>
    <w:rsid w:val="00930C23"/>
    <w:rsid w:val="0093193B"/>
    <w:rsid w:val="009509D8"/>
    <w:rsid w:val="00950B64"/>
    <w:rsid w:val="00961689"/>
    <w:rsid w:val="00981893"/>
    <w:rsid w:val="00A1687D"/>
    <w:rsid w:val="00A43E52"/>
    <w:rsid w:val="00A4678D"/>
    <w:rsid w:val="00A778C7"/>
    <w:rsid w:val="00AB441E"/>
    <w:rsid w:val="00AB6293"/>
    <w:rsid w:val="00AE0928"/>
    <w:rsid w:val="00AE7BAD"/>
    <w:rsid w:val="00AF3B82"/>
    <w:rsid w:val="00B12E95"/>
    <w:rsid w:val="00B22876"/>
    <w:rsid w:val="00B506FB"/>
    <w:rsid w:val="00B558F0"/>
    <w:rsid w:val="00BB2CD3"/>
    <w:rsid w:val="00BD48FE"/>
    <w:rsid w:val="00BD7BD8"/>
    <w:rsid w:val="00BE6ADC"/>
    <w:rsid w:val="00C05BFE"/>
    <w:rsid w:val="00C23CD4"/>
    <w:rsid w:val="00C44965"/>
    <w:rsid w:val="00C61C0C"/>
    <w:rsid w:val="00C941CB"/>
    <w:rsid w:val="00CA3278"/>
    <w:rsid w:val="00CC2357"/>
    <w:rsid w:val="00CF071A"/>
    <w:rsid w:val="00D058B8"/>
    <w:rsid w:val="00D56C11"/>
    <w:rsid w:val="00D834A0"/>
    <w:rsid w:val="00D872DF"/>
    <w:rsid w:val="00D91E21"/>
    <w:rsid w:val="00DA7FCD"/>
    <w:rsid w:val="00E365E1"/>
    <w:rsid w:val="00E50C1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E9FEEE"/>
  <w15:chartTrackingRefBased/>
  <w15:docId w15:val="{B075EB1F-10EE-4B33-8E80-6F6190D3C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1F2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50C1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50C15"/>
    <w:pPr>
      <w:spacing w:before="480" w:after="240"/>
    </w:pPr>
  </w:style>
  <w:style w:type="paragraph" w:customStyle="1" w:styleId="PageHeading">
    <w:name w:val="PageHeading"/>
    <w:basedOn w:val="Normal"/>
    <w:rsid w:val="00E50C15"/>
    <w:pPr>
      <w:keepNext/>
      <w:spacing w:after="480"/>
      <w:jc w:val="center"/>
    </w:pPr>
    <w:rPr>
      <w:rFonts w:ascii="Arial" w:hAnsi="Arial" w:cs="Arial"/>
      <w:b/>
    </w:rPr>
  </w:style>
  <w:style w:type="paragraph" w:customStyle="1" w:styleId="NormalHanging12a">
    <w:name w:val="NormalHanging12a"/>
    <w:basedOn w:val="Normal"/>
    <w:rsid w:val="00E50C15"/>
    <w:pPr>
      <w:spacing w:after="240"/>
      <w:ind w:left="567" w:hanging="567"/>
    </w:pPr>
  </w:style>
  <w:style w:type="paragraph" w:styleId="Header">
    <w:name w:val="header"/>
    <w:basedOn w:val="Normal"/>
    <w:link w:val="HeaderChar"/>
    <w:rsid w:val="00E50C15"/>
    <w:pPr>
      <w:tabs>
        <w:tab w:val="center" w:pos="4513"/>
        <w:tab w:val="right" w:pos="9026"/>
      </w:tabs>
    </w:pPr>
  </w:style>
  <w:style w:type="character" w:customStyle="1" w:styleId="HeaderChar">
    <w:name w:val="Header Char"/>
    <w:basedOn w:val="DefaultParagraphFont"/>
    <w:link w:val="Header"/>
    <w:rsid w:val="00E50C15"/>
    <w:rPr>
      <w:sz w:val="24"/>
      <w:lang w:val="fi-FI"/>
    </w:rPr>
  </w:style>
  <w:style w:type="paragraph" w:customStyle="1" w:styleId="EPFooter">
    <w:name w:val="EPFooter"/>
    <w:basedOn w:val="Normal"/>
    <w:rsid w:val="00E50C15"/>
    <w:pPr>
      <w:tabs>
        <w:tab w:val="center" w:pos="4535"/>
        <w:tab w:val="right" w:pos="9071"/>
      </w:tabs>
      <w:spacing w:before="240" w:after="240"/>
    </w:pPr>
    <w:rPr>
      <w:color w:val="010000"/>
      <w:sz w:val="22"/>
    </w:rPr>
  </w:style>
  <w:style w:type="character" w:styleId="Hyperlink">
    <w:name w:val="Hyperlink"/>
    <w:basedOn w:val="DefaultParagraphFont"/>
    <w:uiPriority w:val="99"/>
    <w:rsid w:val="00E50C15"/>
    <w:rPr>
      <w:color w:val="0563C1" w:themeColor="hyperlink"/>
      <w:u w:val="single"/>
    </w:rPr>
  </w:style>
  <w:style w:type="paragraph" w:customStyle="1" w:styleId="Normal24a">
    <w:name w:val="Normal24a"/>
    <w:basedOn w:val="Normal"/>
    <w:rsid w:val="00E50C15"/>
    <w:pPr>
      <w:spacing w:after="480"/>
    </w:pPr>
  </w:style>
  <w:style w:type="paragraph" w:customStyle="1" w:styleId="Footprint12b">
    <w:name w:val="Footprint12b"/>
    <w:basedOn w:val="Normal"/>
    <w:rsid w:val="00E50C15"/>
    <w:pPr>
      <w:spacing w:before="240"/>
    </w:pPr>
    <w:rPr>
      <w:szCs w:val="24"/>
    </w:rPr>
  </w:style>
  <w:style w:type="paragraph" w:customStyle="1" w:styleId="Normal12a">
    <w:name w:val="Normal12a"/>
    <w:basedOn w:val="Normal"/>
    <w:rsid w:val="00E50C15"/>
    <w:pPr>
      <w:spacing w:after="240"/>
    </w:pPr>
  </w:style>
  <w:style w:type="paragraph" w:customStyle="1" w:styleId="RollCallVotes">
    <w:name w:val="RollCallVotes"/>
    <w:basedOn w:val="Normal"/>
    <w:rsid w:val="00E50C15"/>
    <w:pPr>
      <w:spacing w:before="120" w:after="120"/>
      <w:jc w:val="center"/>
    </w:pPr>
    <w:rPr>
      <w:b/>
      <w:bCs/>
      <w:snapToGrid w:val="0"/>
      <w:sz w:val="16"/>
      <w:lang w:eastAsia="en-US"/>
    </w:rPr>
  </w:style>
  <w:style w:type="paragraph" w:customStyle="1" w:styleId="RollCallTabs">
    <w:name w:val="RollCallTabs"/>
    <w:basedOn w:val="Normal"/>
    <w:qFormat/>
    <w:rsid w:val="00E50C15"/>
    <w:pPr>
      <w:tabs>
        <w:tab w:val="center" w:pos="284"/>
        <w:tab w:val="left" w:pos="426"/>
      </w:tabs>
    </w:pPr>
    <w:rPr>
      <w:snapToGrid w:val="0"/>
      <w:lang w:eastAsia="en-US"/>
    </w:rPr>
  </w:style>
  <w:style w:type="paragraph" w:customStyle="1" w:styleId="RollCallSymbols14pt">
    <w:name w:val="RollCallSymbols14pt"/>
    <w:basedOn w:val="Normal"/>
    <w:rsid w:val="00E50C15"/>
    <w:pPr>
      <w:spacing w:before="120" w:after="120"/>
      <w:jc w:val="center"/>
    </w:pPr>
    <w:rPr>
      <w:rFonts w:ascii="Arial" w:hAnsi="Arial"/>
      <w:b/>
      <w:bCs/>
      <w:snapToGrid w:val="0"/>
      <w:sz w:val="28"/>
      <w:lang w:eastAsia="en-US"/>
    </w:rPr>
  </w:style>
  <w:style w:type="paragraph" w:customStyle="1" w:styleId="RollCallTable">
    <w:name w:val="RollCallTable"/>
    <w:basedOn w:val="Normal"/>
    <w:rsid w:val="00E50C15"/>
    <w:pPr>
      <w:spacing w:before="120" w:after="120"/>
    </w:pPr>
    <w:rPr>
      <w:snapToGrid w:val="0"/>
      <w:sz w:val="16"/>
      <w:lang w:eastAsia="en-US"/>
    </w:rPr>
  </w:style>
  <w:style w:type="paragraph" w:styleId="Footer">
    <w:name w:val="footer"/>
    <w:basedOn w:val="Normal"/>
    <w:link w:val="FooterChar"/>
    <w:rsid w:val="00CA3278"/>
    <w:pPr>
      <w:tabs>
        <w:tab w:val="center" w:pos="4513"/>
        <w:tab w:val="right" w:pos="9026"/>
      </w:tabs>
    </w:pPr>
  </w:style>
  <w:style w:type="character" w:customStyle="1" w:styleId="FooterChar">
    <w:name w:val="Footer Char"/>
    <w:basedOn w:val="DefaultParagraphFont"/>
    <w:link w:val="Footer"/>
    <w:rsid w:val="00CA3278"/>
    <w:rPr>
      <w:sz w:val="24"/>
      <w:lang w:val="fi-FI"/>
    </w:rPr>
  </w:style>
  <w:style w:type="paragraph" w:styleId="Revision">
    <w:name w:val="Revision"/>
    <w:hidden/>
    <w:uiPriority w:val="99"/>
    <w:semiHidden/>
    <w:rsid w:val="00020B87"/>
    <w:rPr>
      <w:sz w:val="24"/>
      <w:lang w:val="fi-FI"/>
    </w:rPr>
  </w:style>
  <w:style w:type="character" w:styleId="CommentReference">
    <w:name w:val="annotation reference"/>
    <w:basedOn w:val="DefaultParagraphFont"/>
    <w:rsid w:val="006B4C86"/>
    <w:rPr>
      <w:sz w:val="16"/>
      <w:szCs w:val="16"/>
    </w:rPr>
  </w:style>
  <w:style w:type="paragraph" w:styleId="CommentText">
    <w:name w:val="annotation text"/>
    <w:basedOn w:val="Normal"/>
    <w:link w:val="CommentTextChar"/>
    <w:rsid w:val="006B4C86"/>
    <w:rPr>
      <w:sz w:val="20"/>
    </w:rPr>
  </w:style>
  <w:style w:type="character" w:customStyle="1" w:styleId="CommentTextChar">
    <w:name w:val="Comment Text Char"/>
    <w:basedOn w:val="DefaultParagraphFont"/>
    <w:link w:val="CommentText"/>
    <w:rsid w:val="006B4C86"/>
    <w:rPr>
      <w:lang w:val="fi-FI"/>
    </w:rPr>
  </w:style>
  <w:style w:type="paragraph" w:styleId="CommentSubject">
    <w:name w:val="annotation subject"/>
    <w:basedOn w:val="CommentText"/>
    <w:next w:val="CommentText"/>
    <w:link w:val="CommentSubjectChar"/>
    <w:rsid w:val="006B4C86"/>
    <w:rPr>
      <w:b/>
      <w:bCs/>
    </w:rPr>
  </w:style>
  <w:style w:type="character" w:customStyle="1" w:styleId="CommentSubjectChar">
    <w:name w:val="Comment Subject Char"/>
    <w:basedOn w:val="CommentTextChar"/>
    <w:link w:val="CommentSubject"/>
    <w:rsid w:val="006B4C86"/>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884</Words>
  <Characters>8061</Characters>
  <Application>Microsoft Office Word</Application>
  <DocSecurity>0</DocSecurity>
  <Lines>67</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2025-11-26T11:14:00Z</dcterms:created>
  <dcterms:modified xsi:type="dcterms:W3CDTF">2025-11-26T11:14:00Z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A10-0237/2025</vt:lpwstr>
  </property>
  <property fmtid="{D5CDD505-2E9C-101B-9397-08002B2CF9AE}" pid="4" name="&lt;Type&gt;">
    <vt:lpwstr>RR</vt:lpwstr>
  </property>
</Properties>
</file>