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90DD1" w14:paraId="3063A66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B94D126" w14:textId="77777777" w:rsidR="00751A4A" w:rsidRPr="00490DD1" w:rsidRDefault="00F0639B" w:rsidP="0010095E">
            <w:pPr>
              <w:pStyle w:val="EPName"/>
            </w:pPr>
            <w:r w:rsidRPr="00490DD1">
              <w:t>Europski parlament</w:t>
            </w:r>
          </w:p>
          <w:p w14:paraId="1728A694" w14:textId="77777777" w:rsidR="00751A4A" w:rsidRPr="00490DD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90DD1">
              <w:t>2024</w:t>
            </w:r>
            <w:r w:rsidR="00817416" w:rsidRPr="00490DD1">
              <w:t>-202</w:t>
            </w:r>
            <w:r w:rsidRPr="00490DD1">
              <w:t>9</w:t>
            </w:r>
          </w:p>
        </w:tc>
        <w:tc>
          <w:tcPr>
            <w:tcW w:w="2268" w:type="dxa"/>
            <w:shd w:val="clear" w:color="auto" w:fill="auto"/>
          </w:tcPr>
          <w:p w14:paraId="0D8B3457" w14:textId="77777777" w:rsidR="00751A4A" w:rsidRPr="00490DD1" w:rsidRDefault="00187494" w:rsidP="0010095E">
            <w:pPr>
              <w:pStyle w:val="EPLogo"/>
            </w:pPr>
            <w:r w:rsidRPr="00490DD1">
              <w:rPr>
                <w:noProof/>
                <w:lang w:eastAsia="ja-JP"/>
              </w:rPr>
              <w:drawing>
                <wp:inline distT="0" distB="0" distL="0" distR="0" wp14:anchorId="599261EB" wp14:editId="5FC3487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F38B1E" w14:textId="77777777" w:rsidR="00D058B8" w:rsidRPr="00490DD1" w:rsidRDefault="00D058B8" w:rsidP="004C5D52">
      <w:pPr>
        <w:pStyle w:val="LineTop"/>
      </w:pPr>
    </w:p>
    <w:p w14:paraId="0F2CE59A" w14:textId="77777777" w:rsidR="00680577" w:rsidRPr="00490DD1" w:rsidRDefault="00F0639B" w:rsidP="00680577">
      <w:pPr>
        <w:pStyle w:val="EPBodyTA1"/>
      </w:pPr>
      <w:r w:rsidRPr="00490DD1">
        <w:t>USVOJENI TEKSTOVI</w:t>
      </w:r>
    </w:p>
    <w:p w14:paraId="48710768" w14:textId="77777777" w:rsidR="00D058B8" w:rsidRPr="00490DD1" w:rsidRDefault="00D058B8" w:rsidP="00D058B8">
      <w:pPr>
        <w:pStyle w:val="LineBottom"/>
      </w:pPr>
    </w:p>
    <w:p w14:paraId="3335FF0B" w14:textId="40EB7F7B" w:rsidR="00F0639B" w:rsidRPr="00490DD1" w:rsidRDefault="00F0639B" w:rsidP="00F0639B">
      <w:pPr>
        <w:pStyle w:val="ATHeading1"/>
      </w:pPr>
      <w:bookmarkStart w:id="0" w:name="TANumber"/>
      <w:r w:rsidRPr="00490DD1">
        <w:t>P10_TA(2025)0</w:t>
      </w:r>
      <w:r w:rsidR="00F25139">
        <w:t>293</w:t>
      </w:r>
      <w:bookmarkEnd w:id="0"/>
    </w:p>
    <w:p w14:paraId="39860FCE" w14:textId="044A020E" w:rsidR="00F0639B" w:rsidRPr="00490DD1" w:rsidRDefault="00F0639B" w:rsidP="00F0639B">
      <w:pPr>
        <w:pStyle w:val="ATHeading2"/>
      </w:pPr>
      <w:bookmarkStart w:id="1" w:name="title"/>
      <w:r w:rsidRPr="00490DD1">
        <w:t>Nacrt izmjene proračuna br. 3 za opći proračun za 2025.</w:t>
      </w:r>
      <w:r w:rsidR="00CA6549">
        <w:t>:</w:t>
      </w:r>
      <w:r w:rsidRPr="00490DD1">
        <w:t xml:space="preserve"> </w:t>
      </w:r>
      <w:r w:rsidR="00F25139">
        <w:t>p</w:t>
      </w:r>
      <w:r w:rsidRPr="00490DD1">
        <w:t>rilagodba odobrenih sredstava za plaćanje, ažuriranje prihoda i druga tehnička ažuriranja</w:t>
      </w:r>
      <w:bookmarkEnd w:id="1"/>
    </w:p>
    <w:p w14:paraId="67191E43" w14:textId="77777777" w:rsidR="00F0639B" w:rsidRPr="00490DD1" w:rsidRDefault="00F0639B" w:rsidP="00F0639B">
      <w:pPr>
        <w:rPr>
          <w:i/>
          <w:vanish/>
        </w:rPr>
      </w:pPr>
      <w:r w:rsidRPr="00490DD1">
        <w:rPr>
          <w:i/>
        </w:rPr>
        <w:fldChar w:fldCharType="begin"/>
      </w:r>
      <w:r w:rsidRPr="00490DD1">
        <w:rPr>
          <w:i/>
        </w:rPr>
        <w:instrText xml:space="preserve"> TC"(</w:instrText>
      </w:r>
      <w:bookmarkStart w:id="2" w:name="DocNumber"/>
      <w:r w:rsidRPr="00490DD1">
        <w:rPr>
          <w:i/>
        </w:rPr>
        <w:instrText>A10-0237/2025</w:instrText>
      </w:r>
      <w:bookmarkEnd w:id="2"/>
      <w:r w:rsidRPr="00490DD1">
        <w:rPr>
          <w:i/>
        </w:rPr>
        <w:instrText xml:space="preserve"> - Izvjestitelj: Victor </w:instrText>
      </w:r>
      <w:proofErr w:type="spellStart"/>
      <w:r w:rsidRPr="00490DD1">
        <w:rPr>
          <w:i/>
        </w:rPr>
        <w:instrText>Negrescu</w:instrText>
      </w:r>
      <w:proofErr w:type="spellEnd"/>
      <w:r w:rsidRPr="00490DD1">
        <w:rPr>
          <w:i/>
        </w:rPr>
        <w:instrText xml:space="preserve">)"\l3 \n&gt; \* MERGEFORMAT </w:instrText>
      </w:r>
      <w:r w:rsidRPr="00490DD1">
        <w:rPr>
          <w:i/>
        </w:rPr>
        <w:fldChar w:fldCharType="end"/>
      </w:r>
    </w:p>
    <w:p w14:paraId="49AAD4AB" w14:textId="77777777" w:rsidR="00F0639B" w:rsidRPr="00490DD1" w:rsidRDefault="00F0639B" w:rsidP="00F0639B">
      <w:pPr>
        <w:rPr>
          <w:vanish/>
        </w:rPr>
      </w:pPr>
      <w:bookmarkStart w:id="3" w:name="Commission"/>
      <w:r w:rsidRPr="00490DD1">
        <w:rPr>
          <w:vanish/>
        </w:rPr>
        <w:t>Odbor za proračune</w:t>
      </w:r>
      <w:bookmarkEnd w:id="3"/>
    </w:p>
    <w:p w14:paraId="39AD8647" w14:textId="77777777" w:rsidR="00F0639B" w:rsidRPr="00490DD1" w:rsidRDefault="00F0639B" w:rsidP="00F0639B">
      <w:pPr>
        <w:rPr>
          <w:vanish/>
        </w:rPr>
      </w:pPr>
      <w:bookmarkStart w:id="4" w:name="PE"/>
      <w:r w:rsidRPr="00490DD1">
        <w:rPr>
          <w:vanish/>
        </w:rPr>
        <w:t>PE778.228</w:t>
      </w:r>
      <w:bookmarkEnd w:id="4"/>
    </w:p>
    <w:p w14:paraId="510529AF" w14:textId="66EBBDB4" w:rsidR="00F0639B" w:rsidRPr="00490DD1" w:rsidRDefault="00F0639B" w:rsidP="00F0639B">
      <w:pPr>
        <w:pStyle w:val="ATHeading3"/>
      </w:pPr>
      <w:bookmarkStart w:id="5" w:name="Sujet"/>
      <w:r w:rsidRPr="00490DD1">
        <w:t xml:space="preserve">Rezolucija Europskog parlamenta od </w:t>
      </w:r>
      <w:r w:rsidR="00490DD1">
        <w:t>26</w:t>
      </w:r>
      <w:r w:rsidRPr="00490DD1">
        <w:t xml:space="preserve">. </w:t>
      </w:r>
      <w:r w:rsidR="00490DD1">
        <w:t xml:space="preserve">studenoga </w:t>
      </w:r>
      <w:r w:rsidRPr="00490DD1">
        <w:t>2025. o stajalištu Vijeća o Nacrtu izmjene proračuna br. 3/</w:t>
      </w:r>
      <w:r w:rsidR="00B23139">
        <w:t xml:space="preserve">2025 za opći proračun za </w:t>
      </w:r>
      <w:r w:rsidRPr="00490DD1">
        <w:t>2025</w:t>
      </w:r>
      <w:r w:rsidR="00B23139">
        <w:t>.:</w:t>
      </w:r>
      <w:r w:rsidRPr="00490DD1">
        <w:t xml:space="preserve"> prilagodba odobrenih sredstava za plaćanje, ažuriranje prihoda i druga tehnička ažuriranja</w:t>
      </w:r>
      <w:bookmarkEnd w:id="5"/>
      <w:r w:rsidRPr="00490DD1">
        <w:t xml:space="preserve"> </w:t>
      </w:r>
      <w:bookmarkStart w:id="6" w:name="References"/>
      <w:r w:rsidRPr="00490DD1">
        <w:t>(14878/2025 – C10-0301/2025 – 2025/0319(BUD))</w:t>
      </w:r>
      <w:bookmarkEnd w:id="6"/>
    </w:p>
    <w:p w14:paraId="7E1E664C" w14:textId="77777777" w:rsidR="005C42FE" w:rsidRPr="00490DD1" w:rsidRDefault="005C42FE" w:rsidP="005C42FE">
      <w:pPr>
        <w:pStyle w:val="EPComma"/>
      </w:pPr>
      <w:bookmarkStart w:id="7" w:name="TextBodyBegin"/>
      <w:bookmarkEnd w:id="7"/>
      <w:r w:rsidRPr="00490DD1">
        <w:rPr>
          <w:i/>
        </w:rPr>
        <w:t>Europski parlament</w:t>
      </w:r>
      <w:r w:rsidRPr="00490DD1">
        <w:t>,</w:t>
      </w:r>
    </w:p>
    <w:p w14:paraId="6F476213" w14:textId="77777777" w:rsidR="005C42FE" w:rsidRPr="00490DD1" w:rsidRDefault="005C42FE" w:rsidP="005C42FE">
      <w:pPr>
        <w:pStyle w:val="NormalHanging12a"/>
      </w:pPr>
      <w:r w:rsidRPr="00490DD1">
        <w:t>–</w:t>
      </w:r>
      <w:r w:rsidRPr="00490DD1">
        <w:tab/>
        <w:t>uzimajući u obzir članak 314. Ugovora o funkcioniranju Europske unije,</w:t>
      </w:r>
    </w:p>
    <w:p w14:paraId="208A6578" w14:textId="77777777" w:rsidR="005C42FE" w:rsidRPr="00490DD1" w:rsidRDefault="005C42FE" w:rsidP="005C42FE">
      <w:pPr>
        <w:pStyle w:val="NormalHanging12a"/>
      </w:pPr>
      <w:r w:rsidRPr="00490DD1">
        <w:t>–</w:t>
      </w:r>
      <w:r w:rsidRPr="00490DD1">
        <w:tab/>
        <w:t>uzimajući u obzir članak 106.a Ugovora o osnivanju Europske zajednice za atomsku energiju,</w:t>
      </w:r>
    </w:p>
    <w:p w14:paraId="78637C17" w14:textId="77777777" w:rsidR="005C42FE" w:rsidRPr="00490DD1" w:rsidRDefault="005C42FE" w:rsidP="005C42FE">
      <w:pPr>
        <w:pStyle w:val="NormalHanging12a"/>
      </w:pPr>
      <w:r w:rsidRPr="00490DD1">
        <w:t>–</w:t>
      </w:r>
      <w:r w:rsidRPr="00490DD1">
        <w:tab/>
        <w:t>uzimajući u obzir Uredbu (EU, Euratom) 2024/2509 Europskog parlamenta i Vijeća od 23. rujna 2024. o financijskim pravilima koja se primjenjuju na opći proračun Unije</w:t>
      </w:r>
      <w:r w:rsidRPr="00490DD1">
        <w:rPr>
          <w:rStyle w:val="FootnoteReference"/>
        </w:rPr>
        <w:footnoteReference w:id="1"/>
      </w:r>
      <w:r w:rsidRPr="00490DD1">
        <w:t>, a posebno njezin članak 44.,</w:t>
      </w:r>
    </w:p>
    <w:p w14:paraId="1B9C73D8" w14:textId="77777777" w:rsidR="005C42FE" w:rsidRPr="00490DD1" w:rsidRDefault="005C42FE" w:rsidP="005C42FE">
      <w:pPr>
        <w:pStyle w:val="NormalHanging12a"/>
      </w:pPr>
      <w:r w:rsidRPr="00490DD1">
        <w:t>–</w:t>
      </w:r>
      <w:r w:rsidRPr="00490DD1">
        <w:tab/>
        <w:t>uzimajući u obzir opći proračun Europske unije za financijsku godinu 2025., konačno donesen 27. studenoga 2024.</w:t>
      </w:r>
      <w:r w:rsidRPr="00490DD1">
        <w:rPr>
          <w:rStyle w:val="FootnoteReference"/>
        </w:rPr>
        <w:footnoteReference w:id="2"/>
      </w:r>
      <w:r w:rsidRPr="00490DD1">
        <w:t>,</w:t>
      </w:r>
    </w:p>
    <w:p w14:paraId="5C14F81D" w14:textId="77777777" w:rsidR="005C42FE" w:rsidRPr="00490DD1" w:rsidRDefault="005C42FE" w:rsidP="005C42FE">
      <w:pPr>
        <w:pStyle w:val="NormalHanging12a"/>
      </w:pPr>
      <w:r w:rsidRPr="00490DD1">
        <w:t>–</w:t>
      </w:r>
      <w:r w:rsidRPr="00490DD1">
        <w:tab/>
        <w:t>uzimajući u obzir Uredbu Vijeća (EU, Euratom) 2020/2093 od 17. prosinca 2020. kojom se utvrđuje višegodišnji financijski okvir za razdoblje 2021. – 2027.</w:t>
      </w:r>
      <w:r w:rsidRPr="00490DD1">
        <w:rPr>
          <w:rStyle w:val="FootnoteReference"/>
        </w:rPr>
        <w:footnoteReference w:id="3"/>
      </w:r>
      <w:r w:rsidRPr="00490DD1">
        <w:t>,</w:t>
      </w:r>
    </w:p>
    <w:p w14:paraId="2B7F57CA" w14:textId="77777777" w:rsidR="005C42FE" w:rsidRPr="00490DD1" w:rsidRDefault="005C42FE" w:rsidP="005C42FE">
      <w:pPr>
        <w:pStyle w:val="NormalHanging12a"/>
      </w:pPr>
      <w:r w:rsidRPr="00490DD1">
        <w:t>–</w:t>
      </w:r>
      <w:r w:rsidRPr="00490DD1">
        <w:tab/>
        <w:t xml:space="preserve">uzimajući u obzir </w:t>
      </w:r>
      <w:proofErr w:type="spellStart"/>
      <w:r w:rsidRPr="00490DD1">
        <w:t>Međuinstitucijski</w:t>
      </w:r>
      <w:proofErr w:type="spellEnd"/>
      <w:r w:rsidRPr="00490DD1">
        <w:t xml:space="preserve"> sporazum od 16. prosinca 2020. između Europskog parlamenta, Vijeća Europske unije i Europske komisije o proračunskoj disciplini, suradnji u proračunskim pitanjima i dobrom financijskom upravljanju te novim </w:t>
      </w:r>
      <w:r w:rsidRPr="00490DD1">
        <w:lastRenderedPageBreak/>
        <w:t>vlastitim sredstvima, uključujući plan za uvođenje novih vlastitih sredstava</w:t>
      </w:r>
      <w:r w:rsidRPr="00490DD1">
        <w:rPr>
          <w:rStyle w:val="FootnoteReference"/>
        </w:rPr>
        <w:footnoteReference w:id="4"/>
      </w:r>
      <w:r w:rsidRPr="00490DD1">
        <w:t>,</w:t>
      </w:r>
    </w:p>
    <w:p w14:paraId="4F579F66" w14:textId="77777777" w:rsidR="005C42FE" w:rsidRPr="00490DD1" w:rsidRDefault="005C42FE" w:rsidP="005C42FE">
      <w:pPr>
        <w:pStyle w:val="NormalHanging12a"/>
      </w:pPr>
      <w:r w:rsidRPr="00490DD1">
        <w:t>–</w:t>
      </w:r>
      <w:r w:rsidRPr="00490DD1">
        <w:tab/>
        <w:t>uzimajući u obzir Odluku Vijeća (EU, Euratom) 2020/2053 od 14. prosinca 2020. o sustavu vlastitih sredstava Europske unije te o stavljanju izvan snage Odluke 2014/335/EU, Euratom</w:t>
      </w:r>
      <w:r w:rsidRPr="00490DD1">
        <w:rPr>
          <w:rStyle w:val="FootnoteReference"/>
        </w:rPr>
        <w:footnoteReference w:id="5"/>
      </w:r>
      <w:r w:rsidRPr="00490DD1">
        <w:t>,</w:t>
      </w:r>
    </w:p>
    <w:p w14:paraId="6F8ADCAD" w14:textId="6E494BE5" w:rsidR="005C42FE" w:rsidRPr="00490DD1" w:rsidRDefault="005C42FE" w:rsidP="005C42FE">
      <w:pPr>
        <w:pStyle w:val="NormalHanging12a"/>
      </w:pPr>
      <w:r w:rsidRPr="00490DD1">
        <w:t>–</w:t>
      </w:r>
      <w:r w:rsidRPr="00490DD1">
        <w:tab/>
        <w:t>uzimajući u obzir Nacrt izmjene proračuna br. 3/2025 koji je Komisija usvojila 3. listopada 2025. (COM(2025)0850),</w:t>
      </w:r>
    </w:p>
    <w:p w14:paraId="3D40C3C5" w14:textId="77777777" w:rsidR="005C42FE" w:rsidRPr="00490DD1" w:rsidRDefault="005C42FE" w:rsidP="005C42FE">
      <w:pPr>
        <w:pStyle w:val="NormalHanging12a"/>
      </w:pPr>
      <w:r w:rsidRPr="00490DD1">
        <w:t>–</w:t>
      </w:r>
      <w:r w:rsidRPr="00490DD1">
        <w:tab/>
        <w:t>uzimajući u obzir stajalište o Nacrtu izmjene proračuna br. 3/2025 koje je Vijeće usvojilo 17. studenoga 2025. i istog dana proslijedilo Europskom parlamentu (14878/2025 – C10</w:t>
      </w:r>
      <w:r w:rsidRPr="00490DD1">
        <w:noBreakHyphen/>
        <w:t>0301/2025),</w:t>
      </w:r>
    </w:p>
    <w:p w14:paraId="78A33E32" w14:textId="77777777" w:rsidR="005C42FE" w:rsidRPr="00490DD1" w:rsidRDefault="005C42FE" w:rsidP="005C42FE">
      <w:pPr>
        <w:pStyle w:val="NormalHanging12a"/>
      </w:pPr>
      <w:r w:rsidRPr="00490DD1">
        <w:t>–</w:t>
      </w:r>
      <w:r w:rsidRPr="00490DD1">
        <w:tab/>
        <w:t>uzimajući u obzir članke 96. i 98. Poslovnika,</w:t>
      </w:r>
    </w:p>
    <w:p w14:paraId="2995F801" w14:textId="77777777" w:rsidR="005C42FE" w:rsidRPr="00490DD1" w:rsidRDefault="005C42FE" w:rsidP="005C42FE">
      <w:pPr>
        <w:pStyle w:val="NormalHanging12a"/>
      </w:pPr>
      <w:r w:rsidRPr="00490DD1">
        <w:t>–</w:t>
      </w:r>
      <w:r w:rsidRPr="00490DD1">
        <w:tab/>
        <w:t>uzimajući u obzir izvješće Odbora za proračune (A10</w:t>
      </w:r>
      <w:r w:rsidRPr="00490DD1">
        <w:noBreakHyphen/>
        <w:t>0237/2025),</w:t>
      </w:r>
    </w:p>
    <w:p w14:paraId="7958114E" w14:textId="77777777" w:rsidR="005C42FE" w:rsidRPr="00490DD1" w:rsidRDefault="005C42FE" w:rsidP="005C42FE">
      <w:pPr>
        <w:spacing w:after="240"/>
        <w:ind w:left="567" w:hanging="567"/>
        <w:rPr>
          <w:color w:val="000000"/>
        </w:rPr>
      </w:pPr>
      <w:r w:rsidRPr="00490DD1">
        <w:t>A.</w:t>
      </w:r>
      <w:r w:rsidRPr="00490DD1">
        <w:tab/>
      </w:r>
      <w:r w:rsidRPr="00490DD1">
        <w:rPr>
          <w:color w:val="000000"/>
        </w:rPr>
        <w:t>budući da je svrha Nacrta izmjene proračuna br. 3/2025 ažuriranje prihodovne strane proračuna kako bi se uzela u obzir najnovija kretanja, prilagodba rashodovne strane proračuna u vezi s odobrenim sredstvima za plaćanje te, osim toga, prilagodba rashodovne strane proračuna u vezi s nekoliko decentraliziranih agencija;</w:t>
      </w:r>
    </w:p>
    <w:p w14:paraId="429CE076" w14:textId="77777777" w:rsidR="005C42FE" w:rsidRPr="00490DD1" w:rsidRDefault="005C42FE" w:rsidP="005C42FE">
      <w:pPr>
        <w:spacing w:after="240"/>
        <w:ind w:left="567" w:hanging="567"/>
        <w:rPr>
          <w:color w:val="000000"/>
        </w:rPr>
      </w:pPr>
      <w:r w:rsidRPr="00490DD1">
        <w:rPr>
          <w:color w:val="000000"/>
        </w:rPr>
        <w:t>B.</w:t>
      </w:r>
      <w:r w:rsidRPr="00490DD1">
        <w:rPr>
          <w:color w:val="000000"/>
        </w:rPr>
        <w:tab/>
        <w:t>budući da, kad je riječ o rashodima, Nacrt izmjene proračuna br. 3/2025 uključuje neto povećanje od 123,7 milijuna EUR u odobrenim sredstvima za preuzimanje obveza te neto povećanje od 2,52 milijarde EUR u odobrenim sredstvima za plaćanje;</w:t>
      </w:r>
    </w:p>
    <w:p w14:paraId="175BE3EA" w14:textId="77777777" w:rsidR="005C42FE" w:rsidRPr="00490DD1" w:rsidRDefault="005C42FE" w:rsidP="005C42FE">
      <w:pPr>
        <w:spacing w:after="240"/>
        <w:ind w:left="567" w:hanging="567"/>
        <w:rPr>
          <w:color w:val="000000"/>
        </w:rPr>
      </w:pPr>
      <w:r w:rsidRPr="00490DD1">
        <w:rPr>
          <w:color w:val="000000"/>
        </w:rPr>
        <w:t>C.</w:t>
      </w:r>
      <w:r w:rsidRPr="00490DD1">
        <w:rPr>
          <w:color w:val="000000"/>
        </w:rPr>
        <w:tab/>
        <w:t>budući da se u Nacrtu izmjene proračuna br. 3/2025 predlaže niz prilagodbi financiranja decentraliziranih agencija u različitim naslovima;</w:t>
      </w:r>
    </w:p>
    <w:p w14:paraId="3B4341B4" w14:textId="77777777" w:rsidR="005C42FE" w:rsidRPr="00490DD1" w:rsidRDefault="005C42FE" w:rsidP="005C42FE">
      <w:pPr>
        <w:spacing w:after="240"/>
        <w:ind w:left="567" w:hanging="567"/>
        <w:rPr>
          <w:color w:val="000000"/>
        </w:rPr>
      </w:pPr>
      <w:r w:rsidRPr="00490DD1">
        <w:rPr>
          <w:color w:val="000000"/>
        </w:rPr>
        <w:t>D.</w:t>
      </w:r>
      <w:r w:rsidRPr="00490DD1">
        <w:rPr>
          <w:color w:val="000000"/>
        </w:rPr>
        <w:tab/>
        <w:t>budući da se na prihodovnoj strani Nacrtom izmjene proračuna br. 3/2025 u proračun za 2025. unose konačne novčane kazne i sankcije plaćene do rujna 2025., u ukupnom iznosu od 1,19 milijardi EUR, te 1,3 milijarde EUR dodatnih tradicionalnih vlastitih sredstava;</w:t>
      </w:r>
    </w:p>
    <w:p w14:paraId="1E3C6AFD" w14:textId="77777777" w:rsidR="005C42FE" w:rsidRPr="00490DD1" w:rsidRDefault="005C42FE" w:rsidP="005C42FE">
      <w:pPr>
        <w:spacing w:after="240"/>
        <w:ind w:left="567" w:hanging="567"/>
        <w:rPr>
          <w:color w:val="000000"/>
        </w:rPr>
      </w:pPr>
      <w:r w:rsidRPr="00490DD1">
        <w:rPr>
          <w:color w:val="000000"/>
        </w:rPr>
        <w:t>E.</w:t>
      </w:r>
      <w:r w:rsidRPr="00490DD1">
        <w:rPr>
          <w:color w:val="000000"/>
        </w:rPr>
        <w:tab/>
        <w:t>budući da su zbog tih prilagodbi potrebni dodatni doprinosi na temelju BND-a u iznosu od 31,9 milijuna EUR kako bi se zadovoljile potrebe za plaćanjima;</w:t>
      </w:r>
    </w:p>
    <w:p w14:paraId="0EE12229" w14:textId="77777777" w:rsidR="005C42FE" w:rsidRPr="00490DD1" w:rsidRDefault="005C42FE" w:rsidP="005C42FE">
      <w:pPr>
        <w:spacing w:after="240"/>
        <w:ind w:left="567" w:hanging="567"/>
        <w:rPr>
          <w:color w:val="000000"/>
        </w:rPr>
      </w:pPr>
      <w:r w:rsidRPr="00490DD1">
        <w:rPr>
          <w:color w:val="000000"/>
        </w:rPr>
        <w:t>1.</w:t>
      </w:r>
      <w:r w:rsidRPr="00490DD1">
        <w:rPr>
          <w:color w:val="000000"/>
        </w:rPr>
        <w:tab/>
        <w:t>prima na znanje Nacrt izmjene proračuna br. 3/2025 koji je podnijela Komisija, a posebno općenito vrlo nizak učinak na doprinose država članica na temelju BND-a zbog salda većih potreba za plaćanjima i dodatnih tokova prihoda;</w:t>
      </w:r>
    </w:p>
    <w:p w14:paraId="6DE845D9" w14:textId="29A12768" w:rsidR="005C42FE" w:rsidRPr="00490DD1" w:rsidRDefault="005C42FE" w:rsidP="005C42FE">
      <w:pPr>
        <w:spacing w:after="240"/>
        <w:ind w:left="567" w:hanging="567"/>
        <w:rPr>
          <w:color w:val="000000"/>
        </w:rPr>
      </w:pPr>
      <w:r w:rsidRPr="00490DD1">
        <w:rPr>
          <w:color w:val="000000"/>
        </w:rPr>
        <w:t>2.</w:t>
      </w:r>
      <w:r w:rsidRPr="00490DD1">
        <w:rPr>
          <w:color w:val="000000"/>
        </w:rPr>
        <w:tab/>
        <w:t xml:space="preserve">pozdravlja povećanje odobrenih sredstava za plaćanje za Europski fond za regionalni razvoj (EFRR) u iznosu od 2 milijarde EUR, zajedno s povećanjima za zajedničku poljoprivrednu politiku </w:t>
      </w:r>
      <w:r w:rsidR="000E43F6">
        <w:rPr>
          <w:color w:val="000000"/>
        </w:rPr>
        <w:t xml:space="preserve">(ZPP) </w:t>
      </w:r>
      <w:r w:rsidRPr="00490DD1">
        <w:rPr>
          <w:color w:val="000000"/>
        </w:rPr>
        <w:t xml:space="preserve">u ovogodišnjem globalnom prijenosu (DEC 15/25), kao znak da se provedba programa ubrzava nakon zabrinjavajuće sporog početka u razdoblju od 2021. do 2027.; naglašava da jačanje strukturnih fondova i odobrenih sredstava ZPP-a ima ključnu ulogu u održavanju kontinuiteta programa potpore poljoprivredi, jamčenju sigurnosti opskrbe hranom i promicanju održivog ruralnog </w:t>
      </w:r>
      <w:r w:rsidRPr="00490DD1">
        <w:rPr>
          <w:color w:val="000000"/>
        </w:rPr>
        <w:lastRenderedPageBreak/>
        <w:t>razvoja; napominje da su te mjere posebno važne za povećanje otpornosti poljoprivrednog sektora i očuvanje socioekonomske ravnoteže u ruralnim područjima; podsjeća na komplementarnost tih povećanja s prilagodbama odobrenih sredstava za plaćanje u globalnom prijenosu (DEC 15/2025);</w:t>
      </w:r>
    </w:p>
    <w:p w14:paraId="02CC9690" w14:textId="77777777" w:rsidR="005C42FE" w:rsidRPr="00490DD1" w:rsidRDefault="005C42FE" w:rsidP="005C42FE">
      <w:pPr>
        <w:spacing w:after="240"/>
        <w:ind w:left="567" w:hanging="567"/>
        <w:rPr>
          <w:color w:val="000000"/>
        </w:rPr>
      </w:pPr>
      <w:r w:rsidRPr="00490DD1">
        <w:rPr>
          <w:color w:val="000000"/>
        </w:rPr>
        <w:t>3.</w:t>
      </w:r>
      <w:r w:rsidRPr="00490DD1">
        <w:rPr>
          <w:color w:val="000000"/>
        </w:rPr>
        <w:tab/>
        <w:t xml:space="preserve">i dalje potiče na ubrzanu provedbu mjera u okviru EFRR-a, fonda ESF+ i Instrumenta za financijsku potporu u području upravljanja granicama i vizne politike (BMVI); pozdravlja provedbu Platforme za strateške tehnologije za Europu (STEP), koja je brža od očekivanog; </w:t>
      </w:r>
      <w:r w:rsidRPr="00490DD1">
        <w:t xml:space="preserve">očekuje da će se više od 3 milijarde EUR </w:t>
      </w:r>
      <w:sdt>
        <w:sdtPr>
          <w:tag w:val="goog_rdk_2"/>
          <w:id w:val="1285891827"/>
        </w:sdtPr>
        <w:sdtEndPr/>
        <w:sdtContent>
          <w:r w:rsidRPr="00490DD1">
            <w:t xml:space="preserve">dodatnih </w:t>
          </w:r>
        </w:sdtContent>
      </w:sdt>
      <w:r w:rsidRPr="00490DD1">
        <w:t>plaćanja iz STEP-a brzo i učinkovito iskoristiti za konkretne ciljeve u okviru odgovarajućih temeljnih akata;</w:t>
      </w:r>
    </w:p>
    <w:p w14:paraId="7DB8C82F" w14:textId="77777777" w:rsidR="005C42FE" w:rsidRPr="00490DD1" w:rsidRDefault="005C42FE" w:rsidP="005C42FE">
      <w:pPr>
        <w:spacing w:after="240"/>
        <w:ind w:left="567" w:hanging="567"/>
        <w:rPr>
          <w:color w:val="000000"/>
        </w:rPr>
      </w:pPr>
      <w:r w:rsidRPr="00490DD1">
        <w:rPr>
          <w:color w:val="000000"/>
        </w:rPr>
        <w:t>4.</w:t>
      </w:r>
      <w:r w:rsidRPr="00490DD1">
        <w:rPr>
          <w:color w:val="000000"/>
        </w:rPr>
        <w:tab/>
        <w:t xml:space="preserve">prima na znanje najnovije stanje u vezi sa sporazumima o partnerstvu u održivom ribarstvu i pozdravlja činjenicu da, u skladu s relevantnim odredbama </w:t>
      </w:r>
      <w:proofErr w:type="spellStart"/>
      <w:r w:rsidRPr="00490DD1">
        <w:rPr>
          <w:color w:val="000000"/>
        </w:rPr>
        <w:t>Međuinstitucijskog</w:t>
      </w:r>
      <w:proofErr w:type="spellEnd"/>
      <w:r w:rsidRPr="00490DD1">
        <w:rPr>
          <w:color w:val="000000"/>
        </w:rPr>
        <w:t xml:space="preserve"> sporazuma, proračunsko tijelo ima aktivnu ulogu u oslobađanju odobrenih sredstava u pričuvi s obzirom na stupanje na snagu i primjenu odgovarajućih međunarodnih provedbenih protokola;</w:t>
      </w:r>
    </w:p>
    <w:p w14:paraId="34E4A3EB" w14:textId="77777777" w:rsidR="005C42FE" w:rsidRPr="00490DD1" w:rsidRDefault="005C42FE" w:rsidP="005C42FE">
      <w:pPr>
        <w:spacing w:after="240"/>
        <w:ind w:left="567" w:hanging="567"/>
        <w:rPr>
          <w:color w:val="000000"/>
        </w:rPr>
      </w:pPr>
      <w:r w:rsidRPr="00490DD1">
        <w:rPr>
          <w:color w:val="000000"/>
        </w:rPr>
        <w:t>5.</w:t>
      </w:r>
      <w:r w:rsidRPr="00490DD1">
        <w:rPr>
          <w:color w:val="000000"/>
        </w:rPr>
        <w:tab/>
        <w:t>izražava žaljenje zbog smanjenja obveza (78 milijuna EUR) i plaćanja (48 milijuna EUR) za Instrument za opremu za carinske provjere (CCEI) zbog kašnjenja u provedbi u državama članicama u razdoblju u kojem bi suradnja i ulaganja u tom području trebali biti uspješni;</w:t>
      </w:r>
    </w:p>
    <w:p w14:paraId="42714E0E" w14:textId="77777777" w:rsidR="005C42FE" w:rsidRPr="00490DD1" w:rsidRDefault="005C42FE" w:rsidP="005C42FE">
      <w:pPr>
        <w:spacing w:after="240"/>
        <w:ind w:left="567" w:hanging="567"/>
        <w:rPr>
          <w:color w:val="000000"/>
        </w:rPr>
      </w:pPr>
      <w:r w:rsidRPr="00490DD1">
        <w:rPr>
          <w:color w:val="000000"/>
        </w:rPr>
        <w:t>6.</w:t>
      </w:r>
      <w:r w:rsidRPr="00490DD1">
        <w:rPr>
          <w:color w:val="000000"/>
        </w:rPr>
        <w:tab/>
        <w:t>pozdravlja uštede u obvezama (5 milijuna EUR) za Instrument za tehničku potporu zbog povećanja učinkovitosti zahvaljujući konkurentnim postupcima javne nabave;</w:t>
      </w:r>
    </w:p>
    <w:p w14:paraId="0FCC4734" w14:textId="77777777" w:rsidR="005C42FE" w:rsidRPr="00490DD1" w:rsidRDefault="005C42FE" w:rsidP="005C42FE">
      <w:pPr>
        <w:spacing w:after="240"/>
        <w:ind w:left="567" w:hanging="567"/>
        <w:rPr>
          <w:color w:val="000000"/>
        </w:rPr>
      </w:pPr>
      <w:r w:rsidRPr="00490DD1">
        <w:rPr>
          <w:color w:val="000000"/>
        </w:rPr>
        <w:t>7.</w:t>
      </w:r>
      <w:r w:rsidRPr="00490DD1">
        <w:rPr>
          <w:color w:val="000000"/>
        </w:rPr>
        <w:tab/>
      </w:r>
      <w:sdt>
        <w:sdtPr>
          <w:tag w:val="goog_rdk_4"/>
          <w:id w:val="438155605"/>
        </w:sdtPr>
        <w:sdtEndPr/>
        <w:sdtContent>
          <w:sdt>
            <w:sdtPr>
              <w:tag w:val="goog_rdk_5"/>
              <w:id w:val="557417589"/>
            </w:sdtPr>
            <w:sdtEndPr/>
            <w:sdtContent>
              <w:r w:rsidRPr="00490DD1">
                <w:t>prima na znanje</w:t>
              </w:r>
            </w:sdtContent>
          </w:sdt>
        </w:sdtContent>
      </w:sdt>
      <w:r w:rsidRPr="00490DD1">
        <w:t xml:space="preserve"> tempo provedbe reformi i razmjerno usporavanje apsorpcije plaćanja u okviru Instrumenta za Ukrajinu;</w:t>
      </w:r>
      <w:r w:rsidRPr="00490DD1">
        <w:rPr>
          <w:color w:val="000000"/>
        </w:rPr>
        <w:t xml:space="preserve"> </w:t>
      </w:r>
      <w:r w:rsidRPr="00490DD1">
        <w:t xml:space="preserve">prima na znanje da se dijelovi neiskorištenih odobrenih sredstava </w:t>
      </w:r>
      <w:sdt>
        <w:sdtPr>
          <w:tag w:val="goog_rdk_7"/>
          <w:id w:val="1769977353"/>
        </w:sdtPr>
        <w:sdtEndPr/>
        <w:sdtContent>
          <w:r w:rsidRPr="00490DD1">
            <w:t>mogu</w:t>
          </w:r>
        </w:sdtContent>
      </w:sdt>
      <w:r w:rsidRPr="00490DD1">
        <w:t xml:space="preserve"> prenijeti u sljedeću proračunsku godinu;</w:t>
      </w:r>
      <w:r w:rsidRPr="00490DD1">
        <w:rPr>
          <w:color w:val="000000"/>
        </w:rPr>
        <w:t xml:space="preserve"> potiče sve uključene aktere da ostvare napredak u pogledu mjera povezanih s reformama i ulaganjima, kao što su sporazumi o mješovitom financiranju;</w:t>
      </w:r>
    </w:p>
    <w:p w14:paraId="2AD460BF" w14:textId="77777777" w:rsidR="005C42FE" w:rsidRPr="00490DD1" w:rsidRDefault="005C42FE" w:rsidP="005C42FE">
      <w:pPr>
        <w:spacing w:after="240"/>
        <w:ind w:left="567" w:hanging="567"/>
        <w:rPr>
          <w:color w:val="000000"/>
        </w:rPr>
      </w:pPr>
      <w:r w:rsidRPr="00490DD1">
        <w:rPr>
          <w:color w:val="000000"/>
        </w:rPr>
        <w:t>8.</w:t>
      </w:r>
      <w:r w:rsidRPr="00490DD1">
        <w:rPr>
          <w:color w:val="000000"/>
        </w:rPr>
        <w:tab/>
        <w:t xml:space="preserve">prima na znanje prilagodbe doprinosa Unije različitim decentraliziranim agencijama; smatra da su te prilagodbe uglavnom tehničke prirode; pozdravlja ih u mjeri u kojoj optimiziraju upotrebu resursa u okviru operativnih linija, kao što su LIFE, Fond za azil, migracije i integraciju ili Program jedinstvenog tržišta; međutim, izražava žaljenje zbog toga što je temeljni razlog za „vraćanje” odobrenih sredstava za preuzimanje obveza i odobrenih sredstava za plaćanje iz odgovarajućih linija agencija u povezane programske linije kašnjenje u zapošljavanju osoblja ili kašnjenje u provedbi novih političkih i zakonodavnih inicijativa kao što su strategija ulaganja za male ulagatelje (koja se odnosi na ESMA-u i EIOPA-u), pakt o azilu i migracijama (koji se odnosi na EUAA-u), paket o pomorskoj sigurnosti (koji se odnosi na EMSA-u) ili prijedlog o novim </w:t>
      </w:r>
      <w:proofErr w:type="spellStart"/>
      <w:r w:rsidRPr="00490DD1">
        <w:rPr>
          <w:color w:val="000000"/>
        </w:rPr>
        <w:t>genomskim</w:t>
      </w:r>
      <w:proofErr w:type="spellEnd"/>
      <w:r w:rsidRPr="00490DD1">
        <w:rPr>
          <w:color w:val="000000"/>
        </w:rPr>
        <w:t xml:space="preserve"> tehnikama (koji se odnosi na EFSA-u);</w:t>
      </w:r>
    </w:p>
    <w:p w14:paraId="30904479" w14:textId="77777777" w:rsidR="005C42FE" w:rsidRPr="00490DD1" w:rsidRDefault="005C42FE" w:rsidP="005C42FE">
      <w:pPr>
        <w:spacing w:after="240"/>
        <w:ind w:left="567" w:hanging="567"/>
        <w:rPr>
          <w:color w:val="000000"/>
        </w:rPr>
      </w:pPr>
      <w:r w:rsidRPr="00490DD1">
        <w:rPr>
          <w:color w:val="000000"/>
        </w:rPr>
        <w:t>9.</w:t>
      </w:r>
      <w:r w:rsidRPr="00490DD1">
        <w:rPr>
          <w:color w:val="000000"/>
        </w:rPr>
        <w:tab/>
        <w:t xml:space="preserve">u tom kontekstu ističe i ponavlja svoju snažnu potporu novoosnovanom Tijelu za sprečavanje pranja novca (AMLA) u revidiranom okviru za sprečavanje pranja novca na razini Unije; </w:t>
      </w:r>
      <w:r w:rsidRPr="00490DD1">
        <w:t>i dalje izražava duboku zabrinutost zbog kontinuiranih kašnjenja u fazi uspostave, posebno u vezi sa zapošljavanjem</w:t>
      </w:r>
      <w:sdt>
        <w:sdtPr>
          <w:tag w:val="goog_rdk_18"/>
          <w:id w:val="-1528576562"/>
        </w:sdtPr>
        <w:sdtEndPr/>
        <w:sdtContent>
          <w:r w:rsidRPr="00490DD1">
            <w:t xml:space="preserve"> te poziva na ubrzanje relevantnih postupaka zapošljavanja</w:t>
          </w:r>
        </w:sdtContent>
      </w:sdt>
      <w:r w:rsidRPr="00490DD1">
        <w:t>;</w:t>
      </w:r>
    </w:p>
    <w:p w14:paraId="299F9B91" w14:textId="004BD9AF" w:rsidR="005C42FE" w:rsidRPr="00490DD1" w:rsidRDefault="00AA17DF" w:rsidP="005C42FE">
      <w:pPr>
        <w:spacing w:after="240"/>
        <w:ind w:left="567" w:hanging="567"/>
        <w:rPr>
          <w:color w:val="000000"/>
        </w:rPr>
      </w:pPr>
      <w:sdt>
        <w:sdtPr>
          <w:tag w:val="goog_rdk_19"/>
          <w:id w:val="599988960"/>
        </w:sdtPr>
        <w:sdtEndPr/>
        <w:sdtContent/>
      </w:sdt>
      <w:r w:rsidR="005C42FE" w:rsidRPr="00490DD1">
        <w:rPr>
          <w:color w:val="000000"/>
        </w:rPr>
        <w:t>10.</w:t>
      </w:r>
      <w:r w:rsidR="005C42FE" w:rsidRPr="00490DD1">
        <w:rPr>
          <w:color w:val="000000"/>
        </w:rPr>
        <w:tab/>
        <w:t xml:space="preserve">pozdravlja uključivanje u proračun dodatnih prihoda koji proizlaze iz konačnih novčanih kazni i sankcija u vrijednosti od 1 185,1 milijun EUR; smatra da ti iznosi </w:t>
      </w:r>
      <w:r w:rsidR="005C42FE" w:rsidRPr="00490DD1">
        <w:rPr>
          <w:color w:val="000000"/>
        </w:rPr>
        <w:lastRenderedPageBreak/>
        <w:t xml:space="preserve">predstavljaju istinske izvore prihoda Unije kojima se smanjuju doprinosi država članica na temelju BND-a; u tom kontekstu podsjeća da je Komisija predložila izmjene za razdoblje </w:t>
      </w:r>
      <w:r w:rsidR="00B23139">
        <w:rPr>
          <w:color w:val="000000"/>
        </w:rPr>
        <w:t>sljedećeg višegodišnjeg financijskog okvira</w:t>
      </w:r>
      <w:r w:rsidR="005C42FE" w:rsidRPr="00490DD1">
        <w:rPr>
          <w:color w:val="000000"/>
        </w:rPr>
        <w:t xml:space="preserve"> kako bi se osiguralo da takvi neočekivani prihodi mogu dovesti do dodatnih odobrenih sredstava za rashode;</w:t>
      </w:r>
    </w:p>
    <w:p w14:paraId="6B1FD9B2" w14:textId="77777777" w:rsidR="005C42FE" w:rsidRPr="00490DD1" w:rsidRDefault="005C42FE" w:rsidP="005C42FE">
      <w:pPr>
        <w:spacing w:after="240"/>
        <w:ind w:left="567" w:hanging="567"/>
        <w:rPr>
          <w:color w:val="000000"/>
        </w:rPr>
      </w:pPr>
      <w:r w:rsidRPr="00490DD1">
        <w:rPr>
          <w:color w:val="000000"/>
        </w:rPr>
        <w:t>11.</w:t>
      </w:r>
      <w:r w:rsidRPr="00490DD1">
        <w:rPr>
          <w:color w:val="000000"/>
        </w:rPr>
        <w:tab/>
        <w:t>prima na znanje prijedlog da se 1 300 milijuna EUR procijenjenog „viška tradicionalnih vlastitih sredstava” unese u proračun; izražava sumnju u vrijednost opetovanih ažuriranja prihoda od carina tijekom proračunske godine, posebno izvan godišnje namjenske izmjene proračuna, radi ažuriranja i reguliranja prihodovne strane;</w:t>
      </w:r>
    </w:p>
    <w:p w14:paraId="3FEF8191" w14:textId="77777777" w:rsidR="005C42FE" w:rsidRPr="00490DD1" w:rsidRDefault="005C42FE" w:rsidP="005C42FE">
      <w:pPr>
        <w:spacing w:after="240"/>
        <w:ind w:left="567" w:hanging="567"/>
        <w:rPr>
          <w:color w:val="000000"/>
        </w:rPr>
      </w:pPr>
      <w:r w:rsidRPr="00490DD1">
        <w:t>12.</w:t>
      </w:r>
      <w:r w:rsidRPr="00490DD1">
        <w:tab/>
        <w:t>prima na znanje ažuriranje prilagodbi plaća za 2025. i slaže se s uključivanjem proračunskog učinka tih prilagodbi kao tehničke izmjene u Nacrt izmjene proračuna br. 3/2025; napominje da to podrazumijeva smanjenje od ukupno 78,8 milijuna EUR u nediferenciranim odobrenim sredstvima u relevantnim proračunskim linijama i dijelovima iz naslova 7.;</w:t>
      </w:r>
    </w:p>
    <w:p w14:paraId="624A73E9" w14:textId="77777777" w:rsidR="005C42FE" w:rsidRPr="00490DD1" w:rsidRDefault="005C42FE" w:rsidP="005C42FE">
      <w:pPr>
        <w:spacing w:after="240"/>
        <w:ind w:left="567" w:hanging="567"/>
      </w:pPr>
      <w:r w:rsidRPr="00490DD1">
        <w:t>13.</w:t>
      </w:r>
      <w:r w:rsidRPr="00490DD1">
        <w:tab/>
        <w:t>prihvaća stajalište Vijeća o Nacrtu izmjene proračuna br. 3/2025;</w:t>
      </w:r>
    </w:p>
    <w:p w14:paraId="5D4DA27C" w14:textId="77777777" w:rsidR="005C42FE" w:rsidRPr="00490DD1" w:rsidRDefault="005C42FE" w:rsidP="005C42FE">
      <w:pPr>
        <w:pStyle w:val="NormalHanging12a"/>
      </w:pPr>
      <w:r w:rsidRPr="00490DD1">
        <w:t>14.</w:t>
      </w:r>
      <w:r w:rsidRPr="00490DD1">
        <w:tab/>
        <w:t xml:space="preserve">nalaže svojoj predsjednici da proglasi izmjenu proračuna br. 3/2025 konačno donesenom i da je da na objavu u </w:t>
      </w:r>
      <w:r w:rsidRPr="00490DD1">
        <w:rPr>
          <w:i/>
        </w:rPr>
        <w:t>Službenom listu Europske unije</w:t>
      </w:r>
      <w:r w:rsidRPr="00490DD1">
        <w:t>;</w:t>
      </w:r>
    </w:p>
    <w:p w14:paraId="2E23807E" w14:textId="7AE756E3" w:rsidR="00E365E1" w:rsidRPr="00490DD1" w:rsidRDefault="005C42FE" w:rsidP="00490DD1">
      <w:pPr>
        <w:ind w:left="567" w:hanging="567"/>
      </w:pPr>
      <w:r w:rsidRPr="00490DD1">
        <w:t>15.</w:t>
      </w:r>
      <w:r w:rsidRPr="00490DD1">
        <w:tab/>
        <w:t>nalaže svojoj predsjednici da ovu Rezoluciju proslijedi Vijeću i Komisiji te nacionalnim parlamentima.</w:t>
      </w:r>
    </w:p>
    <w:sectPr w:rsidR="00E365E1" w:rsidRPr="00490DD1" w:rsidSect="003C21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82984" w14:textId="77777777" w:rsidR="00F0639B" w:rsidRPr="003C21C4" w:rsidRDefault="00F0639B">
      <w:r w:rsidRPr="003C21C4">
        <w:separator/>
      </w:r>
    </w:p>
  </w:endnote>
  <w:endnote w:type="continuationSeparator" w:id="0">
    <w:p w14:paraId="5F523D52" w14:textId="77777777" w:rsidR="00F0639B" w:rsidRPr="003C21C4" w:rsidRDefault="00F0639B">
      <w:r w:rsidRPr="003C21C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DD1E1" w14:textId="77777777" w:rsidR="00064002" w:rsidRPr="003C21C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CC044" w14:textId="77777777" w:rsidR="00064002" w:rsidRPr="003C21C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D4847" w14:textId="77777777" w:rsidR="00064002" w:rsidRPr="003C21C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6F9B0" w14:textId="77777777" w:rsidR="00F0639B" w:rsidRPr="003C21C4" w:rsidRDefault="00F0639B">
      <w:r w:rsidRPr="003C21C4">
        <w:separator/>
      </w:r>
    </w:p>
  </w:footnote>
  <w:footnote w:type="continuationSeparator" w:id="0">
    <w:p w14:paraId="569E1B72" w14:textId="77777777" w:rsidR="00F0639B" w:rsidRPr="003C21C4" w:rsidRDefault="00F0639B">
      <w:r w:rsidRPr="003C21C4">
        <w:continuationSeparator/>
      </w:r>
    </w:p>
  </w:footnote>
  <w:footnote w:id="1">
    <w:p w14:paraId="13A699AB" w14:textId="01AE137E" w:rsidR="005C42FE" w:rsidRPr="003C21C4" w:rsidRDefault="005C42FE" w:rsidP="003C21C4">
      <w:pPr>
        <w:pStyle w:val="FootnoteText"/>
        <w:ind w:left="567" w:hanging="567"/>
        <w:rPr>
          <w:sz w:val="24"/>
          <w:lang w:val="hr-HR"/>
        </w:rPr>
      </w:pPr>
      <w:r w:rsidRPr="003C21C4">
        <w:rPr>
          <w:rStyle w:val="FootnoteReference"/>
          <w:sz w:val="24"/>
          <w:lang w:val="hr-HR"/>
        </w:rPr>
        <w:footnoteRef/>
      </w:r>
      <w:r w:rsidR="003C21C4" w:rsidRPr="003C21C4">
        <w:rPr>
          <w:sz w:val="24"/>
          <w:lang w:val="hr-HR"/>
        </w:rPr>
        <w:t xml:space="preserve"> </w:t>
      </w:r>
      <w:r w:rsidR="003C21C4" w:rsidRPr="003C21C4">
        <w:rPr>
          <w:sz w:val="24"/>
          <w:lang w:val="hr-HR"/>
        </w:rPr>
        <w:tab/>
      </w:r>
      <w:r w:rsidRPr="003C21C4">
        <w:rPr>
          <w:sz w:val="24"/>
          <w:lang w:val="hr-HR"/>
        </w:rPr>
        <w:t xml:space="preserve">SL L, 2024/2509, 26.9.2024., ELI: </w:t>
      </w:r>
      <w:hyperlink r:id="rId1" w:history="1">
        <w:r w:rsidRPr="003C21C4">
          <w:rPr>
            <w:rStyle w:val="Hyperlink"/>
            <w:sz w:val="24"/>
            <w:lang w:val="hr-HR"/>
          </w:rPr>
          <w:t>http://data.europa.eu/eli/reg/2024/2509/oj</w:t>
        </w:r>
      </w:hyperlink>
      <w:r w:rsidRPr="003C21C4">
        <w:rPr>
          <w:sz w:val="24"/>
          <w:lang w:val="hr-HR"/>
        </w:rPr>
        <w:t>.</w:t>
      </w:r>
    </w:p>
  </w:footnote>
  <w:footnote w:id="2">
    <w:p w14:paraId="79620345" w14:textId="27DD3AE0" w:rsidR="005C42FE" w:rsidRPr="003C21C4" w:rsidRDefault="005C42FE" w:rsidP="003C21C4">
      <w:pPr>
        <w:pStyle w:val="FootnoteText"/>
        <w:ind w:left="567" w:hanging="567"/>
        <w:rPr>
          <w:sz w:val="24"/>
          <w:lang w:val="hr-HR"/>
        </w:rPr>
      </w:pPr>
      <w:r w:rsidRPr="003C21C4">
        <w:rPr>
          <w:rStyle w:val="FootnoteReference"/>
          <w:sz w:val="24"/>
          <w:lang w:val="hr-HR"/>
        </w:rPr>
        <w:footnoteRef/>
      </w:r>
      <w:r w:rsidR="003C21C4" w:rsidRPr="003C21C4">
        <w:rPr>
          <w:sz w:val="24"/>
          <w:lang w:val="hr-HR"/>
        </w:rPr>
        <w:t xml:space="preserve"> </w:t>
      </w:r>
      <w:r w:rsidR="003C21C4" w:rsidRPr="003C21C4">
        <w:rPr>
          <w:sz w:val="24"/>
          <w:lang w:val="hr-HR"/>
        </w:rPr>
        <w:tab/>
      </w:r>
      <w:r w:rsidRPr="003C21C4">
        <w:rPr>
          <w:sz w:val="24"/>
          <w:lang w:val="hr-HR"/>
        </w:rPr>
        <w:t xml:space="preserve">SL L, 2025/31, 27.2.2025., ELI: </w:t>
      </w:r>
      <w:hyperlink r:id="rId2" w:history="1">
        <w:r w:rsidRPr="003C21C4">
          <w:rPr>
            <w:rStyle w:val="Hyperlink"/>
            <w:sz w:val="24"/>
            <w:lang w:val="hr-HR"/>
          </w:rPr>
          <w:t>http://data.europa.eu/eli/budget/2025/31/oj</w:t>
        </w:r>
      </w:hyperlink>
      <w:r w:rsidRPr="003C21C4">
        <w:rPr>
          <w:rStyle w:val="Hyperlink"/>
          <w:sz w:val="24"/>
          <w:lang w:val="hr-HR"/>
        </w:rPr>
        <w:t>.</w:t>
      </w:r>
    </w:p>
  </w:footnote>
  <w:footnote w:id="3">
    <w:p w14:paraId="40245937" w14:textId="42A3B7D2" w:rsidR="005C42FE" w:rsidRPr="003C21C4" w:rsidRDefault="005C42FE" w:rsidP="003C21C4">
      <w:pPr>
        <w:pStyle w:val="FootnoteText"/>
        <w:ind w:left="567" w:hanging="567"/>
        <w:rPr>
          <w:sz w:val="24"/>
          <w:lang w:val="hr-HR"/>
        </w:rPr>
      </w:pPr>
      <w:r w:rsidRPr="003C21C4">
        <w:rPr>
          <w:rStyle w:val="FootnoteReference"/>
          <w:sz w:val="24"/>
          <w:lang w:val="hr-HR"/>
        </w:rPr>
        <w:footnoteRef/>
      </w:r>
      <w:r w:rsidR="003C21C4" w:rsidRPr="003C21C4">
        <w:rPr>
          <w:sz w:val="24"/>
          <w:lang w:val="hr-HR"/>
        </w:rPr>
        <w:t xml:space="preserve"> </w:t>
      </w:r>
      <w:r w:rsidR="003C21C4" w:rsidRPr="003C21C4">
        <w:rPr>
          <w:sz w:val="24"/>
          <w:lang w:val="hr-HR"/>
        </w:rPr>
        <w:tab/>
      </w:r>
      <w:r w:rsidRPr="003C21C4">
        <w:rPr>
          <w:sz w:val="24"/>
          <w:lang w:val="hr-HR"/>
        </w:rPr>
        <w:t xml:space="preserve">SL L 433 I, 22.12.2020., str. </w:t>
      </w:r>
      <w:r w:rsidRPr="003C21C4">
        <w:rPr>
          <w:sz w:val="24"/>
          <w:lang w:val="hr-HR"/>
        </w:rPr>
        <w:t xml:space="preserve">11., ELI: </w:t>
      </w:r>
      <w:hyperlink r:id="rId3" w:history="1">
        <w:r w:rsidRPr="003C21C4">
          <w:rPr>
            <w:rStyle w:val="Hyperlink"/>
            <w:sz w:val="24"/>
            <w:lang w:val="hr-HR"/>
          </w:rPr>
          <w:t>http://data.europa.eu/eli/reg/2020/433/oj</w:t>
        </w:r>
      </w:hyperlink>
      <w:r w:rsidRPr="003C21C4">
        <w:rPr>
          <w:sz w:val="24"/>
          <w:lang w:val="hr-HR"/>
        </w:rPr>
        <w:t>.</w:t>
      </w:r>
    </w:p>
  </w:footnote>
  <w:footnote w:id="4">
    <w:p w14:paraId="4D7F633A" w14:textId="474B04AE" w:rsidR="005C42FE" w:rsidRPr="003C21C4" w:rsidRDefault="005C42FE" w:rsidP="003C21C4">
      <w:pPr>
        <w:pStyle w:val="FootnoteText"/>
        <w:ind w:left="567" w:hanging="567"/>
        <w:rPr>
          <w:sz w:val="24"/>
          <w:lang w:val="hr-HR"/>
        </w:rPr>
      </w:pPr>
      <w:r w:rsidRPr="003C21C4">
        <w:rPr>
          <w:rStyle w:val="FootnoteReference"/>
          <w:sz w:val="24"/>
          <w:lang w:val="hr-HR"/>
        </w:rPr>
        <w:footnoteRef/>
      </w:r>
      <w:r w:rsidR="003C21C4" w:rsidRPr="003C21C4">
        <w:rPr>
          <w:sz w:val="24"/>
          <w:lang w:val="hr-HR"/>
        </w:rPr>
        <w:t xml:space="preserve"> </w:t>
      </w:r>
      <w:r w:rsidR="003C21C4" w:rsidRPr="003C21C4">
        <w:rPr>
          <w:sz w:val="24"/>
          <w:lang w:val="hr-HR"/>
        </w:rPr>
        <w:tab/>
      </w:r>
      <w:r w:rsidRPr="003C21C4">
        <w:rPr>
          <w:sz w:val="24"/>
          <w:lang w:val="hr-HR"/>
        </w:rPr>
        <w:t xml:space="preserve">SL L 433 I, 22.12.2020., str. </w:t>
      </w:r>
      <w:r w:rsidRPr="003C21C4">
        <w:rPr>
          <w:sz w:val="24"/>
          <w:lang w:val="hr-HR"/>
        </w:rPr>
        <w:t xml:space="preserve">28., ELI: </w:t>
      </w:r>
      <w:hyperlink r:id="rId4" w:history="1">
        <w:r w:rsidRPr="003C21C4">
          <w:rPr>
            <w:rStyle w:val="Hyperlink"/>
            <w:sz w:val="24"/>
            <w:lang w:val="hr-HR"/>
          </w:rPr>
          <w:t>http://data.europa.eu/eli/agree_interinstit/2020/1222/oj</w:t>
        </w:r>
      </w:hyperlink>
      <w:r w:rsidRPr="003C21C4">
        <w:rPr>
          <w:sz w:val="24"/>
          <w:lang w:val="hr-HR"/>
        </w:rPr>
        <w:t>.</w:t>
      </w:r>
    </w:p>
  </w:footnote>
  <w:footnote w:id="5">
    <w:p w14:paraId="2B0E9684" w14:textId="153598AD" w:rsidR="005C42FE" w:rsidRPr="003C21C4" w:rsidRDefault="005C42FE" w:rsidP="003C21C4">
      <w:pPr>
        <w:pStyle w:val="FootnoteText"/>
        <w:ind w:left="567" w:hanging="567"/>
        <w:rPr>
          <w:sz w:val="24"/>
          <w:lang w:val="hr-HR"/>
        </w:rPr>
      </w:pPr>
      <w:r w:rsidRPr="003C21C4">
        <w:rPr>
          <w:rStyle w:val="FootnoteReference"/>
          <w:sz w:val="24"/>
          <w:lang w:val="hr-HR"/>
        </w:rPr>
        <w:footnoteRef/>
      </w:r>
      <w:r w:rsidR="003C21C4" w:rsidRPr="003C21C4">
        <w:rPr>
          <w:sz w:val="24"/>
          <w:lang w:val="hr-HR"/>
        </w:rPr>
        <w:t xml:space="preserve"> </w:t>
      </w:r>
      <w:r w:rsidR="003C21C4" w:rsidRPr="003C21C4">
        <w:rPr>
          <w:sz w:val="24"/>
          <w:lang w:val="hr-HR"/>
        </w:rPr>
        <w:tab/>
      </w:r>
      <w:r w:rsidRPr="003C21C4">
        <w:rPr>
          <w:sz w:val="24"/>
          <w:lang w:val="hr-HR"/>
        </w:rPr>
        <w:t xml:space="preserve">SL L 424, 15.12.2020., str. </w:t>
      </w:r>
      <w:r w:rsidRPr="003C21C4">
        <w:rPr>
          <w:sz w:val="24"/>
          <w:lang w:val="hr-HR"/>
        </w:rPr>
        <w:t xml:space="preserve">1., ELI: </w:t>
      </w:r>
      <w:hyperlink r:id="rId5" w:history="1">
        <w:r w:rsidRPr="003C21C4">
          <w:rPr>
            <w:rStyle w:val="Hyperlink"/>
            <w:sz w:val="24"/>
            <w:lang w:val="hr-HR"/>
          </w:rPr>
          <w:t>http://data.europa.eu/eli/dec/2020/2053/oj</w:t>
        </w:r>
      </w:hyperlink>
      <w:r w:rsidRPr="003C21C4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E9BAB" w14:textId="77777777" w:rsidR="00064002" w:rsidRPr="003C21C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62F9C" w14:textId="77777777" w:rsidR="00064002" w:rsidRPr="003C21C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8DC9A" w14:textId="77777777" w:rsidR="00064002" w:rsidRPr="003C21C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96874015">
    <w:abstractNumId w:val="9"/>
  </w:num>
  <w:num w:numId="2" w16cid:durableId="1428037372">
    <w:abstractNumId w:val="9"/>
  </w:num>
  <w:num w:numId="3" w16cid:durableId="1605382954">
    <w:abstractNumId w:val="7"/>
  </w:num>
  <w:num w:numId="4" w16cid:durableId="116992490">
    <w:abstractNumId w:val="7"/>
  </w:num>
  <w:num w:numId="5" w16cid:durableId="1196846481">
    <w:abstractNumId w:val="6"/>
  </w:num>
  <w:num w:numId="6" w16cid:durableId="1181628854">
    <w:abstractNumId w:val="6"/>
  </w:num>
  <w:num w:numId="7" w16cid:durableId="1785803114">
    <w:abstractNumId w:val="5"/>
  </w:num>
  <w:num w:numId="8" w16cid:durableId="656767283">
    <w:abstractNumId w:val="5"/>
  </w:num>
  <w:num w:numId="9" w16cid:durableId="810899066">
    <w:abstractNumId w:val="4"/>
  </w:num>
  <w:num w:numId="10" w16cid:durableId="533153766">
    <w:abstractNumId w:val="4"/>
  </w:num>
  <w:num w:numId="11" w16cid:durableId="2133791496">
    <w:abstractNumId w:val="8"/>
  </w:num>
  <w:num w:numId="12" w16cid:durableId="2018727254">
    <w:abstractNumId w:val="8"/>
  </w:num>
  <w:num w:numId="13" w16cid:durableId="971984499">
    <w:abstractNumId w:val="3"/>
  </w:num>
  <w:num w:numId="14" w16cid:durableId="656955969">
    <w:abstractNumId w:val="3"/>
  </w:num>
  <w:num w:numId="15" w16cid:durableId="1189879563">
    <w:abstractNumId w:val="2"/>
  </w:num>
  <w:num w:numId="16" w16cid:durableId="321545941">
    <w:abstractNumId w:val="2"/>
  </w:num>
  <w:num w:numId="17" w16cid:durableId="3174257">
    <w:abstractNumId w:val="1"/>
  </w:num>
  <w:num w:numId="18" w16cid:durableId="1758939917">
    <w:abstractNumId w:val="1"/>
  </w:num>
  <w:num w:numId="19" w16cid:durableId="731198775">
    <w:abstractNumId w:val="0"/>
  </w:num>
  <w:num w:numId="20" w16cid:durableId="906185979">
    <w:abstractNumId w:val="0"/>
  </w:num>
  <w:num w:numId="21" w16cid:durableId="709838640">
    <w:abstractNumId w:val="9"/>
  </w:num>
  <w:num w:numId="22" w16cid:durableId="1713265793">
    <w:abstractNumId w:val="7"/>
  </w:num>
  <w:num w:numId="23" w16cid:durableId="788625478">
    <w:abstractNumId w:val="6"/>
  </w:num>
  <w:num w:numId="24" w16cid:durableId="1814329109">
    <w:abstractNumId w:val="5"/>
  </w:num>
  <w:num w:numId="25" w16cid:durableId="1611430725">
    <w:abstractNumId w:val="4"/>
  </w:num>
  <w:num w:numId="26" w16cid:durableId="189415567">
    <w:abstractNumId w:val="8"/>
  </w:num>
  <w:num w:numId="27" w16cid:durableId="919558755">
    <w:abstractNumId w:val="3"/>
  </w:num>
  <w:num w:numId="28" w16cid:durableId="192160464">
    <w:abstractNumId w:val="2"/>
  </w:num>
  <w:num w:numId="29" w16cid:durableId="2111000015">
    <w:abstractNumId w:val="1"/>
  </w:num>
  <w:num w:numId="30" w16cid:durableId="1021587018">
    <w:abstractNumId w:val="0"/>
  </w:num>
  <w:num w:numId="31" w16cid:durableId="1428042602">
    <w:abstractNumId w:val="9"/>
  </w:num>
  <w:num w:numId="32" w16cid:durableId="757218386">
    <w:abstractNumId w:val="7"/>
  </w:num>
  <w:num w:numId="33" w16cid:durableId="847016533">
    <w:abstractNumId w:val="6"/>
  </w:num>
  <w:num w:numId="34" w16cid:durableId="194001588">
    <w:abstractNumId w:val="5"/>
  </w:num>
  <w:num w:numId="35" w16cid:durableId="1940092314">
    <w:abstractNumId w:val="4"/>
  </w:num>
  <w:num w:numId="36" w16cid:durableId="95448052">
    <w:abstractNumId w:val="8"/>
  </w:num>
  <w:num w:numId="37" w16cid:durableId="2007319691">
    <w:abstractNumId w:val="3"/>
  </w:num>
  <w:num w:numId="38" w16cid:durableId="1929654190">
    <w:abstractNumId w:val="2"/>
  </w:num>
  <w:num w:numId="39" w16cid:durableId="1979408545">
    <w:abstractNumId w:val="1"/>
  </w:num>
  <w:num w:numId="40" w16cid:durableId="876354854">
    <w:abstractNumId w:val="0"/>
  </w:num>
  <w:num w:numId="41" w16cid:durableId="1292052344">
    <w:abstractNumId w:val="10"/>
  </w:num>
  <w:num w:numId="42" w16cid:durableId="1011445471">
    <w:abstractNumId w:val="10"/>
  </w:num>
  <w:num w:numId="43" w16cid:durableId="274363382">
    <w:abstractNumId w:val="10"/>
  </w:num>
  <w:num w:numId="44" w16cid:durableId="10361560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7/2025"/>
    <w:docVar w:name="dvlangue" w:val="HR"/>
    <w:docVar w:name="dvnumam" w:val="0"/>
    <w:docVar w:name="dvpe" w:val="778.228"/>
    <w:docVar w:name="dvrapporteur" w:val="Izvjestitelj: "/>
    <w:docVar w:name="dvtitre" w:val="Rezolucija Europskog parlamenta od .... 2025. o stajalištu Vijeća o Nacrtu izmjene proračuna br. 3/2025 Europske unije za financijsku godinu 2025. – prilagodba odobrenih sredstava za plaćanje, ažuriranje prihoda i druga tehnička ažuriranja(14878/2025 – C10-0301/2025 – 2025/0319(BUD))"/>
  </w:docVars>
  <w:rsids>
    <w:rsidRoot w:val="00F0639B"/>
    <w:rsid w:val="00002272"/>
    <w:rsid w:val="00036601"/>
    <w:rsid w:val="00064002"/>
    <w:rsid w:val="000677B9"/>
    <w:rsid w:val="000831BA"/>
    <w:rsid w:val="000A42CC"/>
    <w:rsid w:val="000C456B"/>
    <w:rsid w:val="000E43F6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21C4"/>
    <w:rsid w:val="003E15D4"/>
    <w:rsid w:val="00411CCE"/>
    <w:rsid w:val="0041666E"/>
    <w:rsid w:val="00421060"/>
    <w:rsid w:val="00471C19"/>
    <w:rsid w:val="004867E3"/>
    <w:rsid w:val="00490DD1"/>
    <w:rsid w:val="00494A28"/>
    <w:rsid w:val="004C0004"/>
    <w:rsid w:val="004C5D52"/>
    <w:rsid w:val="0050519A"/>
    <w:rsid w:val="005072A1"/>
    <w:rsid w:val="00514517"/>
    <w:rsid w:val="00545827"/>
    <w:rsid w:val="005552AA"/>
    <w:rsid w:val="00560270"/>
    <w:rsid w:val="005C2568"/>
    <w:rsid w:val="005C42FE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4A4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3139"/>
    <w:rsid w:val="00B558F0"/>
    <w:rsid w:val="00BD48FE"/>
    <w:rsid w:val="00BD7BD8"/>
    <w:rsid w:val="00BE6ADC"/>
    <w:rsid w:val="00C05BFE"/>
    <w:rsid w:val="00C23CD4"/>
    <w:rsid w:val="00C61C0C"/>
    <w:rsid w:val="00C941CB"/>
    <w:rsid w:val="00CA6549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639B"/>
    <w:rsid w:val="00F075DC"/>
    <w:rsid w:val="00F149E9"/>
    <w:rsid w:val="00F2513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33C1"/>
  <w15:chartTrackingRefBased/>
  <w15:docId w15:val="{A5C02E07-F323-4274-9D97-0801D20A5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C42FE"/>
    <w:pPr>
      <w:spacing w:before="480" w:after="240"/>
    </w:pPr>
  </w:style>
  <w:style w:type="paragraph" w:customStyle="1" w:styleId="NormalHanging12a">
    <w:name w:val="NormalHanging12a"/>
    <w:basedOn w:val="Normal"/>
    <w:rsid w:val="005C42FE"/>
    <w:pPr>
      <w:spacing w:after="240"/>
      <w:ind w:left="567" w:hanging="567"/>
    </w:pPr>
  </w:style>
  <w:style w:type="character" w:styleId="Hyperlink">
    <w:name w:val="Hyperlink"/>
    <w:basedOn w:val="DefaultParagraphFont"/>
    <w:rsid w:val="005C42F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23139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433/oj" TargetMode="External"/><Relationship Id="rId2" Type="http://schemas.openxmlformats.org/officeDocument/2006/relationships/hyperlink" Target="http://data.europa.eu/eli/budget/2025/31/oj%20" TargetMode="External"/><Relationship Id="rId1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dec/2020/2053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1227</Words>
  <Characters>7527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2025-11-26T13:16:00Z</dcterms:created>
  <dcterms:modified xsi:type="dcterms:W3CDTF">2025-11-26T13:16:00Z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A10-0237/2025</vt:lpwstr>
  </property>
  <property fmtid="{D5CDD505-2E9C-101B-9397-08002B2CF9AE}" pid="4" name="&lt;Type&gt;">
    <vt:lpwstr>RR</vt:lpwstr>
  </property>
</Properties>
</file>