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27A3" w14:paraId="3B9AFB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6587B3" w14:textId="77777777" w:rsidR="00751A4A" w:rsidRPr="009B27A3" w:rsidRDefault="00741801" w:rsidP="0010095E">
            <w:pPr>
              <w:pStyle w:val="EPName"/>
            </w:pPr>
            <w:r w:rsidRPr="009B27A3">
              <w:t>Európai Parlament</w:t>
            </w:r>
          </w:p>
          <w:p w14:paraId="3613A968" w14:textId="77777777" w:rsidR="00751A4A" w:rsidRPr="009B27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27A3">
              <w:t>2024</w:t>
            </w:r>
            <w:r w:rsidR="00817416" w:rsidRPr="009B27A3">
              <w:t>-202</w:t>
            </w:r>
            <w:r w:rsidRPr="009B27A3">
              <w:t>9</w:t>
            </w:r>
          </w:p>
        </w:tc>
        <w:tc>
          <w:tcPr>
            <w:tcW w:w="2268" w:type="dxa"/>
            <w:shd w:val="clear" w:color="auto" w:fill="auto"/>
          </w:tcPr>
          <w:p w14:paraId="2B56CA48" w14:textId="77777777" w:rsidR="00751A4A" w:rsidRPr="009B27A3" w:rsidRDefault="00187494" w:rsidP="0010095E">
            <w:pPr>
              <w:pStyle w:val="EPLogo"/>
            </w:pPr>
            <w:r w:rsidRPr="009B27A3">
              <w:rPr>
                <w:noProof/>
                <w:lang w:eastAsia="ja-JP"/>
              </w:rPr>
              <w:drawing>
                <wp:inline distT="0" distB="0" distL="0" distR="0" wp14:anchorId="46D13094" wp14:editId="62417C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6CBCD" w14:textId="77777777" w:rsidR="00D058B8" w:rsidRPr="009B27A3" w:rsidRDefault="00D058B8" w:rsidP="004C5D52">
      <w:pPr>
        <w:pStyle w:val="LineTop"/>
      </w:pPr>
    </w:p>
    <w:p w14:paraId="70E55EB9" w14:textId="77777777" w:rsidR="00680577" w:rsidRPr="009B27A3" w:rsidRDefault="00741801" w:rsidP="00680577">
      <w:pPr>
        <w:pStyle w:val="EPBodyTA1"/>
      </w:pPr>
      <w:r w:rsidRPr="009B27A3">
        <w:t>ELFOGADOTT SZÖVEGEK</w:t>
      </w:r>
    </w:p>
    <w:p w14:paraId="2A6FC496" w14:textId="77777777" w:rsidR="00D058B8" w:rsidRPr="009B27A3" w:rsidRDefault="00D058B8" w:rsidP="00D058B8">
      <w:pPr>
        <w:pStyle w:val="LineBottom"/>
      </w:pPr>
    </w:p>
    <w:p w14:paraId="1CD57F31" w14:textId="4545FFC2" w:rsidR="00741801" w:rsidRPr="009B27A3" w:rsidRDefault="00741801" w:rsidP="00741801">
      <w:pPr>
        <w:pStyle w:val="ATHeading1"/>
      </w:pPr>
      <w:bookmarkStart w:id="0" w:name="TANumber"/>
      <w:r w:rsidRPr="009B27A3">
        <w:t>P10_</w:t>
      </w:r>
      <w:proofErr w:type="gramStart"/>
      <w:r w:rsidRPr="009B27A3">
        <w:t>TA(</w:t>
      </w:r>
      <w:proofErr w:type="gramEnd"/>
      <w:r w:rsidRPr="009B27A3">
        <w:t>2025)0</w:t>
      </w:r>
      <w:r w:rsidR="009B27A3" w:rsidRPr="009B27A3">
        <w:t>293</w:t>
      </w:r>
      <w:bookmarkEnd w:id="0"/>
    </w:p>
    <w:p w14:paraId="457D4654" w14:textId="74018F06" w:rsidR="00741801" w:rsidRPr="009B27A3" w:rsidRDefault="00741801" w:rsidP="00741801">
      <w:pPr>
        <w:pStyle w:val="ATHeading2"/>
      </w:pPr>
      <w:bookmarkStart w:id="1" w:name="title"/>
      <w:r w:rsidRPr="009B27A3">
        <w:t xml:space="preserve">3/2025. számú költségvetés-módosítási tervezet: </w:t>
      </w:r>
      <w:r w:rsidR="00F039F0" w:rsidRPr="009B27A3">
        <w:t xml:space="preserve">a </w:t>
      </w:r>
      <w:r w:rsidRPr="009B27A3">
        <w:t xml:space="preserve">kifizetési előirányzatok kiigazítása, </w:t>
      </w:r>
      <w:r w:rsidR="00F039F0" w:rsidRPr="009B27A3">
        <w:t xml:space="preserve">a </w:t>
      </w:r>
      <w:r w:rsidRPr="009B27A3">
        <w:t xml:space="preserve">bevételek aktualizálása és egyéb technikai frissítések </w:t>
      </w:r>
      <w:bookmarkEnd w:id="1"/>
    </w:p>
    <w:p w14:paraId="71FFE1F3" w14:textId="77777777" w:rsidR="00741801" w:rsidRPr="009B27A3" w:rsidRDefault="00741801" w:rsidP="00741801">
      <w:pPr>
        <w:rPr>
          <w:i/>
          <w:vanish/>
        </w:rPr>
      </w:pPr>
      <w:r w:rsidRPr="009B27A3">
        <w:rPr>
          <w:i/>
        </w:rPr>
        <w:fldChar w:fldCharType="begin"/>
      </w:r>
      <w:r w:rsidRPr="009B27A3">
        <w:rPr>
          <w:i/>
        </w:rPr>
        <w:instrText xml:space="preserve"> TC"(</w:instrText>
      </w:r>
      <w:bookmarkStart w:id="2" w:name="DocNumber"/>
      <w:r w:rsidRPr="009B27A3">
        <w:rPr>
          <w:i/>
        </w:rPr>
        <w:instrText>A10-0237/2025</w:instrText>
      </w:r>
      <w:bookmarkEnd w:id="2"/>
      <w:r w:rsidRPr="009B27A3">
        <w:rPr>
          <w:i/>
        </w:rPr>
        <w:instrText xml:space="preserve"> - Előadó: Victor Negrescu)"\l3 \n&gt; \* MERGEFORMAT </w:instrText>
      </w:r>
      <w:r w:rsidRPr="009B27A3">
        <w:rPr>
          <w:i/>
        </w:rPr>
        <w:fldChar w:fldCharType="end"/>
      </w:r>
    </w:p>
    <w:p w14:paraId="008C1487" w14:textId="77777777" w:rsidR="00741801" w:rsidRPr="009B27A3" w:rsidRDefault="00741801" w:rsidP="00741801">
      <w:pPr>
        <w:rPr>
          <w:vanish/>
        </w:rPr>
      </w:pPr>
      <w:bookmarkStart w:id="3" w:name="Commission"/>
      <w:r w:rsidRPr="009B27A3">
        <w:rPr>
          <w:vanish/>
        </w:rPr>
        <w:t>Költségvetési Bizottság</w:t>
      </w:r>
      <w:bookmarkEnd w:id="3"/>
    </w:p>
    <w:p w14:paraId="18FC2C3A" w14:textId="77777777" w:rsidR="00741801" w:rsidRPr="009B27A3" w:rsidRDefault="00741801" w:rsidP="00741801">
      <w:pPr>
        <w:rPr>
          <w:vanish/>
        </w:rPr>
      </w:pPr>
      <w:bookmarkStart w:id="4" w:name="PE"/>
      <w:r w:rsidRPr="009B27A3">
        <w:rPr>
          <w:vanish/>
        </w:rPr>
        <w:t>PE778.228</w:t>
      </w:r>
      <w:bookmarkEnd w:id="4"/>
    </w:p>
    <w:p w14:paraId="69575C8C" w14:textId="4D274B2F" w:rsidR="00785B30" w:rsidRPr="009B27A3" w:rsidRDefault="00741801" w:rsidP="00785B30">
      <w:pPr>
        <w:pStyle w:val="ATHeading3"/>
      </w:pPr>
      <w:bookmarkStart w:id="5" w:name="Sujet"/>
      <w:r w:rsidRPr="009B27A3">
        <w:t xml:space="preserve">Az Európai Parlament 2025. </w:t>
      </w:r>
      <w:r w:rsidR="00765035" w:rsidRPr="009B27A3">
        <w:t>november 26</w:t>
      </w:r>
      <w:r w:rsidRPr="009B27A3">
        <w:t xml:space="preserve">-i állásfoglalása </w:t>
      </w:r>
      <w:bookmarkStart w:id="6" w:name="_Hlk215051655"/>
      <w:r w:rsidRPr="009B27A3">
        <w:t xml:space="preserve">a </w:t>
      </w:r>
      <w:r w:rsidR="00785B30" w:rsidRPr="009B27A3">
        <w:t>2025. évi általános költségvetésre vonatkozó 3. sz. költségvetés-módosítási tervezetről (</w:t>
      </w:r>
      <w:r w:rsidRPr="009B27A3">
        <w:t>A kifizetési előirányzatok kiigazítása, a bevételek aktualizálása és egyéb technikai frissítések) szóló tanácsi álláspontról</w:t>
      </w:r>
      <w:bookmarkEnd w:id="5"/>
      <w:r w:rsidRPr="009B27A3">
        <w:t xml:space="preserve"> </w:t>
      </w:r>
      <w:bookmarkStart w:id="7" w:name="References"/>
      <w:bookmarkEnd w:id="6"/>
      <w:r w:rsidRPr="009B27A3">
        <w:t>(14878/2025 – C10-0301/2025 – 2025/0319(BUD))</w:t>
      </w:r>
      <w:bookmarkEnd w:id="7"/>
    </w:p>
    <w:p w14:paraId="6289B3F1" w14:textId="77777777" w:rsidR="0097663B" w:rsidRPr="009B27A3" w:rsidRDefault="0097663B" w:rsidP="0097663B">
      <w:pPr>
        <w:pStyle w:val="EPComma"/>
      </w:pPr>
      <w:bookmarkStart w:id="8" w:name="TextBodyBegin"/>
      <w:bookmarkEnd w:id="8"/>
      <w:r w:rsidRPr="009B27A3">
        <w:rPr>
          <w:i/>
        </w:rPr>
        <w:t>Az Európai Parlament,</w:t>
      </w:r>
    </w:p>
    <w:p w14:paraId="57C9225B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az Európai Unió működéséről szóló szerződés 314. cikkére,</w:t>
      </w:r>
    </w:p>
    <w:p w14:paraId="5A37D5EC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az Európai Atomenergia-közösséget létrehozó szerződés 106a. cikkére,</w:t>
      </w:r>
    </w:p>
    <w:p w14:paraId="2B16A8E9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az Unió általános költségvetésére alkalmazandó pénzügyi szabályokról szóló, 2024. szeptember 23-i (EU, Euratom) 2024/2509 európai parlamenti és tanácsi rendeletre</w:t>
      </w:r>
      <w:r w:rsidRPr="009B27A3">
        <w:rPr>
          <w:rStyle w:val="FootnoteReference"/>
        </w:rPr>
        <w:footnoteReference w:id="1"/>
      </w:r>
      <w:r w:rsidRPr="009B27A3">
        <w:t xml:space="preserve"> és különösen annak 44. cikkére,</w:t>
      </w:r>
    </w:p>
    <w:p w14:paraId="1F5AB4E2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az Európai Unió 2025. évi pénzügyi évre vonatkozó általános költségvetésére, amelyet 2024. november 27-én fogadtak el véglegesen</w:t>
      </w:r>
      <w:r w:rsidRPr="009B27A3">
        <w:rPr>
          <w:rStyle w:val="FootnoteReference"/>
        </w:rPr>
        <w:footnoteReference w:id="2"/>
      </w:r>
      <w:r w:rsidRPr="009B27A3">
        <w:t>,</w:t>
      </w:r>
    </w:p>
    <w:p w14:paraId="75DA0B74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 2021–2027-es időszakra vonatkozó többéves pénzügyi keretről szóló, 2020. december 17-i (EU, Euratom) 2020/2093 tanácsi rendeletre</w:t>
      </w:r>
      <w:r w:rsidRPr="009B27A3">
        <w:rPr>
          <w:rStyle w:val="FootnoteReference"/>
        </w:rPr>
        <w:footnoteReference w:id="3"/>
      </w:r>
      <w:r w:rsidRPr="009B27A3">
        <w:t>,</w:t>
      </w:r>
    </w:p>
    <w:p w14:paraId="48F65AAD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az Európai Parlament, az Európai Unió Tanácsa és az Európai Bizottság között a költségvetési fegyelemről, a költségvetési ügyekben való együttműködésről és a hatékony és eredményes pénzgazdálkodásról, valamint az új saját forrásokról és az új saját források bevezetésére irányuló ütemtervről szóló, 2020. december 16-i intézményközi megállapodásra</w:t>
      </w:r>
      <w:r w:rsidRPr="009B27A3">
        <w:rPr>
          <w:rStyle w:val="FootnoteReference"/>
        </w:rPr>
        <w:footnoteReference w:id="4"/>
      </w:r>
      <w:r w:rsidRPr="009B27A3">
        <w:t>,</w:t>
      </w:r>
    </w:p>
    <w:p w14:paraId="2E016A4D" w14:textId="77777777" w:rsidR="0097663B" w:rsidRPr="009B27A3" w:rsidRDefault="0097663B" w:rsidP="00765035">
      <w:pPr>
        <w:pStyle w:val="NormalHanging12a"/>
        <w:widowControl/>
      </w:pPr>
      <w:r w:rsidRPr="009B27A3">
        <w:lastRenderedPageBreak/>
        <w:t>–</w:t>
      </w:r>
      <w:r w:rsidRPr="009B27A3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9B27A3">
        <w:rPr>
          <w:rStyle w:val="FootnoteReference"/>
        </w:rPr>
        <w:footnoteReference w:id="5"/>
      </w:r>
      <w:r w:rsidRPr="009B27A3">
        <w:t>,</w:t>
      </w:r>
    </w:p>
    <w:p w14:paraId="0757E272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 Bizottság által 2025. október 3-án elfogadott, 3/2025. számú költségvetés-módosítási tervezetre (</w:t>
      </w:r>
      <w:proofErr w:type="gramStart"/>
      <w:r w:rsidRPr="009B27A3">
        <w:t>COM(</w:t>
      </w:r>
      <w:proofErr w:type="gramEnd"/>
      <w:r w:rsidRPr="009B27A3">
        <w:t>2025)0850),</w:t>
      </w:r>
    </w:p>
    <w:p w14:paraId="5196D40E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 Tanács által 2025. november 17-én elfogadott és az Európai Parlamenthez ugyanezen a napon továbbított, a 3/2025. számú költségvetés-módosítási tervezetről szóló álláspontra (14878/2025 – C10</w:t>
      </w:r>
      <w:r w:rsidRPr="009B27A3">
        <w:noBreakHyphen/>
        <w:t>0301/2025),</w:t>
      </w:r>
    </w:p>
    <w:p w14:paraId="2251F01C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eljárási szabályzata 96. és 98. cikkére,</w:t>
      </w:r>
    </w:p>
    <w:p w14:paraId="3C751F8A" w14:textId="77777777" w:rsidR="0097663B" w:rsidRPr="009B27A3" w:rsidRDefault="0097663B" w:rsidP="00765035">
      <w:pPr>
        <w:pStyle w:val="NormalHanging12a"/>
        <w:widowControl/>
      </w:pPr>
      <w:r w:rsidRPr="009B27A3">
        <w:t>–</w:t>
      </w:r>
      <w:r w:rsidRPr="009B27A3">
        <w:tab/>
        <w:t>tekintettel a Költségvetési Bizottság jelentésére (A10-0237/2025),</w:t>
      </w:r>
    </w:p>
    <w:p w14:paraId="7447C1E7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A.</w:t>
      </w:r>
      <w:r w:rsidRPr="009B27A3">
        <w:rPr>
          <w:color w:val="000000"/>
        </w:rPr>
        <w:tab/>
        <w:t>mivel a 3/2025. számú költségvetés-módosítási tervezet célja a költségvetés bevételi oldalának aktualizálása a legújabb fejlemények figyelembevétele és a költségvetés kiadási oldalának kiigazítása érdekében a kifizetési előirányzatok vonatkozásában, továbbá a költségvetés kiadási oldalának kiigazítása céljából számos decentralizált ügynökség vonatkozásában;</w:t>
      </w:r>
    </w:p>
    <w:p w14:paraId="7FE6B3C6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B.</w:t>
      </w:r>
      <w:r w:rsidRPr="009B27A3">
        <w:rPr>
          <w:color w:val="000000"/>
        </w:rPr>
        <w:tab/>
        <w:t>mivel a kiadásokkal kapcsolatban az 3/2025. számú költségvetés-módosítási tervezet a kötelezettségvállalási előirányzatok 123,7 millió EUR-val és a kifizetési előirányzatok 2,52 milliárd EUR-val történő nettó növekedését vonja maga után;</w:t>
      </w:r>
    </w:p>
    <w:p w14:paraId="508BB2AF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C.</w:t>
      </w:r>
      <w:r w:rsidRPr="009B27A3">
        <w:rPr>
          <w:color w:val="000000"/>
        </w:rPr>
        <w:tab/>
        <w:t>mivel a 3/2025. számú költségvetés-módosítási tervezet számos kiigazítást javasol a decentralizált ügynökségek finanszírozásában a különböző fejezetekben;</w:t>
      </w:r>
    </w:p>
    <w:p w14:paraId="1A52B1E0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D.</w:t>
      </w:r>
      <w:r w:rsidRPr="009B27A3">
        <w:rPr>
          <w:color w:val="000000"/>
        </w:rPr>
        <w:tab/>
        <w:t>mivel a bevételi oldalon a 3/2025. számú költségvetés-módosítási tervezet bevezet a 2025. évi költségvetésbe 2025 szeptemberéig megfizetett végleges pénzbírságokat és büntetéseket, amelyek összesen 1,19 milliárd EUR-t tesznek ki, valamint 1,3 milliárd EUR további tradicionális saját forrást;</w:t>
      </w:r>
    </w:p>
    <w:p w14:paraId="717EB118" w14:textId="21CF1932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E.</w:t>
      </w:r>
      <w:r w:rsidRPr="009B27A3">
        <w:rPr>
          <w:color w:val="000000"/>
        </w:rPr>
        <w:tab/>
        <w:t>mivel e kiigazítások eredményeként további 31,9</w:t>
      </w:r>
      <w:r w:rsidR="00765035" w:rsidRPr="009B27A3">
        <w:rPr>
          <w:color w:val="000000"/>
        </w:rPr>
        <w:t> </w:t>
      </w:r>
      <w:r w:rsidRPr="009B27A3">
        <w:rPr>
          <w:color w:val="000000"/>
        </w:rPr>
        <w:t>millió EUR GNI-alapú hozzájárulásra van szükség a kifizetési igények kielégítéséhez;</w:t>
      </w:r>
    </w:p>
    <w:p w14:paraId="245CD3F1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1.</w:t>
      </w:r>
      <w:r w:rsidRPr="009B27A3">
        <w:rPr>
          <w:color w:val="000000"/>
        </w:rPr>
        <w:tab/>
        <w:t>tudomásul veszi a Bizottság által benyújtott 3/2025. számú költségvetés-módosítási tervezetet, és különösen azt, hogy a magasabb kifizetési igények és a többletbevételek egyenlege miatt összességében nagyon alacsony a GNI-alapú tagállami hozzájárulásokra gyakorolt hatás;</w:t>
      </w:r>
    </w:p>
    <w:p w14:paraId="183B7F86" w14:textId="50FB8130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2.</w:t>
      </w:r>
      <w:r w:rsidRPr="009B27A3">
        <w:rPr>
          <w:color w:val="000000"/>
        </w:rPr>
        <w:tab/>
        <w:t xml:space="preserve">üdvözli az Európai Regionális Fejlesztési Alap (ERFA) kifizetési előirányzatainak 2 milliárd EUR-val történő növelését, a közös agrárpolitika </w:t>
      </w:r>
      <w:r w:rsidR="00785B30" w:rsidRPr="009B27A3">
        <w:rPr>
          <w:color w:val="000000"/>
        </w:rPr>
        <w:t xml:space="preserve">(KAP) </w:t>
      </w:r>
      <w:r w:rsidRPr="009B27A3">
        <w:rPr>
          <w:color w:val="000000"/>
        </w:rPr>
        <w:t xml:space="preserve">emeléseivel együtt az idei globális átcsoportosításában (DEC 15/25), ami jelzi, hogy a program végrehajtása a 2021–2027-es időszak aggasztóan lassú indulását követően kezd felgyorsulni; hangsúlyozza, hogy a strukturális alapok és a KAP előirányzatainak megerősítése döntő szerepet játszik a mezőgazdasági támogatási rendszerek folytonosságának fenntartásában, az élelmezésbiztonság biztosításában és a fenntartható vidékfejlesztés előmozdításában; megjegyzi, hogy ezek az intézkedések különösen </w:t>
      </w:r>
      <w:proofErr w:type="spellStart"/>
      <w:r w:rsidRPr="009B27A3">
        <w:rPr>
          <w:color w:val="000000"/>
        </w:rPr>
        <w:t>fontosak</w:t>
      </w:r>
      <w:proofErr w:type="spellEnd"/>
      <w:r w:rsidRPr="009B27A3">
        <w:rPr>
          <w:color w:val="000000"/>
        </w:rPr>
        <w:t xml:space="preserve"> a mezőgazdasági ágazat </w:t>
      </w:r>
      <w:proofErr w:type="spellStart"/>
      <w:r w:rsidRPr="009B27A3">
        <w:rPr>
          <w:color w:val="000000"/>
        </w:rPr>
        <w:t>rezilienciájának</w:t>
      </w:r>
      <w:proofErr w:type="spellEnd"/>
      <w:r w:rsidRPr="009B27A3">
        <w:rPr>
          <w:color w:val="000000"/>
        </w:rPr>
        <w:t xml:space="preserve"> megerősítése és a vidéki területek </w:t>
      </w:r>
      <w:r w:rsidRPr="009B27A3">
        <w:rPr>
          <w:color w:val="000000"/>
        </w:rPr>
        <w:lastRenderedPageBreak/>
        <w:t>társadalmi-gazdasági egyensúlyának megőrzése szempontjából; emlékeztet, hogy ezek az emelések kiegészítik a kifizetési előirányzatoknak a globális átcsoportosításban (DEC 15/2025) szereplő kiigazításait;</w:t>
      </w:r>
    </w:p>
    <w:p w14:paraId="3D97E948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3.</w:t>
      </w:r>
      <w:r w:rsidRPr="009B27A3">
        <w:rPr>
          <w:color w:val="000000"/>
        </w:rPr>
        <w:tab/>
        <w:t xml:space="preserve">továbbra is sürgeti az ERFA, az ESZA+ és a határigazgatás és a vízumpolitika pénzügyi támogatására szolgáló eszköz (HAVE) keretében hozott intézkedések gyorsított végrehajtását; üdvözli a Stratégiai Technológiák Európai Platformjának (STEP) a vártnál gyorsabb elindulását; </w:t>
      </w:r>
      <w:r w:rsidRPr="009B27A3">
        <w:t>elvárja, hogy a STEP-</w:t>
      </w:r>
      <w:proofErr w:type="spellStart"/>
      <w:r w:rsidRPr="009B27A3">
        <w:t>ből</w:t>
      </w:r>
      <w:proofErr w:type="spellEnd"/>
      <w:r w:rsidRPr="009B27A3">
        <w:t xml:space="preserve"> származó több mint 3 milliárd EUR összegű kiegészítő befizetést gyorsan és hatékonyan használják fel a vonatkozó alap-jogiaktusok szerinti egyedi célkitűzésekre;</w:t>
      </w:r>
    </w:p>
    <w:p w14:paraId="07DD5271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4.</w:t>
      </w:r>
      <w:r w:rsidRPr="009B27A3">
        <w:rPr>
          <w:color w:val="000000"/>
        </w:rPr>
        <w:tab/>
        <w:t>tudomásul veszi a fenntartható halászati partnerségi megállapodásokkal kapcsolatos legújabb helyzetet, és üdvözli, hogy az intézményközi megállapodás vonatkozó rendelkezéseivel összhangban a költségvetési hatóság aktív szerepet játszik a tartalék előirányzatainak felszabadításában a vonatkozó nemzetközi végrehajtási jegyzőkönyvek hatálybalépésének és alkalmazásának függvényében;</w:t>
      </w:r>
    </w:p>
    <w:p w14:paraId="50B06003" w14:textId="3129D554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5.</w:t>
      </w:r>
      <w:r w:rsidRPr="009B27A3">
        <w:rPr>
          <w:color w:val="000000"/>
        </w:rPr>
        <w:tab/>
        <w:t>sajnálja, hogy a tagállami végrehajtás késedelme miatt a vámellenőrzési berendezésekre vonatkozó eszköz (CCEI) kötelezettségvállalásai (78 millió EUR) és kifizetései (48</w:t>
      </w:r>
      <w:r w:rsidR="00765035" w:rsidRPr="009B27A3">
        <w:rPr>
          <w:color w:val="000000"/>
        </w:rPr>
        <w:t> </w:t>
      </w:r>
      <w:r w:rsidRPr="009B27A3">
        <w:rPr>
          <w:color w:val="000000"/>
        </w:rPr>
        <w:t>millió EUR) csökkentek éppen akkor, amikor ezen a területen együttműködésre és beruházásokra lenne szükség;</w:t>
      </w:r>
    </w:p>
    <w:p w14:paraId="19603E51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6.</w:t>
      </w:r>
      <w:r w:rsidRPr="009B27A3">
        <w:rPr>
          <w:color w:val="000000"/>
        </w:rPr>
        <w:tab/>
        <w:t>üdvözli a versenyalapú közbeszerzési eljárások tekintetében elért hatékonyságnövekedésnek köszönhetően a technikai támogatási eszköz (TSI) kötelezettségvállalásai terén elért megtakarítást (5 millió EUR);</w:t>
      </w:r>
    </w:p>
    <w:p w14:paraId="1C435A22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7.</w:t>
      </w:r>
      <w:r w:rsidRPr="009B27A3">
        <w:rPr>
          <w:color w:val="000000"/>
        </w:rPr>
        <w:tab/>
      </w:r>
      <w:r w:rsidRPr="009B27A3">
        <w:t>tudomásul veszi a reformok végrehajtásának ütemét és a kifizetések felhasználásának arányos lassulását az Ukrajna-eszköz keretében;</w:t>
      </w:r>
      <w:r w:rsidRPr="009B27A3">
        <w:rPr>
          <w:color w:val="000000"/>
        </w:rPr>
        <w:t xml:space="preserve"> </w:t>
      </w:r>
      <w:r w:rsidRPr="009B27A3">
        <w:t xml:space="preserve">elismeri, hogy a fel nem használt előirányzatok egy része </w:t>
      </w:r>
      <w:r w:rsidRPr="009B27A3">
        <w:rPr>
          <w:color w:val="000000"/>
        </w:rPr>
        <w:t>átvihető</w:t>
      </w:r>
      <w:r w:rsidRPr="009B27A3">
        <w:t xml:space="preserve"> a következő költségvetési évre;</w:t>
      </w:r>
      <w:r w:rsidRPr="009B27A3">
        <w:rPr>
          <w:color w:val="000000"/>
        </w:rPr>
        <w:t xml:space="preserve"> ösztönzi az összes érintett szereplőt, hogy haladjanak előre a reformokhoz és beruházásokhoz kapcsolódó intézkedések, például a támogatásötvözési megállapodások terén;</w:t>
      </w:r>
    </w:p>
    <w:p w14:paraId="5EE58060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8.</w:t>
      </w:r>
      <w:r w:rsidRPr="009B27A3">
        <w:rPr>
          <w:color w:val="000000"/>
        </w:rPr>
        <w:tab/>
        <w:t>tudomásul veszi a különböző decentralizált ügynökségeknek nyújtott uniós hozzájárulás kiigazítását; úgy véli, hogy ezek a kiigazítások főként technikai jellegűek; üdvözli ezeket annyiban, amennyiben optimalizálják az operatív tételek, például a LIFE, az AMIF vagy az Egységes piac program keretében rendelkezésre álló források felhasználását; sajnálja azonban, hogy a kötelezettségvállalási és kifizetési előirányzatok „visszatérítésének” oka a vonatkozó ügynökségi sorokból a kapcsolódó programsorokra a személyzet felvételének késedelme vagy az olyan új szakpolitikai és jogalkotási kezdeményezések késedelmes elindítása, mint a kiskereskedelmi befektetési stratégia (amely az ESMA-t és az EIOPA-t érinti), a menekültügyi és migrációs paktum (amely az EUAA-t érinti), a tengerbiztonsági csomag (amely az EMSA-t érinti) vagy az új génkezelési technikákról szóló javaslat (amely az EFSA-t érinti);</w:t>
      </w:r>
    </w:p>
    <w:p w14:paraId="257ABB4B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9.</w:t>
      </w:r>
      <w:r w:rsidRPr="009B27A3">
        <w:rPr>
          <w:color w:val="000000"/>
        </w:rPr>
        <w:tab/>
        <w:t xml:space="preserve">ezzel összefüggésben kiemeli és megismétli, hogy határozottan támogatja a felülvizsgált uniós szintű pénzmosás elleni keretben újonnan létrehozott Pénzmosás Elleni Hatóságot (AMLA); </w:t>
      </w:r>
      <w:r w:rsidRPr="009B27A3">
        <w:t>továbbra is mély aggodalmát fejezi ki a kezdeti szakaszban tapasztalható folyamatos késedelmek miatt, különösen a munkaerő-felvétel tekintetében, és felszólít a vonatkozó felvételi eljárások felgyorsítására;</w:t>
      </w:r>
    </w:p>
    <w:p w14:paraId="706FEC9B" w14:textId="4E3E556E" w:rsidR="0097663B" w:rsidRPr="009B27A3" w:rsidRDefault="009B27A3" w:rsidP="00765035">
      <w:pPr>
        <w:widowControl/>
        <w:spacing w:after="240"/>
        <w:ind w:left="567" w:hanging="567"/>
        <w:rPr>
          <w:color w:val="000000"/>
        </w:rPr>
      </w:pPr>
      <w:sdt>
        <w:sdtPr>
          <w:tag w:val="goog_rdk_19"/>
          <w:id w:val="599988960"/>
        </w:sdtPr>
        <w:sdtEndPr/>
        <w:sdtContent/>
      </w:sdt>
      <w:r w:rsidR="0097663B" w:rsidRPr="009B27A3">
        <w:rPr>
          <w:color w:val="000000"/>
        </w:rPr>
        <w:t>10.</w:t>
      </w:r>
      <w:r w:rsidR="0097663B" w:rsidRPr="009B27A3">
        <w:rPr>
          <w:color w:val="000000"/>
        </w:rPr>
        <w:tab/>
        <w:t>üdvözli, hogy a költségvetésbe bevezettek 1</w:t>
      </w:r>
      <w:r w:rsidR="00765035" w:rsidRPr="009B27A3">
        <w:rPr>
          <w:color w:val="000000"/>
        </w:rPr>
        <w:t> </w:t>
      </w:r>
      <w:r w:rsidR="0097663B" w:rsidRPr="009B27A3">
        <w:rPr>
          <w:color w:val="000000"/>
        </w:rPr>
        <w:t>185,1 millió EUR összegű további bevételt, amely végleges pénzbírságokból és büntetésekből származik; úgy véli, hogy ezek az összegek valódi uniós bevételi források, amelyek csökkentik a tagállamok GNI-alapú hozzájárulásait; ezzel összefüggésben emlékeztet, hogy a Bizottság módosításokat javasolt a következő többéves pénzügyi keret időszakára annak biztosítása érdekében, hogy az ilyen rendkívüli bevételek újabb kiadási előirányzatokat eredményezhessenek;</w:t>
      </w:r>
    </w:p>
    <w:p w14:paraId="10D4F7A3" w14:textId="32A0648D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11.</w:t>
      </w:r>
      <w:r w:rsidRPr="009B27A3">
        <w:rPr>
          <w:color w:val="000000"/>
        </w:rPr>
        <w:tab/>
        <w:t>tudomásul veszi azt a javaslatot, hogy a „tradicionális saját források becsült többletéből” 1</w:t>
      </w:r>
      <w:r w:rsidR="00765035" w:rsidRPr="009B27A3">
        <w:rPr>
          <w:color w:val="000000"/>
        </w:rPr>
        <w:t> </w:t>
      </w:r>
      <w:r w:rsidRPr="009B27A3">
        <w:rPr>
          <w:color w:val="000000"/>
        </w:rPr>
        <w:t>300 millió EUR-t vegyenek fel a költségvetésbe; kétségeit fejezi ki a vámokból származó bevételek költségvetési év során történő ismételt aktualizálásának hasznosságát illetően, különösen az éves módosító költségvetésen kívül, amelynek célja a bevételi oldalak aktualizálása és rendezése;</w:t>
      </w:r>
    </w:p>
    <w:p w14:paraId="552CEF78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t>12.</w:t>
      </w:r>
      <w:r w:rsidRPr="009B27A3">
        <w:tab/>
        <w:t>tudomásul veszi a 2025-re vonatkozó bérkiigazítások aktualizálását, és egyetért azzal, hogy e kiigazítás költségvetési hatását technikai módosításként beépítik a 3/2025. sz. költségvetés-módosítási tervezetbe; megjegyzi, hogy ez a 7. fejezet vonatkozó költségvetési soraiban és szakaszaiban összesen 78,8 millió EUR-val csökkenti a nem differenciált előirányzatokat;</w:t>
      </w:r>
    </w:p>
    <w:p w14:paraId="37EBC4D5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13.</w:t>
      </w:r>
      <w:r w:rsidRPr="009B27A3">
        <w:rPr>
          <w:color w:val="000000"/>
        </w:rPr>
        <w:tab/>
        <w:t>jóváhagyja a 3/2025. számú költségvetés-módosítási tervezetről szóló tanácsi álláspontot;</w:t>
      </w:r>
    </w:p>
    <w:p w14:paraId="6AEAEAFB" w14:textId="77777777" w:rsidR="0097663B" w:rsidRPr="009B27A3" w:rsidRDefault="0097663B" w:rsidP="00765035">
      <w:pPr>
        <w:widowControl/>
        <w:spacing w:after="240"/>
        <w:ind w:left="567" w:hanging="567"/>
        <w:rPr>
          <w:color w:val="000000"/>
        </w:rPr>
      </w:pPr>
      <w:r w:rsidRPr="009B27A3">
        <w:rPr>
          <w:color w:val="000000"/>
        </w:rPr>
        <w:t>14.</w:t>
      </w:r>
      <w:r w:rsidRPr="009B27A3">
        <w:rPr>
          <w:color w:val="000000"/>
        </w:rPr>
        <w:tab/>
        <w:t xml:space="preserve">utasítja elnökét annak megállapítására, hogy a 3/2025. számú költségvetés-módosítást véglegesen elfogadták, valamint arra, hogy gondoskodjon annak közzétételéről az </w:t>
      </w:r>
      <w:r w:rsidRPr="009B27A3">
        <w:rPr>
          <w:i/>
          <w:color w:val="000000"/>
        </w:rPr>
        <w:t>Európai Unió Hivatalos Lapjában</w:t>
      </w:r>
      <w:r w:rsidRPr="009B27A3">
        <w:rPr>
          <w:color w:val="000000"/>
        </w:rPr>
        <w:t>;</w:t>
      </w:r>
    </w:p>
    <w:p w14:paraId="7C1EE376" w14:textId="13396FFC" w:rsidR="00E365E1" w:rsidRPr="006306CD" w:rsidRDefault="0097663B" w:rsidP="00765035">
      <w:pPr>
        <w:widowControl/>
        <w:spacing w:after="240"/>
        <w:ind w:left="567" w:hanging="567"/>
      </w:pPr>
      <w:r w:rsidRPr="009B27A3">
        <w:rPr>
          <w:color w:val="000000"/>
        </w:rPr>
        <w:t>15.</w:t>
      </w:r>
      <w:r w:rsidRPr="009B27A3">
        <w:rPr>
          <w:color w:val="000000"/>
        </w:rPr>
        <w:tab/>
        <w:t>utasítja elnökét, hogy továbbítsa ezt az állásfoglalást a Tanácsnak és a Bizottságnak, valamint a nemzeti parlamenteknek.</w:t>
      </w:r>
    </w:p>
    <w:sectPr w:rsidR="00E365E1" w:rsidRPr="006306CD" w:rsidSect="006306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DF159" w14:textId="77777777" w:rsidR="00741801" w:rsidRPr="006306CD" w:rsidRDefault="00741801">
      <w:r w:rsidRPr="006306CD">
        <w:separator/>
      </w:r>
    </w:p>
  </w:endnote>
  <w:endnote w:type="continuationSeparator" w:id="0">
    <w:p w14:paraId="11C8808E" w14:textId="77777777" w:rsidR="00741801" w:rsidRPr="006306CD" w:rsidRDefault="00741801">
      <w:r w:rsidRPr="006306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414A" w14:textId="77777777" w:rsidR="00064002" w:rsidRPr="006306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250DE" w14:textId="77777777" w:rsidR="00064002" w:rsidRPr="006306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7C0BA" w14:textId="77777777" w:rsidR="00064002" w:rsidRPr="006306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542D0" w14:textId="77777777" w:rsidR="00741801" w:rsidRPr="006306CD" w:rsidRDefault="00741801">
      <w:r w:rsidRPr="006306CD">
        <w:separator/>
      </w:r>
    </w:p>
  </w:footnote>
  <w:footnote w:type="continuationSeparator" w:id="0">
    <w:p w14:paraId="4E620C70" w14:textId="77777777" w:rsidR="00741801" w:rsidRPr="006306CD" w:rsidRDefault="00741801">
      <w:r w:rsidRPr="006306CD">
        <w:continuationSeparator/>
      </w:r>
    </w:p>
  </w:footnote>
  <w:footnote w:id="1">
    <w:p w14:paraId="72D5FA9D" w14:textId="32C4884D" w:rsidR="0097663B" w:rsidRPr="006306CD" w:rsidRDefault="0097663B" w:rsidP="006306CD">
      <w:pPr>
        <w:pStyle w:val="FootnoteText"/>
        <w:ind w:left="567" w:hanging="567"/>
        <w:rPr>
          <w:sz w:val="24"/>
          <w:lang w:val="hu-HU"/>
        </w:rPr>
      </w:pPr>
      <w:r w:rsidRPr="006306CD">
        <w:rPr>
          <w:rStyle w:val="FootnoteReference"/>
          <w:sz w:val="24"/>
          <w:lang w:val="hu-HU"/>
        </w:rPr>
        <w:footnoteRef/>
      </w:r>
      <w:r w:rsidR="006306CD" w:rsidRPr="006306CD">
        <w:rPr>
          <w:sz w:val="24"/>
          <w:lang w:val="hu-HU"/>
        </w:rPr>
        <w:t xml:space="preserve"> </w:t>
      </w:r>
      <w:r w:rsidR="006306CD" w:rsidRPr="006306CD">
        <w:rPr>
          <w:sz w:val="24"/>
          <w:lang w:val="hu-HU"/>
        </w:rPr>
        <w:tab/>
      </w:r>
      <w:r w:rsidRPr="006306CD">
        <w:rPr>
          <w:sz w:val="24"/>
          <w:lang w:val="hu-HU"/>
        </w:rPr>
        <w:t xml:space="preserve">HL L, 2024/2509, 2024.9.26., ELI: </w:t>
      </w:r>
      <w:hyperlink r:id="rId1" w:history="1">
        <w:r w:rsidRPr="006306CD">
          <w:rPr>
            <w:rStyle w:val="Hyperlink"/>
            <w:sz w:val="24"/>
            <w:lang w:val="hu-HU"/>
          </w:rPr>
          <w:t>http://data.europa.eu/eli/reg/2024/2509/oj</w:t>
        </w:r>
      </w:hyperlink>
      <w:r w:rsidRPr="006306CD">
        <w:rPr>
          <w:sz w:val="24"/>
          <w:lang w:val="hu-HU"/>
        </w:rPr>
        <w:t>.</w:t>
      </w:r>
    </w:p>
  </w:footnote>
  <w:footnote w:id="2">
    <w:p w14:paraId="15FC532C" w14:textId="7F6DB0DA" w:rsidR="0097663B" w:rsidRPr="006306CD" w:rsidRDefault="0097663B" w:rsidP="006306CD">
      <w:pPr>
        <w:pStyle w:val="FootnoteText"/>
        <w:ind w:left="567" w:hanging="567"/>
        <w:rPr>
          <w:sz w:val="24"/>
          <w:lang w:val="hu-HU"/>
        </w:rPr>
      </w:pPr>
      <w:r w:rsidRPr="006306CD">
        <w:rPr>
          <w:rStyle w:val="FootnoteReference"/>
          <w:sz w:val="24"/>
          <w:lang w:val="hu-HU"/>
        </w:rPr>
        <w:footnoteRef/>
      </w:r>
      <w:r w:rsidR="006306CD" w:rsidRPr="006306CD">
        <w:rPr>
          <w:sz w:val="24"/>
          <w:lang w:val="hu-HU"/>
        </w:rPr>
        <w:t xml:space="preserve"> </w:t>
      </w:r>
      <w:r w:rsidR="006306CD" w:rsidRPr="006306CD">
        <w:rPr>
          <w:sz w:val="24"/>
          <w:lang w:val="hu-HU"/>
        </w:rPr>
        <w:tab/>
      </w:r>
      <w:r w:rsidRPr="006306CD">
        <w:rPr>
          <w:sz w:val="24"/>
          <w:lang w:val="hu-HU"/>
        </w:rPr>
        <w:t xml:space="preserve">HL L, 2025/31, 2025.2.27., ELI: </w:t>
      </w:r>
      <w:hyperlink r:id="rId2" w:history="1">
        <w:r w:rsidRPr="006306CD">
          <w:rPr>
            <w:rStyle w:val="Hyperlink"/>
            <w:sz w:val="24"/>
            <w:lang w:val="hu-HU"/>
          </w:rPr>
          <w:t>http://data.europa.eu/eli/budget/2025/31/oj</w:t>
        </w:r>
      </w:hyperlink>
      <w:r w:rsidRPr="006306CD">
        <w:rPr>
          <w:rStyle w:val="Hyperlink"/>
          <w:sz w:val="24"/>
          <w:lang w:val="hu-HU"/>
        </w:rPr>
        <w:t>.</w:t>
      </w:r>
    </w:p>
  </w:footnote>
  <w:footnote w:id="3">
    <w:p w14:paraId="0C0F7576" w14:textId="17784895" w:rsidR="0097663B" w:rsidRPr="006306CD" w:rsidRDefault="0097663B" w:rsidP="006306CD">
      <w:pPr>
        <w:pStyle w:val="FootnoteText"/>
        <w:ind w:left="567" w:hanging="567"/>
        <w:rPr>
          <w:sz w:val="24"/>
          <w:lang w:val="hu-HU"/>
        </w:rPr>
      </w:pPr>
      <w:r w:rsidRPr="006306CD">
        <w:rPr>
          <w:rStyle w:val="FootnoteReference"/>
          <w:sz w:val="24"/>
          <w:lang w:val="hu-HU"/>
        </w:rPr>
        <w:footnoteRef/>
      </w:r>
      <w:r w:rsidR="006306CD" w:rsidRPr="006306CD">
        <w:rPr>
          <w:sz w:val="24"/>
          <w:lang w:val="hu-HU"/>
        </w:rPr>
        <w:t xml:space="preserve"> </w:t>
      </w:r>
      <w:r w:rsidR="006306CD" w:rsidRPr="006306CD">
        <w:rPr>
          <w:sz w:val="24"/>
          <w:lang w:val="hu-HU"/>
        </w:rPr>
        <w:tab/>
      </w:r>
      <w:r w:rsidRPr="006306CD">
        <w:rPr>
          <w:sz w:val="24"/>
          <w:lang w:val="hu-HU"/>
        </w:rPr>
        <w:t xml:space="preserve">HL L 433. I, 2020.12.22., 11. o., ELI: </w:t>
      </w:r>
      <w:hyperlink r:id="rId3" w:history="1">
        <w:r w:rsidRPr="006306CD">
          <w:rPr>
            <w:rStyle w:val="Hyperlink"/>
            <w:sz w:val="24"/>
            <w:lang w:val="hu-HU"/>
          </w:rPr>
          <w:t>http://data.europa.eu/eli/reg/2020/433/oj</w:t>
        </w:r>
      </w:hyperlink>
      <w:r w:rsidRPr="006306CD">
        <w:rPr>
          <w:sz w:val="24"/>
          <w:lang w:val="hu-HU"/>
        </w:rPr>
        <w:t>.</w:t>
      </w:r>
    </w:p>
  </w:footnote>
  <w:footnote w:id="4">
    <w:p w14:paraId="4819E55E" w14:textId="20BBCE3A" w:rsidR="0097663B" w:rsidRPr="006306CD" w:rsidRDefault="0097663B" w:rsidP="006306CD">
      <w:pPr>
        <w:pStyle w:val="FootnoteText"/>
        <w:ind w:left="567" w:hanging="567"/>
        <w:rPr>
          <w:sz w:val="24"/>
          <w:lang w:val="hu-HU"/>
        </w:rPr>
      </w:pPr>
      <w:r w:rsidRPr="006306CD">
        <w:rPr>
          <w:rStyle w:val="FootnoteReference"/>
          <w:sz w:val="24"/>
          <w:lang w:val="hu-HU"/>
        </w:rPr>
        <w:footnoteRef/>
      </w:r>
      <w:r w:rsidR="006306CD" w:rsidRPr="006306CD">
        <w:rPr>
          <w:sz w:val="24"/>
          <w:lang w:val="hu-HU"/>
        </w:rPr>
        <w:t xml:space="preserve"> </w:t>
      </w:r>
      <w:r w:rsidR="006306CD" w:rsidRPr="006306CD">
        <w:rPr>
          <w:sz w:val="24"/>
          <w:lang w:val="hu-HU"/>
        </w:rPr>
        <w:tab/>
      </w:r>
      <w:r w:rsidRPr="006306CD">
        <w:rPr>
          <w:sz w:val="24"/>
          <w:lang w:val="hu-HU"/>
        </w:rPr>
        <w:t xml:space="preserve">HL L 433. I, 2020.12.22., 28. o., ELI: </w:t>
      </w:r>
      <w:hyperlink r:id="rId4" w:history="1">
        <w:r w:rsidRPr="006306CD">
          <w:rPr>
            <w:rStyle w:val="Hyperlink"/>
            <w:sz w:val="24"/>
            <w:lang w:val="hu-HU"/>
          </w:rPr>
          <w:t>http://data.europa.eu/eli/agree_interinstit/2020/1222/oj</w:t>
        </w:r>
      </w:hyperlink>
      <w:r w:rsidRPr="006306CD">
        <w:rPr>
          <w:sz w:val="24"/>
          <w:lang w:val="hu-HU"/>
        </w:rPr>
        <w:t>.</w:t>
      </w:r>
    </w:p>
  </w:footnote>
  <w:footnote w:id="5">
    <w:p w14:paraId="24811527" w14:textId="2E1E3DF1" w:rsidR="0097663B" w:rsidRPr="006306CD" w:rsidRDefault="0097663B" w:rsidP="006306CD">
      <w:pPr>
        <w:pStyle w:val="FootnoteText"/>
        <w:ind w:left="567" w:hanging="567"/>
        <w:rPr>
          <w:sz w:val="24"/>
          <w:lang w:val="hu-HU"/>
        </w:rPr>
      </w:pPr>
      <w:r w:rsidRPr="006306CD">
        <w:rPr>
          <w:rStyle w:val="FootnoteReference"/>
          <w:sz w:val="24"/>
          <w:lang w:val="hu-HU"/>
        </w:rPr>
        <w:footnoteRef/>
      </w:r>
      <w:r w:rsidR="006306CD" w:rsidRPr="006306CD">
        <w:rPr>
          <w:sz w:val="24"/>
          <w:lang w:val="hu-HU"/>
        </w:rPr>
        <w:t xml:space="preserve"> </w:t>
      </w:r>
      <w:r w:rsidR="006306CD" w:rsidRPr="006306CD">
        <w:rPr>
          <w:sz w:val="24"/>
          <w:lang w:val="hu-HU"/>
        </w:rPr>
        <w:tab/>
      </w:r>
      <w:r w:rsidRPr="006306CD">
        <w:rPr>
          <w:sz w:val="24"/>
          <w:lang w:val="hu-HU"/>
        </w:rPr>
        <w:t xml:space="preserve">HL L 424., 2020.12.15., 1. o., ELI: </w:t>
      </w:r>
      <w:hyperlink r:id="rId5" w:history="1">
        <w:r w:rsidRPr="006306CD">
          <w:rPr>
            <w:rStyle w:val="Hyperlink"/>
            <w:sz w:val="24"/>
            <w:lang w:val="hu-HU"/>
          </w:rPr>
          <w:t>http://data.europa.eu/eli/dec/2020/2053/oj</w:t>
        </w:r>
      </w:hyperlink>
      <w:r w:rsidRPr="006306CD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29D8" w14:textId="77777777" w:rsidR="00064002" w:rsidRPr="006306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BFDB6" w14:textId="77777777" w:rsidR="00064002" w:rsidRPr="006306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A75E4" w14:textId="77777777" w:rsidR="00064002" w:rsidRPr="006306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43163907">
    <w:abstractNumId w:val="9"/>
  </w:num>
  <w:num w:numId="2" w16cid:durableId="1806656817">
    <w:abstractNumId w:val="9"/>
  </w:num>
  <w:num w:numId="3" w16cid:durableId="468279822">
    <w:abstractNumId w:val="7"/>
  </w:num>
  <w:num w:numId="4" w16cid:durableId="184297091">
    <w:abstractNumId w:val="7"/>
  </w:num>
  <w:num w:numId="5" w16cid:durableId="1628122925">
    <w:abstractNumId w:val="6"/>
  </w:num>
  <w:num w:numId="6" w16cid:durableId="1669021479">
    <w:abstractNumId w:val="6"/>
  </w:num>
  <w:num w:numId="7" w16cid:durableId="2085685845">
    <w:abstractNumId w:val="5"/>
  </w:num>
  <w:num w:numId="8" w16cid:durableId="1399356770">
    <w:abstractNumId w:val="5"/>
  </w:num>
  <w:num w:numId="9" w16cid:durableId="2000618726">
    <w:abstractNumId w:val="4"/>
  </w:num>
  <w:num w:numId="10" w16cid:durableId="1218053547">
    <w:abstractNumId w:val="4"/>
  </w:num>
  <w:num w:numId="11" w16cid:durableId="382221852">
    <w:abstractNumId w:val="8"/>
  </w:num>
  <w:num w:numId="12" w16cid:durableId="2082827683">
    <w:abstractNumId w:val="8"/>
  </w:num>
  <w:num w:numId="13" w16cid:durableId="473956788">
    <w:abstractNumId w:val="3"/>
  </w:num>
  <w:num w:numId="14" w16cid:durableId="1164204919">
    <w:abstractNumId w:val="3"/>
  </w:num>
  <w:num w:numId="15" w16cid:durableId="194078390">
    <w:abstractNumId w:val="2"/>
  </w:num>
  <w:num w:numId="16" w16cid:durableId="908465382">
    <w:abstractNumId w:val="2"/>
  </w:num>
  <w:num w:numId="17" w16cid:durableId="707991512">
    <w:abstractNumId w:val="1"/>
  </w:num>
  <w:num w:numId="18" w16cid:durableId="1304390446">
    <w:abstractNumId w:val="1"/>
  </w:num>
  <w:num w:numId="19" w16cid:durableId="1410810862">
    <w:abstractNumId w:val="0"/>
  </w:num>
  <w:num w:numId="20" w16cid:durableId="1896771873">
    <w:abstractNumId w:val="0"/>
  </w:num>
  <w:num w:numId="21" w16cid:durableId="408770538">
    <w:abstractNumId w:val="9"/>
  </w:num>
  <w:num w:numId="22" w16cid:durableId="535772361">
    <w:abstractNumId w:val="7"/>
  </w:num>
  <w:num w:numId="23" w16cid:durableId="430128608">
    <w:abstractNumId w:val="6"/>
  </w:num>
  <w:num w:numId="24" w16cid:durableId="453059678">
    <w:abstractNumId w:val="5"/>
  </w:num>
  <w:num w:numId="25" w16cid:durableId="1517501050">
    <w:abstractNumId w:val="4"/>
  </w:num>
  <w:num w:numId="26" w16cid:durableId="4481022">
    <w:abstractNumId w:val="8"/>
  </w:num>
  <w:num w:numId="27" w16cid:durableId="1332827517">
    <w:abstractNumId w:val="3"/>
  </w:num>
  <w:num w:numId="28" w16cid:durableId="1166895851">
    <w:abstractNumId w:val="2"/>
  </w:num>
  <w:num w:numId="29" w16cid:durableId="1977685991">
    <w:abstractNumId w:val="1"/>
  </w:num>
  <w:num w:numId="30" w16cid:durableId="1522206201">
    <w:abstractNumId w:val="0"/>
  </w:num>
  <w:num w:numId="31" w16cid:durableId="2126533475">
    <w:abstractNumId w:val="9"/>
  </w:num>
  <w:num w:numId="32" w16cid:durableId="1590656883">
    <w:abstractNumId w:val="7"/>
  </w:num>
  <w:num w:numId="33" w16cid:durableId="798453407">
    <w:abstractNumId w:val="6"/>
  </w:num>
  <w:num w:numId="34" w16cid:durableId="560600791">
    <w:abstractNumId w:val="5"/>
  </w:num>
  <w:num w:numId="35" w16cid:durableId="1250116118">
    <w:abstractNumId w:val="4"/>
  </w:num>
  <w:num w:numId="36" w16cid:durableId="1758332588">
    <w:abstractNumId w:val="8"/>
  </w:num>
  <w:num w:numId="37" w16cid:durableId="2073624601">
    <w:abstractNumId w:val="3"/>
  </w:num>
  <w:num w:numId="38" w16cid:durableId="10765689">
    <w:abstractNumId w:val="2"/>
  </w:num>
  <w:num w:numId="39" w16cid:durableId="1733114607">
    <w:abstractNumId w:val="1"/>
  </w:num>
  <w:num w:numId="40" w16cid:durableId="1005981806">
    <w:abstractNumId w:val="0"/>
  </w:num>
  <w:num w:numId="41" w16cid:durableId="81266876">
    <w:abstractNumId w:val="10"/>
  </w:num>
  <w:num w:numId="42" w16cid:durableId="947658770">
    <w:abstractNumId w:val="10"/>
  </w:num>
  <w:num w:numId="43" w16cid:durableId="1877808902">
    <w:abstractNumId w:val="10"/>
  </w:num>
  <w:num w:numId="44" w16cid:durableId="1523818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7/2025"/>
    <w:docVar w:name="dvlangue" w:val="HU"/>
    <w:docVar w:name="dvnumam" w:val="0"/>
    <w:docVar w:name="dvpe" w:val="778.228"/>
    <w:docVar w:name="dvrapporteur" w:val="Előadó: "/>
    <w:docVar w:name="dvtitre" w:val="Az Európai Parlament 2025.  ...-i állásfoglalása az Európai Unió 2025. évi pénzügyi évre vonatkozó, 3/2025. számú költségvetés-módosítási tervezetéről (A kifizetési előirányzatok kiigazítása, a bevételek aktualizálása és egyéb technikai frissítések) szóló tanácsi álláspontról(14878/2025 – C10-0301/2025 – 2025/0319(BUD))"/>
  </w:docVars>
  <w:rsids>
    <w:rsidRoot w:val="0074180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06CD"/>
    <w:rsid w:val="006631B6"/>
    <w:rsid w:val="00680577"/>
    <w:rsid w:val="006F74FA"/>
    <w:rsid w:val="00731ADD"/>
    <w:rsid w:val="00734777"/>
    <w:rsid w:val="00741801"/>
    <w:rsid w:val="00747932"/>
    <w:rsid w:val="00751A4A"/>
    <w:rsid w:val="00756632"/>
    <w:rsid w:val="00762C74"/>
    <w:rsid w:val="00765035"/>
    <w:rsid w:val="00785B3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663B"/>
    <w:rsid w:val="00981893"/>
    <w:rsid w:val="009B27A3"/>
    <w:rsid w:val="009D32F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554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3A4E"/>
    <w:rsid w:val="00EB006A"/>
    <w:rsid w:val="00EB4772"/>
    <w:rsid w:val="00ED169E"/>
    <w:rsid w:val="00ED4235"/>
    <w:rsid w:val="00F039F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0D8AF0"/>
  <w15:chartTrackingRefBased/>
  <w15:docId w15:val="{090F6451-0899-49B6-AC54-9734ADE82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663B"/>
    <w:pPr>
      <w:spacing w:before="480" w:after="240"/>
    </w:pPr>
  </w:style>
  <w:style w:type="paragraph" w:customStyle="1" w:styleId="NormalHanging12a">
    <w:name w:val="NormalHanging12a"/>
    <w:basedOn w:val="Normal"/>
    <w:rsid w:val="0097663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97663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5035"/>
    <w:rPr>
      <w:sz w:val="24"/>
      <w:lang w:val="hu-HU"/>
    </w:rPr>
  </w:style>
  <w:style w:type="character" w:styleId="FollowedHyperlink">
    <w:name w:val="FollowedHyperlink"/>
    <w:basedOn w:val="DefaultParagraphFont"/>
    <w:rsid w:val="0076503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43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1107</Words>
  <Characters>8372</Characters>
  <Application>Microsoft Office Word</Application>
  <DocSecurity>0</DocSecurity>
  <Lines>69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2025-11-26T11:15:00Z</dcterms:created>
  <dcterms:modified xsi:type="dcterms:W3CDTF">2025-11-26T11:15:00Z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A10-0237/2025</vt:lpwstr>
  </property>
  <property fmtid="{D5CDD505-2E9C-101B-9397-08002B2CF9AE}" pid="4" name="&lt;Type&gt;">
    <vt:lpwstr>RR</vt:lpwstr>
  </property>
</Properties>
</file>