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5CCC" w14:paraId="4A4C96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EC8E0C" w14:textId="77777777" w:rsidR="00751A4A" w:rsidRPr="00625CCC" w:rsidRDefault="00DA2CE7" w:rsidP="0010095E">
            <w:pPr>
              <w:pStyle w:val="EPName"/>
            </w:pPr>
            <w:r w:rsidRPr="00625CCC">
              <w:t>Parlamento europeo</w:t>
            </w:r>
          </w:p>
          <w:p w14:paraId="401245A4" w14:textId="77777777" w:rsidR="00751A4A" w:rsidRPr="00625C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5CCC">
              <w:t>2024</w:t>
            </w:r>
            <w:r w:rsidR="00817416" w:rsidRPr="00625CCC">
              <w:t>-202</w:t>
            </w:r>
            <w:r w:rsidRPr="00625CCC">
              <w:t>9</w:t>
            </w:r>
          </w:p>
        </w:tc>
        <w:tc>
          <w:tcPr>
            <w:tcW w:w="2268" w:type="dxa"/>
            <w:shd w:val="clear" w:color="auto" w:fill="auto"/>
          </w:tcPr>
          <w:p w14:paraId="180671E8" w14:textId="77777777" w:rsidR="00751A4A" w:rsidRPr="00625CCC" w:rsidRDefault="00187494" w:rsidP="0010095E">
            <w:pPr>
              <w:pStyle w:val="EPLogo"/>
            </w:pPr>
            <w:r w:rsidRPr="00625CCC">
              <w:rPr>
                <w:noProof/>
                <w:lang w:eastAsia="ja-JP"/>
              </w:rPr>
              <w:drawing>
                <wp:inline distT="0" distB="0" distL="0" distR="0" wp14:anchorId="061AFD97" wp14:editId="547F40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28BA24" w14:textId="77777777" w:rsidR="00D058B8" w:rsidRPr="00625CCC" w:rsidRDefault="00D058B8" w:rsidP="004C5D52">
      <w:pPr>
        <w:pStyle w:val="LineTop"/>
      </w:pPr>
    </w:p>
    <w:p w14:paraId="7079F9D3" w14:textId="77777777" w:rsidR="00680577" w:rsidRPr="00625CCC" w:rsidRDefault="00DA2CE7" w:rsidP="00680577">
      <w:pPr>
        <w:pStyle w:val="EPBodyTA1"/>
      </w:pPr>
      <w:r w:rsidRPr="00625CCC">
        <w:t>TESTI APPROVATI</w:t>
      </w:r>
    </w:p>
    <w:p w14:paraId="12721282" w14:textId="77777777" w:rsidR="00D058B8" w:rsidRPr="00625CCC" w:rsidRDefault="00D058B8" w:rsidP="00D058B8">
      <w:pPr>
        <w:pStyle w:val="LineBottom"/>
      </w:pPr>
    </w:p>
    <w:p w14:paraId="3D3CCCA2" w14:textId="5BDD20DF" w:rsidR="00DA2CE7" w:rsidRPr="00625CCC" w:rsidRDefault="00DA2CE7" w:rsidP="00DA2CE7">
      <w:pPr>
        <w:pStyle w:val="ATHeading1"/>
      </w:pPr>
      <w:bookmarkStart w:id="0" w:name="TANumber"/>
      <w:r w:rsidRPr="00625CCC">
        <w:t>P10_TA(2025)0</w:t>
      </w:r>
      <w:bookmarkEnd w:id="0"/>
      <w:r w:rsidR="00AE134E" w:rsidRPr="00625CCC">
        <w:t>293</w:t>
      </w:r>
    </w:p>
    <w:p w14:paraId="608340A9" w14:textId="77777777" w:rsidR="00DA2CE7" w:rsidRPr="00625CCC" w:rsidRDefault="00DA2CE7" w:rsidP="00DA2CE7">
      <w:pPr>
        <w:pStyle w:val="ATHeading2"/>
      </w:pPr>
      <w:bookmarkStart w:id="1" w:name="title"/>
      <w:r w:rsidRPr="00625CCC">
        <w:t>Progetto di bilancio rettificativo n. 3/2025: adeguamento degli stanziamenti di pagamento, aggiornamento delle entrate e altri aggiornamenti tecnici</w:t>
      </w:r>
      <w:bookmarkEnd w:id="1"/>
    </w:p>
    <w:p w14:paraId="26547D1F" w14:textId="77777777" w:rsidR="00DA2CE7" w:rsidRPr="00625CCC" w:rsidRDefault="00DA2CE7" w:rsidP="00DA2CE7">
      <w:pPr>
        <w:rPr>
          <w:i/>
          <w:vanish/>
        </w:rPr>
      </w:pPr>
      <w:r w:rsidRPr="00625CCC">
        <w:rPr>
          <w:i/>
        </w:rPr>
        <w:fldChar w:fldCharType="begin"/>
      </w:r>
      <w:r w:rsidRPr="00625CCC">
        <w:rPr>
          <w:i/>
        </w:rPr>
        <w:instrText xml:space="preserve"> TC"(</w:instrText>
      </w:r>
      <w:bookmarkStart w:id="2" w:name="DocNumber"/>
      <w:r w:rsidRPr="00625CCC">
        <w:rPr>
          <w:i/>
        </w:rPr>
        <w:instrText>A10-0237/2025</w:instrText>
      </w:r>
      <w:bookmarkEnd w:id="2"/>
      <w:r w:rsidRPr="00625CCC">
        <w:rPr>
          <w:i/>
        </w:rPr>
        <w:instrText xml:space="preserve"> - Relatore: Victor </w:instrText>
      </w:r>
      <w:proofErr w:type="spellStart"/>
      <w:r w:rsidRPr="00625CCC">
        <w:rPr>
          <w:i/>
        </w:rPr>
        <w:instrText>Negrescu</w:instrText>
      </w:r>
      <w:proofErr w:type="spellEnd"/>
      <w:r w:rsidRPr="00625CCC">
        <w:rPr>
          <w:i/>
        </w:rPr>
        <w:instrText xml:space="preserve">)"\l3 \n&gt; \* MERGEFORMAT </w:instrText>
      </w:r>
      <w:r w:rsidRPr="00625CCC">
        <w:rPr>
          <w:i/>
        </w:rPr>
        <w:fldChar w:fldCharType="end"/>
      </w:r>
    </w:p>
    <w:p w14:paraId="1250CD0E" w14:textId="1EA90DED" w:rsidR="00DA2CE7" w:rsidRPr="00625CCC" w:rsidRDefault="00DA2CE7" w:rsidP="00DA2CE7">
      <w:pPr>
        <w:rPr>
          <w:vanish/>
        </w:rPr>
      </w:pPr>
      <w:bookmarkStart w:id="3" w:name="Commission"/>
      <w:r w:rsidRPr="00625CCC">
        <w:rPr>
          <w:vanish/>
        </w:rPr>
        <w:t>Commissione per i bilanci</w:t>
      </w:r>
      <w:bookmarkEnd w:id="3"/>
    </w:p>
    <w:p w14:paraId="40D74DCE" w14:textId="77777777" w:rsidR="00DA2CE7" w:rsidRPr="00625CCC" w:rsidRDefault="00DA2CE7" w:rsidP="00DA2CE7">
      <w:pPr>
        <w:rPr>
          <w:vanish/>
        </w:rPr>
      </w:pPr>
      <w:bookmarkStart w:id="4" w:name="PE"/>
      <w:r w:rsidRPr="00625CCC">
        <w:rPr>
          <w:vanish/>
        </w:rPr>
        <w:t>PE778.228</w:t>
      </w:r>
      <w:bookmarkEnd w:id="4"/>
    </w:p>
    <w:p w14:paraId="45E6FAE9" w14:textId="3C387A21" w:rsidR="00DA2CE7" w:rsidRPr="00625CCC" w:rsidRDefault="00DA2CE7" w:rsidP="0031196F">
      <w:pPr>
        <w:pStyle w:val="ATHeading3"/>
      </w:pPr>
      <w:bookmarkStart w:id="5" w:name="Sujet"/>
      <w:r w:rsidRPr="00625CCC">
        <w:t xml:space="preserve">Risoluzione del Parlamento europeo del 26 novembre 2025 concernente la posizione del Consiglio sul progetto di bilancio rettificativo n. 3/2025 </w:t>
      </w:r>
      <w:r w:rsidR="00682DB1" w:rsidRPr="00625CCC">
        <w:t>del bilancio generale 2025</w:t>
      </w:r>
      <w:r w:rsidRPr="00625CCC">
        <w:t xml:space="preserve"> – </w:t>
      </w:r>
      <w:r w:rsidR="00682DB1" w:rsidRPr="00625CCC">
        <w:t>a</w:t>
      </w:r>
      <w:r w:rsidRPr="00625CCC">
        <w:t>deguamento degli stanziamenti di pagamento, aggiornamento delle entrate e altri aggiornamenti tecnici</w:t>
      </w:r>
      <w:bookmarkEnd w:id="5"/>
      <w:r w:rsidRPr="00625CCC">
        <w:t xml:space="preserve"> </w:t>
      </w:r>
      <w:bookmarkStart w:id="6" w:name="References"/>
      <w:r w:rsidRPr="00625CCC">
        <w:t>(14878/2025 – C10-0301/2025 – 2025/0319(BUD))</w:t>
      </w:r>
      <w:bookmarkEnd w:id="6"/>
    </w:p>
    <w:p w14:paraId="76ABB626" w14:textId="77777777" w:rsidR="005B6707" w:rsidRPr="00625CCC" w:rsidRDefault="005B6707" w:rsidP="005B6707">
      <w:pPr>
        <w:pStyle w:val="EPComma"/>
      </w:pPr>
      <w:bookmarkStart w:id="7" w:name="TextBodyBegin"/>
      <w:bookmarkEnd w:id="7"/>
      <w:r w:rsidRPr="00625CCC">
        <w:rPr>
          <w:i/>
        </w:rPr>
        <w:t>Il Parlamento europeo</w:t>
      </w:r>
      <w:r w:rsidRPr="00625CCC">
        <w:t>,</w:t>
      </w:r>
    </w:p>
    <w:p w14:paraId="3477D7E0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>visto l'articolo 314 del trattato sul funzionamento dell'Unione europea,</w:t>
      </w:r>
    </w:p>
    <w:p w14:paraId="74A180D1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>visto l'articolo 106 bis del trattato che istituisce la Comunità europea dell'energia atomica,</w:t>
      </w:r>
    </w:p>
    <w:p w14:paraId="72D7C6F6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 xml:space="preserve">visto il regolamento (UE, </w:t>
      </w:r>
      <w:proofErr w:type="spellStart"/>
      <w:r w:rsidRPr="00625CCC">
        <w:t>Euratom</w:t>
      </w:r>
      <w:proofErr w:type="spellEnd"/>
      <w:r w:rsidRPr="00625CCC">
        <w:t>) 2024/2509 del Parlamento europeo e del Consiglio, del 23 settembre 2024, che stabilisce le regole finanziarie applicabili al bilancio generale dell'Unione</w:t>
      </w:r>
      <w:r w:rsidRPr="00625CCC">
        <w:rPr>
          <w:rStyle w:val="FootnoteReference"/>
        </w:rPr>
        <w:footnoteReference w:id="1"/>
      </w:r>
      <w:r w:rsidRPr="00625CCC">
        <w:t>, in particolare l'articolo 44,</w:t>
      </w:r>
    </w:p>
    <w:p w14:paraId="5AF8C114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>visto il bilancio generale dell'Unione europea per l'esercizio 2025, definitivamente adottato il 27 novembre 2024</w:t>
      </w:r>
      <w:r w:rsidRPr="00625CCC">
        <w:rPr>
          <w:rStyle w:val="FootnoteReference"/>
        </w:rPr>
        <w:footnoteReference w:id="2"/>
      </w:r>
      <w:r w:rsidRPr="00625CCC">
        <w:t>,</w:t>
      </w:r>
    </w:p>
    <w:p w14:paraId="141403E5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 xml:space="preserve">visto il regolamento (UE, </w:t>
      </w:r>
      <w:proofErr w:type="spellStart"/>
      <w:r w:rsidRPr="00625CCC">
        <w:t>Euratom</w:t>
      </w:r>
      <w:proofErr w:type="spellEnd"/>
      <w:r w:rsidRPr="00625CCC">
        <w:t>) 2020/2093 del Consiglio, del 17 dicembre 2020, che stabilisce il quadro finanziario pluriennale per il periodo 2021-2027</w:t>
      </w:r>
      <w:r w:rsidRPr="00625CCC">
        <w:rPr>
          <w:rStyle w:val="FootnoteReference"/>
        </w:rPr>
        <w:footnoteReference w:id="3"/>
      </w:r>
      <w:r w:rsidRPr="00625CCC">
        <w:t>,</w:t>
      </w:r>
    </w:p>
    <w:p w14:paraId="5EE623AF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>visto l'accordo interistituzionale, del 16 dicembre 2020, tra il Parlamento europeo, il Consiglio e la Commissione sulla disciplina di bilancio, sulla cooperazione in materia di bilancio e sulla sana gestione finanziaria, nonché su nuove risorse proprie, compresa una tabella di marcia per l'introduzione di nuove risorse proprie</w:t>
      </w:r>
      <w:r w:rsidRPr="00625CCC">
        <w:rPr>
          <w:rStyle w:val="FootnoteReference"/>
        </w:rPr>
        <w:footnoteReference w:id="4"/>
      </w:r>
      <w:r w:rsidRPr="00625CCC">
        <w:t>,</w:t>
      </w:r>
    </w:p>
    <w:p w14:paraId="3DF3D2F5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 xml:space="preserve">vista la decisione (UE, </w:t>
      </w:r>
      <w:proofErr w:type="spellStart"/>
      <w:r w:rsidRPr="00625CCC">
        <w:t>Euratom</w:t>
      </w:r>
      <w:proofErr w:type="spellEnd"/>
      <w:r w:rsidRPr="00625CCC">
        <w:t xml:space="preserve">) 2020/2053 del Consiglio, del 14 dicembre 2020, </w:t>
      </w:r>
      <w:r w:rsidRPr="00625CCC">
        <w:lastRenderedPageBreak/>
        <w:t xml:space="preserve">relativa al sistema delle risorse proprie dell'Unione europea e che abroga la decisione 2014/335/UE, </w:t>
      </w:r>
      <w:proofErr w:type="spellStart"/>
      <w:r w:rsidRPr="00625CCC">
        <w:t>Euratom</w:t>
      </w:r>
      <w:proofErr w:type="spellEnd"/>
      <w:r w:rsidRPr="00625CCC">
        <w:rPr>
          <w:rStyle w:val="FootnoteReference"/>
        </w:rPr>
        <w:footnoteReference w:id="5"/>
      </w:r>
      <w:r w:rsidRPr="00625CCC">
        <w:t>,</w:t>
      </w:r>
    </w:p>
    <w:p w14:paraId="4DF0C770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>visto il progetto di bilancio rettificativo n. 3/2025 adottato dalla Commissione il 3 ottobre 2025 (COM(2025)0850),</w:t>
      </w:r>
    </w:p>
    <w:p w14:paraId="291FE3A3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>vista la posizione sul progetto di bilancio rettificativo n. 3/2025 adottata dal Consiglio il 17 novembre 2025 e comunicata al Parlamento europeo lo stesso giorno (14878/2025 – C10</w:t>
      </w:r>
      <w:r w:rsidRPr="00625CCC">
        <w:noBreakHyphen/>
        <w:t>0301/2025),</w:t>
      </w:r>
    </w:p>
    <w:p w14:paraId="476CB6C9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>visti gli articoli 96 e 98 del suo regolamento,</w:t>
      </w:r>
    </w:p>
    <w:p w14:paraId="30AD1D4E" w14:textId="77777777" w:rsidR="005B6707" w:rsidRPr="00625CCC" w:rsidRDefault="005B6707" w:rsidP="005B6707">
      <w:pPr>
        <w:pStyle w:val="NormalHanging12a"/>
      </w:pPr>
      <w:r w:rsidRPr="00625CCC">
        <w:t>–</w:t>
      </w:r>
      <w:r w:rsidRPr="00625CCC">
        <w:tab/>
        <w:t>vista la relazione della commissione per i bilanci (A10-0237/2025),</w:t>
      </w:r>
    </w:p>
    <w:p w14:paraId="7C49FC78" w14:textId="77777777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A.</w:t>
      </w:r>
      <w:r w:rsidRPr="00625CCC">
        <w:rPr>
          <w:color w:val="000000"/>
        </w:rPr>
        <w:tab/>
        <w:t>considerando che il progetto di bilancio rettificativo n. 3/2025 è finalizzato all'aggiornamento del bilancio sul versante delle entrate per tenere conto degli ultimi sviluppi, nonché all'adeguamento del bilancio sul versante delle spese in relazione agli stanziamenti di pagamento e per quanto riguarda alcune agenzie decentrate;</w:t>
      </w:r>
    </w:p>
    <w:p w14:paraId="3D677E35" w14:textId="77777777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B.</w:t>
      </w:r>
      <w:r w:rsidRPr="00625CCC">
        <w:rPr>
          <w:color w:val="000000"/>
        </w:rPr>
        <w:tab/>
        <w:t>considerando che, per quanto concerne le spese, il progetto di bilancio rettificativo n. 3/2025 comporta un aumento netto di 123,7 milioni di EUR in stanziamenti di impegno e di 2,52 miliardi di EUR in stanziamenti di pagamento;</w:t>
      </w:r>
    </w:p>
    <w:p w14:paraId="46617F69" w14:textId="77777777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C.</w:t>
      </w:r>
      <w:r w:rsidRPr="00625CCC">
        <w:rPr>
          <w:color w:val="000000"/>
        </w:rPr>
        <w:tab/>
        <w:t>considerando che il progetto di bilancio rettificativo n. 3/2025 propone una serie di adeguamenti del finanziamento delle agenzie decentrate in varie rubriche;</w:t>
      </w:r>
    </w:p>
    <w:p w14:paraId="2561B5EA" w14:textId="6F8565F4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D.</w:t>
      </w:r>
      <w:r w:rsidRPr="00625CCC">
        <w:rPr>
          <w:color w:val="000000"/>
        </w:rPr>
        <w:tab/>
        <w:t>considerando che, sul versante delle entrate, il progetto di bilancio rettificativo</w:t>
      </w:r>
      <w:r w:rsidR="00625CCC" w:rsidRPr="00625CCC">
        <w:rPr>
          <w:color w:val="000000"/>
        </w:rPr>
        <w:t xml:space="preserve"> </w:t>
      </w:r>
      <w:r w:rsidRPr="00625CCC">
        <w:rPr>
          <w:color w:val="000000"/>
        </w:rPr>
        <w:t>n.</w:t>
      </w:r>
      <w:r w:rsidR="00682DB1" w:rsidRPr="00625CCC">
        <w:rPr>
          <w:color w:val="000000"/>
        </w:rPr>
        <w:t> </w:t>
      </w:r>
      <w:r w:rsidRPr="00625CCC">
        <w:rPr>
          <w:color w:val="000000"/>
        </w:rPr>
        <w:t>3/2025 iscrive nel bilancio 2025 un importo totale di 1,19 miliardi di EUR in ammende e penalità definitive pagate fino a settembre 2025 e un importo di 1,3 miliardi di EUR di risorse proprie tradizionali supplementari;</w:t>
      </w:r>
    </w:p>
    <w:p w14:paraId="308C9286" w14:textId="02E8C9B4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E.</w:t>
      </w:r>
      <w:r w:rsidRPr="00625CCC">
        <w:rPr>
          <w:color w:val="000000"/>
        </w:rPr>
        <w:tab/>
        <w:t>considerando che, a seguito di tali adeguamenti, per soddisfare il fabbisogno di pagamenti sono necessari contributi basati sul</w:t>
      </w:r>
      <w:r w:rsidR="00431C19" w:rsidRPr="00625CCC">
        <w:rPr>
          <w:color w:val="000000"/>
        </w:rPr>
        <w:t xml:space="preserve"> </w:t>
      </w:r>
      <w:r w:rsidRPr="00625CCC">
        <w:rPr>
          <w:color w:val="000000"/>
        </w:rPr>
        <w:t>RNL supplementari pari a 31,9 milioni di EUR;</w:t>
      </w:r>
    </w:p>
    <w:p w14:paraId="1BDDE138" w14:textId="378EA521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1.</w:t>
      </w:r>
      <w:r w:rsidRPr="00625CCC">
        <w:rPr>
          <w:color w:val="000000"/>
        </w:rPr>
        <w:tab/>
        <w:t>prende atto del progetto di bilancio rettificativo n. 3/2025 quale presentato dalla Commissione e, in particolare, dell'impatto complessivamente molto limitato sui contributi basati sul</w:t>
      </w:r>
      <w:r w:rsidR="00431C19" w:rsidRPr="00625CCC">
        <w:rPr>
          <w:color w:val="000000"/>
        </w:rPr>
        <w:t xml:space="preserve"> </w:t>
      </w:r>
      <w:r w:rsidRPr="00625CCC">
        <w:rPr>
          <w:color w:val="000000"/>
        </w:rPr>
        <w:t>RNL degli Stati membri, grazie all'equilibrio tra il maggiore fabbisogno di pagamenti e i flussi di entrate supplementari;</w:t>
      </w:r>
    </w:p>
    <w:p w14:paraId="2A15E036" w14:textId="6C18821C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2.</w:t>
      </w:r>
      <w:r w:rsidRPr="00625CCC">
        <w:rPr>
          <w:color w:val="000000"/>
        </w:rPr>
        <w:tab/>
        <w:t xml:space="preserve">accoglie con favore l'aumento degli stanziamenti di pagamento a favore del Fondo europeo di sviluppo regionale (FESR), pari a 2 miliardi di EUR, unitamente ai rafforzamenti per la politica agricola comune </w:t>
      </w:r>
      <w:r w:rsidR="00682DB1" w:rsidRPr="00625CCC">
        <w:rPr>
          <w:color w:val="000000"/>
        </w:rPr>
        <w:t xml:space="preserve">(PAC) </w:t>
      </w:r>
      <w:r w:rsidRPr="00625CCC">
        <w:rPr>
          <w:color w:val="000000"/>
        </w:rPr>
        <w:t xml:space="preserve">nello storno globale relativo all'esercizio in corso (DEC 15/25), quale segnale del fatto che il ritmo dell'attuazione dei programmi sta aumentando, dopo un avvio caratterizzato da una lentezza preoccupante nel periodo 2021-2027; sottolinea che il rafforzamento dei fondi strutturali e degli stanziamenti a titolo della PAC svolge un ruolo cruciale nel mantenere la continuità dei regimi di sostegno all'agricoltura, nel garantire la sicurezza alimentare e nel promuovere uno sviluppo rurale sostenibile; osserva che tali misure sono particolarmente importanti per rafforzare la resilienza del settore agricolo e preservare </w:t>
      </w:r>
      <w:r w:rsidRPr="00625CCC">
        <w:rPr>
          <w:color w:val="000000"/>
        </w:rPr>
        <w:lastRenderedPageBreak/>
        <w:t>l'equilibrio socioeconomico nelle zone rurali; ricorda la complementarità di tali aumenti con gli adeguamenti degli stanziamenti di pagamento nello storno globale (DEC 15/2025);</w:t>
      </w:r>
    </w:p>
    <w:p w14:paraId="24473A4E" w14:textId="0C57459D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3.</w:t>
      </w:r>
      <w:r w:rsidRPr="00625CCC">
        <w:rPr>
          <w:color w:val="000000"/>
        </w:rPr>
        <w:tab/>
        <w:t>continua a sollecitare un'attuazione accelerata delle misure nell'ambito del FESR, del FSE+ e dello strumento di sostegno finanziario per la gestione delle frontiere e la politica dei visti (</w:t>
      </w:r>
      <w:proofErr w:type="spellStart"/>
      <w:r w:rsidR="00431C19" w:rsidRPr="00625CCC">
        <w:rPr>
          <w:i/>
          <w:iCs/>
          <w:color w:val="000000"/>
        </w:rPr>
        <w:t>Instrument</w:t>
      </w:r>
      <w:proofErr w:type="spellEnd"/>
      <w:r w:rsidR="00431C19" w:rsidRPr="00625CCC">
        <w:rPr>
          <w:i/>
          <w:iCs/>
          <w:color w:val="000000"/>
        </w:rPr>
        <w:t xml:space="preserve"> for Financial Support for</w:t>
      </w:r>
      <w:r w:rsidR="00431C19" w:rsidRPr="00625CCC">
        <w:rPr>
          <w:color w:val="000000"/>
        </w:rPr>
        <w:t xml:space="preserve"> </w:t>
      </w:r>
      <w:proofErr w:type="spellStart"/>
      <w:r w:rsidR="00682DB1" w:rsidRPr="00625CCC">
        <w:rPr>
          <w:i/>
          <w:iCs/>
          <w:color w:val="000000"/>
        </w:rPr>
        <w:t>Border</w:t>
      </w:r>
      <w:proofErr w:type="spellEnd"/>
      <w:r w:rsidR="00682DB1" w:rsidRPr="00625CCC">
        <w:rPr>
          <w:i/>
          <w:iCs/>
          <w:color w:val="000000"/>
        </w:rPr>
        <w:t xml:space="preserve"> Management and Visa Policy</w:t>
      </w:r>
      <w:r w:rsidR="00682DB1" w:rsidRPr="00625CCC">
        <w:rPr>
          <w:color w:val="000000"/>
        </w:rPr>
        <w:t xml:space="preserve"> </w:t>
      </w:r>
      <w:r w:rsidR="00682DB1" w:rsidRPr="00625CCC">
        <w:rPr>
          <w:color w:val="000000"/>
        </w:rPr>
        <w:noBreakHyphen/>
        <w:t xml:space="preserve"> </w:t>
      </w:r>
      <w:r w:rsidRPr="00625CCC">
        <w:rPr>
          <w:color w:val="000000"/>
        </w:rPr>
        <w:t>BMVI); accoglie con favore l'adozione, più rapida del previsto, della piattaforma per le tecnologie strategiche per l'Europa (</w:t>
      </w:r>
      <w:r w:rsidR="00431C19" w:rsidRPr="00625CCC">
        <w:rPr>
          <w:i/>
          <w:iCs/>
          <w:color w:val="000000"/>
        </w:rPr>
        <w:t>Strategic Technologies for Europe Platform</w:t>
      </w:r>
      <w:r w:rsidR="00431C19" w:rsidRPr="00625CCC">
        <w:rPr>
          <w:color w:val="000000"/>
        </w:rPr>
        <w:t xml:space="preserve"> - </w:t>
      </w:r>
      <w:r w:rsidRPr="00625CCC">
        <w:rPr>
          <w:color w:val="000000"/>
        </w:rPr>
        <w:t xml:space="preserve">STEP); </w:t>
      </w:r>
      <w:r w:rsidRPr="00625CCC">
        <w:t>si attende che gli oltre 3 miliardi di EUR di pagamenti supplementari a titolo della STEP siano utilizzati in modo rapido ed efficace per gli obiettivi specifici previsti dai rispettivi atti di base;</w:t>
      </w:r>
    </w:p>
    <w:p w14:paraId="5B948F23" w14:textId="77777777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4.</w:t>
      </w:r>
      <w:r w:rsidRPr="00625CCC">
        <w:rPr>
          <w:color w:val="000000"/>
        </w:rPr>
        <w:tab/>
        <w:t xml:space="preserve">prende atto degli ultimi sviluppi relativi agli accordi di partenariato per una pesca sostenibile (APPS) e accoglie con favore il fatto che, in linea con le pertinenti disposizioni dell'accordo interistituzionale, l'autorità di bilancio </w:t>
      </w:r>
      <w:proofErr w:type="gramStart"/>
      <w:r w:rsidRPr="00625CCC">
        <w:rPr>
          <w:color w:val="000000"/>
        </w:rPr>
        <w:t>svolga</w:t>
      </w:r>
      <w:proofErr w:type="gramEnd"/>
      <w:r w:rsidRPr="00625CCC">
        <w:rPr>
          <w:color w:val="000000"/>
        </w:rPr>
        <w:t xml:space="preserve"> un ruolo attivo nello sblocco degli stanziamenti iscritti in riserva in funzione dell'entrata in vigore e dell'applicazione dei rispettivi protocolli di attuazione internazionali;</w:t>
      </w:r>
    </w:p>
    <w:p w14:paraId="6D441285" w14:textId="5D009CD6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5.</w:t>
      </w:r>
      <w:r w:rsidRPr="00625CCC">
        <w:rPr>
          <w:color w:val="000000"/>
        </w:rPr>
        <w:tab/>
        <w:t>deplora la diminuzione degli impegni (78 milioni di EUR) e dei pagamenti (48 milioni di EUR) per lo Strumento relativo alle attrezzature per il controllo doganale (</w:t>
      </w:r>
      <w:r w:rsidR="00431C19" w:rsidRPr="00625CCC">
        <w:rPr>
          <w:i/>
          <w:iCs/>
          <w:color w:val="000000"/>
        </w:rPr>
        <w:t xml:space="preserve">Customs Control </w:t>
      </w:r>
      <w:proofErr w:type="spellStart"/>
      <w:r w:rsidR="00431C19" w:rsidRPr="00625CCC">
        <w:rPr>
          <w:i/>
          <w:iCs/>
          <w:color w:val="000000"/>
        </w:rPr>
        <w:t>Equipment</w:t>
      </w:r>
      <w:proofErr w:type="spellEnd"/>
      <w:r w:rsidR="00431C19" w:rsidRPr="00625CCC">
        <w:rPr>
          <w:i/>
          <w:iCs/>
          <w:color w:val="000000"/>
        </w:rPr>
        <w:t xml:space="preserve"> </w:t>
      </w:r>
      <w:proofErr w:type="spellStart"/>
      <w:r w:rsidR="00431C19" w:rsidRPr="00625CCC">
        <w:rPr>
          <w:i/>
          <w:iCs/>
          <w:color w:val="000000"/>
        </w:rPr>
        <w:t>Instrument</w:t>
      </w:r>
      <w:proofErr w:type="spellEnd"/>
      <w:r w:rsidR="00431C19" w:rsidRPr="00625CCC">
        <w:rPr>
          <w:color w:val="000000"/>
        </w:rPr>
        <w:t xml:space="preserve"> - </w:t>
      </w:r>
      <w:r w:rsidRPr="00625CCC">
        <w:rPr>
          <w:color w:val="000000"/>
        </w:rPr>
        <w:t>CCEI) a causa di ritardi nell'attuazione negli Stati membri, in tempi in cui la cooperazione e gli investimenti in questo settore dovrebbero prosperare;</w:t>
      </w:r>
    </w:p>
    <w:p w14:paraId="67876C3A" w14:textId="76DB2826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6.</w:t>
      </w:r>
      <w:r w:rsidRPr="00625CCC">
        <w:rPr>
          <w:color w:val="000000"/>
        </w:rPr>
        <w:tab/>
        <w:t xml:space="preserve">valuta positivamente i risparmi realizzati negli impegni (5 milioni di EUR) per lo strumento di sostegno tecnico </w:t>
      </w:r>
      <w:r w:rsidR="00431C19" w:rsidRPr="00625CCC">
        <w:rPr>
          <w:color w:val="000000"/>
        </w:rPr>
        <w:t>(</w:t>
      </w:r>
      <w:r w:rsidR="00431C19" w:rsidRPr="00625CCC">
        <w:rPr>
          <w:i/>
          <w:iCs/>
          <w:color w:val="000000"/>
        </w:rPr>
        <w:t xml:space="preserve">Technical Support </w:t>
      </w:r>
      <w:proofErr w:type="spellStart"/>
      <w:r w:rsidR="00431C19" w:rsidRPr="00625CCC">
        <w:rPr>
          <w:i/>
          <w:iCs/>
          <w:color w:val="000000"/>
        </w:rPr>
        <w:t>Instrument</w:t>
      </w:r>
      <w:proofErr w:type="spellEnd"/>
      <w:r w:rsidR="00431C19" w:rsidRPr="00625CCC">
        <w:rPr>
          <w:color w:val="000000"/>
        </w:rPr>
        <w:t xml:space="preserve"> - TSI) </w:t>
      </w:r>
      <w:r w:rsidRPr="00625CCC">
        <w:rPr>
          <w:color w:val="000000"/>
        </w:rPr>
        <w:t>a seguito degli incrementi di efficienza derivanti dalle procedure di appalto competitive;</w:t>
      </w:r>
    </w:p>
    <w:p w14:paraId="514FED46" w14:textId="77777777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7.</w:t>
      </w:r>
      <w:r w:rsidRPr="00625CCC">
        <w:rPr>
          <w:color w:val="000000"/>
        </w:rPr>
        <w:tab/>
      </w:r>
      <w:r w:rsidRPr="00625CCC">
        <w:t>prende atto del ritmo di attuazione delle riforme e del corrispondente rallentamento dell'assorbimento dei pagamenti nell'ambito dello strumento per l'Ucraina;</w:t>
      </w:r>
      <w:r w:rsidRPr="00625CCC">
        <w:rPr>
          <w:color w:val="000000"/>
        </w:rPr>
        <w:t xml:space="preserve"> </w:t>
      </w:r>
      <w:r w:rsidRPr="00625CCC">
        <w:t>riconosce che una parte degli stanziamenti non assorbiti può essere riportata all'esercizio successivo;</w:t>
      </w:r>
      <w:r w:rsidRPr="00625CCC">
        <w:rPr>
          <w:color w:val="000000"/>
        </w:rPr>
        <w:t xml:space="preserve"> incoraggia tutti gli attori coinvolti a compiere progressi per quanto concerne le misure connesse alle riforme e agli investimenti, come gli accordi di finanziamento misto;</w:t>
      </w:r>
    </w:p>
    <w:p w14:paraId="024E681B" w14:textId="77777777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8.</w:t>
      </w:r>
      <w:r w:rsidRPr="00625CCC">
        <w:rPr>
          <w:color w:val="000000"/>
        </w:rPr>
        <w:tab/>
        <w:t>prende atto degli adeguamenti del contributo dell'Unione a varie agenzie decentrate; ritiene che tali adeguamenti siano per lo più di natura tecnica; li accoglie con favore nella misura in cui essi ottimizzano l'utilizzo delle risorse nell'ambito delle linee operative, quali il LIFE, l'AMIF o il programma per il mercato unico; deplora, tuttavia, che la ragione di fondo della "restituzione" degli stanziamenti di impegno e di pagamento dalle rispettive linee delle agenzie alle linee dei relativi programmi siano i ritardi nell'assunzione di personale o nell'adozione di nuove iniziative politiche e legislative, come la strategia per gli investimenti al dettaglio (che riguarda l'ESMA e l'EIOPA), il patto sulla migrazione e l'asilo (che riguarda l'EUAA), il pacchetto sulla sicurezza marittima (che riguarda l'EMSA) o la proposta sulle nuove tecniche genomiche (che riguarda l'EFSA);</w:t>
      </w:r>
    </w:p>
    <w:p w14:paraId="14FC86D6" w14:textId="152D239A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9.</w:t>
      </w:r>
      <w:r w:rsidRPr="00625CCC">
        <w:rPr>
          <w:color w:val="000000"/>
        </w:rPr>
        <w:tab/>
        <w:t>sottolinea e ribadisce, in tale contesto, il suo fermo sostegno all'Autorità antiriciclaggio (</w:t>
      </w:r>
      <w:r w:rsidR="00431C19" w:rsidRPr="00625CCC">
        <w:rPr>
          <w:i/>
          <w:iCs/>
          <w:color w:val="000000"/>
        </w:rPr>
        <w:t xml:space="preserve">Anti-Money </w:t>
      </w:r>
      <w:proofErr w:type="spellStart"/>
      <w:r w:rsidR="00431C19" w:rsidRPr="00625CCC">
        <w:rPr>
          <w:i/>
          <w:iCs/>
          <w:color w:val="000000"/>
        </w:rPr>
        <w:t>Laundering</w:t>
      </w:r>
      <w:proofErr w:type="spellEnd"/>
      <w:r w:rsidR="00431C19" w:rsidRPr="00625CCC">
        <w:rPr>
          <w:i/>
          <w:iCs/>
          <w:color w:val="000000"/>
        </w:rPr>
        <w:t xml:space="preserve"> Authority</w:t>
      </w:r>
      <w:r w:rsidR="00431C19" w:rsidRPr="00625CCC">
        <w:rPr>
          <w:color w:val="000000"/>
        </w:rPr>
        <w:t xml:space="preserve"> - </w:t>
      </w:r>
      <w:r w:rsidRPr="00625CCC">
        <w:rPr>
          <w:color w:val="000000"/>
        </w:rPr>
        <w:t xml:space="preserve">AMLA), istituita di recente, nel quadro antiriciclaggio rivisto a livello dell'Unione; </w:t>
      </w:r>
      <w:r w:rsidRPr="00625CCC">
        <w:t xml:space="preserve">rimane seriamente preoccupato per i </w:t>
      </w:r>
      <w:r w:rsidRPr="00625CCC">
        <w:lastRenderedPageBreak/>
        <w:t>continui ritardi nella fase di avviamento, in particolare per quanto riguarda le assunzioni, e chiede un'accelerazione dei pertinenti processi di assunzione;</w:t>
      </w:r>
    </w:p>
    <w:p w14:paraId="36CD8DF8" w14:textId="081F7AA5" w:rsidR="005B6707" w:rsidRPr="00625CCC" w:rsidRDefault="00625CCC" w:rsidP="005B6707">
      <w:pPr>
        <w:spacing w:after="240"/>
        <w:ind w:left="567" w:hanging="567"/>
        <w:rPr>
          <w:color w:val="000000"/>
        </w:rPr>
      </w:pPr>
      <w:sdt>
        <w:sdtPr>
          <w:tag w:val="goog_rdk_19"/>
          <w:id w:val="599988960"/>
        </w:sdtPr>
        <w:sdtEndPr/>
        <w:sdtContent/>
      </w:sdt>
      <w:r w:rsidR="005B6707" w:rsidRPr="00625CCC">
        <w:rPr>
          <w:color w:val="000000"/>
        </w:rPr>
        <w:t>10.</w:t>
      </w:r>
      <w:r w:rsidR="005B6707" w:rsidRPr="00625CCC">
        <w:rPr>
          <w:color w:val="000000"/>
        </w:rPr>
        <w:tab/>
        <w:t xml:space="preserve">accoglie con favore l'integrazione nel bilancio di entrate supplementari derivanti da ammende e penalità definitive pari a 1 185,1 milioni di EUR; ritiene che tali importi costituiscano autentiche fonti di entrate per l'Unione, che permettono di ridurre i contributi basati sull'RNL degli Stati membri; ricorda, in tale contesto, che la Commissione ha proposto modifiche per il periodo del </w:t>
      </w:r>
      <w:r w:rsidR="00682DB1" w:rsidRPr="00625CCC">
        <w:rPr>
          <w:color w:val="000000"/>
        </w:rPr>
        <w:t xml:space="preserve">prossimo quadro finanziario pluriennale </w:t>
      </w:r>
      <w:r w:rsidR="005B6707" w:rsidRPr="00625CCC">
        <w:rPr>
          <w:color w:val="000000"/>
        </w:rPr>
        <w:t>al fine di garantire che tali entrate straordinarie possano dar luogo a stanziamenti di spesa supplementari;</w:t>
      </w:r>
    </w:p>
    <w:p w14:paraId="06CC45DA" w14:textId="77777777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11.</w:t>
      </w:r>
      <w:r w:rsidRPr="00625CCC">
        <w:rPr>
          <w:color w:val="000000"/>
        </w:rPr>
        <w:tab/>
        <w:t>prende atto della proposta di iscrivere a bilancio 1 300 milioni di EUR di "eccedenza stimata di risorse proprie tradizionali"; esprime dubbi sull'opportunità di aggiornamenti ripetuti delle entrate generate dai dazi doganali nel corso dell'esercizio finanziario, in particolare al di fuori del bilancio rettificativo annuale dedicato all'aggiornamento e alla regolarizzazione delle entrate;</w:t>
      </w:r>
    </w:p>
    <w:p w14:paraId="65A07F1B" w14:textId="77777777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t>12.</w:t>
      </w:r>
      <w:r w:rsidRPr="00625CCC">
        <w:tab/>
        <w:t>prende atto dell'aggiornamento degli adeguamenti delle retribuzioni per il 2025 e conviene sul fatto di integrare l'incidenza sul bilancio di tali adeguamenti come modifica tecnica nel progetto di bilancio rettificativo n. 3/2025; osserva che ciò comporta una riduzione complessiva di 78,8 milioni di EUR in stanziamenti non dissociati in tutte le linee di bilancio e sezioni della rubrica 7 interessate;</w:t>
      </w:r>
    </w:p>
    <w:p w14:paraId="59391084" w14:textId="77777777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13.</w:t>
      </w:r>
      <w:r w:rsidRPr="00625CCC">
        <w:rPr>
          <w:color w:val="000000"/>
        </w:rPr>
        <w:tab/>
        <w:t>approva la posizione del Consiglio sul progetto di bilancio rettificativo n. 3/2025;</w:t>
      </w:r>
    </w:p>
    <w:p w14:paraId="7D3B6C65" w14:textId="77777777" w:rsidR="005B6707" w:rsidRPr="00625CCC" w:rsidRDefault="005B6707" w:rsidP="005B6707">
      <w:pPr>
        <w:spacing w:after="240"/>
        <w:ind w:left="567" w:hanging="567"/>
        <w:rPr>
          <w:color w:val="000000"/>
        </w:rPr>
      </w:pPr>
      <w:r w:rsidRPr="00625CCC">
        <w:rPr>
          <w:color w:val="000000"/>
        </w:rPr>
        <w:t>14.</w:t>
      </w:r>
      <w:r w:rsidRPr="00625CCC">
        <w:rPr>
          <w:color w:val="000000"/>
        </w:rPr>
        <w:tab/>
        <w:t xml:space="preserve">incarica la sua Presidente di constatare che il bilancio rettificativo n. 3/2025 è definitivamente adottato e di provvedere alla sua pubblicazione nella </w:t>
      </w:r>
      <w:r w:rsidRPr="00625CCC">
        <w:rPr>
          <w:i/>
          <w:color w:val="000000"/>
        </w:rPr>
        <w:t>Gazzetta ufficiale dell'Unione europea</w:t>
      </w:r>
      <w:r w:rsidRPr="00625CCC">
        <w:rPr>
          <w:color w:val="000000"/>
        </w:rPr>
        <w:t>;</w:t>
      </w:r>
    </w:p>
    <w:p w14:paraId="002D93DB" w14:textId="7DDD1D2D" w:rsidR="00E365E1" w:rsidRPr="00625CCC" w:rsidRDefault="005B6707" w:rsidP="0031196F">
      <w:pPr>
        <w:spacing w:after="240"/>
        <w:ind w:left="567" w:hanging="567"/>
      </w:pPr>
      <w:r w:rsidRPr="00625CCC">
        <w:rPr>
          <w:color w:val="000000"/>
        </w:rPr>
        <w:t>15.</w:t>
      </w:r>
      <w:r w:rsidRPr="00625CCC">
        <w:rPr>
          <w:color w:val="000000"/>
        </w:rPr>
        <w:tab/>
        <w:t>incarica la sua Presidente di trasmettere la presente risoluzione al Consiglio e alla Commissione nonché ai parlamenti nazionali.</w:t>
      </w:r>
    </w:p>
    <w:sectPr w:rsidR="00E365E1" w:rsidRPr="00625CCC" w:rsidSect="00A079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A5D63" w14:textId="77777777" w:rsidR="00DA2CE7" w:rsidRPr="00A079B6" w:rsidRDefault="00DA2CE7">
      <w:r w:rsidRPr="00A079B6">
        <w:separator/>
      </w:r>
    </w:p>
  </w:endnote>
  <w:endnote w:type="continuationSeparator" w:id="0">
    <w:p w14:paraId="18C347AA" w14:textId="77777777" w:rsidR="00DA2CE7" w:rsidRPr="00A079B6" w:rsidRDefault="00DA2CE7">
      <w:r w:rsidRPr="00A079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47FDB" w14:textId="77777777" w:rsidR="00064002" w:rsidRPr="00A079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67DB7" w14:textId="77777777" w:rsidR="00064002" w:rsidRPr="00A079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23C8E" w14:textId="77777777" w:rsidR="00064002" w:rsidRPr="00A079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F12B1" w14:textId="77777777" w:rsidR="00DA2CE7" w:rsidRPr="00A079B6" w:rsidRDefault="00DA2CE7">
      <w:r w:rsidRPr="00A079B6">
        <w:separator/>
      </w:r>
    </w:p>
  </w:footnote>
  <w:footnote w:type="continuationSeparator" w:id="0">
    <w:p w14:paraId="45486FC6" w14:textId="77777777" w:rsidR="00DA2CE7" w:rsidRPr="00A079B6" w:rsidRDefault="00DA2CE7">
      <w:r w:rsidRPr="00A079B6">
        <w:continuationSeparator/>
      </w:r>
    </w:p>
  </w:footnote>
  <w:footnote w:id="1">
    <w:p w14:paraId="1A1D3DC9" w14:textId="29CA564A" w:rsidR="005B6707" w:rsidRPr="00682DB1" w:rsidRDefault="005B6707" w:rsidP="00A079B6">
      <w:pPr>
        <w:pStyle w:val="FootnoteText"/>
        <w:ind w:left="567" w:hanging="567"/>
        <w:rPr>
          <w:sz w:val="24"/>
          <w:lang w:val="fi-FI"/>
        </w:rPr>
      </w:pPr>
      <w:r w:rsidRPr="00A079B6">
        <w:rPr>
          <w:rStyle w:val="FootnoteReference"/>
          <w:sz w:val="24"/>
          <w:lang w:val="it-IT"/>
        </w:rPr>
        <w:footnoteRef/>
      </w:r>
      <w:r w:rsidR="00A079B6" w:rsidRPr="00682DB1">
        <w:rPr>
          <w:sz w:val="24"/>
          <w:lang w:val="fi-FI"/>
        </w:rPr>
        <w:t xml:space="preserve"> </w:t>
      </w:r>
      <w:r w:rsidR="00A079B6" w:rsidRPr="00682DB1">
        <w:rPr>
          <w:sz w:val="24"/>
          <w:lang w:val="fi-FI"/>
        </w:rPr>
        <w:tab/>
      </w:r>
      <w:r w:rsidRPr="00682DB1">
        <w:rPr>
          <w:sz w:val="24"/>
          <w:lang w:val="fi-FI"/>
        </w:rPr>
        <w:t xml:space="preserve">GU L, 2024/2509, 26.9.2024, ELI: </w:t>
      </w:r>
      <w:hyperlink r:id="rId1" w:history="1">
        <w:r w:rsidRPr="00682DB1">
          <w:rPr>
            <w:rStyle w:val="Hyperlink"/>
            <w:sz w:val="24"/>
            <w:lang w:val="fi-FI"/>
          </w:rPr>
          <w:t>http://data.europa.eu/eli/reg/2024/2509/oj</w:t>
        </w:r>
      </w:hyperlink>
      <w:r w:rsidRPr="00682DB1">
        <w:rPr>
          <w:sz w:val="24"/>
          <w:lang w:val="fi-FI"/>
        </w:rPr>
        <w:t>.</w:t>
      </w:r>
    </w:p>
  </w:footnote>
  <w:footnote w:id="2">
    <w:p w14:paraId="6ED80383" w14:textId="59F3569B" w:rsidR="005B6707" w:rsidRPr="00682DB1" w:rsidRDefault="005B6707" w:rsidP="00A079B6">
      <w:pPr>
        <w:pStyle w:val="FootnoteText"/>
        <w:ind w:left="567" w:hanging="567"/>
        <w:rPr>
          <w:sz w:val="24"/>
          <w:lang w:val="fi-FI"/>
        </w:rPr>
      </w:pPr>
      <w:r w:rsidRPr="00A079B6">
        <w:rPr>
          <w:rStyle w:val="FootnoteReference"/>
          <w:sz w:val="24"/>
          <w:lang w:val="it-IT"/>
        </w:rPr>
        <w:footnoteRef/>
      </w:r>
      <w:r w:rsidR="00A079B6" w:rsidRPr="00682DB1">
        <w:rPr>
          <w:sz w:val="24"/>
          <w:lang w:val="fi-FI"/>
        </w:rPr>
        <w:t xml:space="preserve"> </w:t>
      </w:r>
      <w:r w:rsidR="00A079B6" w:rsidRPr="00682DB1">
        <w:rPr>
          <w:sz w:val="24"/>
          <w:lang w:val="fi-FI"/>
        </w:rPr>
        <w:tab/>
      </w:r>
      <w:r w:rsidRPr="00682DB1">
        <w:rPr>
          <w:sz w:val="24"/>
          <w:lang w:val="fi-FI"/>
        </w:rPr>
        <w:t xml:space="preserve">GU L, 2025/31, 27.2.2025, ELI: </w:t>
      </w:r>
      <w:hyperlink r:id="rId2" w:history="1">
        <w:r w:rsidRPr="00682DB1">
          <w:rPr>
            <w:rStyle w:val="Hyperlink"/>
            <w:sz w:val="24"/>
            <w:lang w:val="fi-FI"/>
          </w:rPr>
          <w:t>http://data.europa.eu/eli/budget/2025/31/oj</w:t>
        </w:r>
      </w:hyperlink>
      <w:r w:rsidRPr="00682DB1">
        <w:rPr>
          <w:sz w:val="24"/>
          <w:lang w:val="fi-FI"/>
        </w:rPr>
        <w:t>.</w:t>
      </w:r>
    </w:p>
  </w:footnote>
  <w:footnote w:id="3">
    <w:p w14:paraId="700B9AF8" w14:textId="42E60B26" w:rsidR="005B6707" w:rsidRPr="00A079B6" w:rsidRDefault="005B6707" w:rsidP="00A079B6">
      <w:pPr>
        <w:pStyle w:val="FootnoteText"/>
        <w:ind w:left="567" w:hanging="567"/>
        <w:rPr>
          <w:sz w:val="24"/>
          <w:lang w:val="it-IT"/>
        </w:rPr>
      </w:pPr>
      <w:r w:rsidRPr="00A079B6">
        <w:rPr>
          <w:rStyle w:val="FootnoteReference"/>
          <w:sz w:val="24"/>
          <w:lang w:val="it-IT"/>
        </w:rPr>
        <w:footnoteRef/>
      </w:r>
      <w:r w:rsidR="00A079B6" w:rsidRPr="00A079B6">
        <w:rPr>
          <w:sz w:val="24"/>
          <w:lang w:val="it-IT"/>
        </w:rPr>
        <w:t xml:space="preserve"> </w:t>
      </w:r>
      <w:r w:rsidR="00A079B6" w:rsidRPr="00A079B6">
        <w:rPr>
          <w:sz w:val="24"/>
          <w:lang w:val="it-IT"/>
        </w:rPr>
        <w:tab/>
      </w:r>
      <w:r w:rsidRPr="00A079B6">
        <w:rPr>
          <w:sz w:val="24"/>
          <w:lang w:val="it-IT"/>
        </w:rPr>
        <w:t xml:space="preserve">GU L 433 I del 22.12.2020, pag. 11, ELI: </w:t>
      </w:r>
      <w:hyperlink r:id="rId3" w:history="1">
        <w:r w:rsidRPr="00A079B6">
          <w:rPr>
            <w:rStyle w:val="Hyperlink"/>
            <w:sz w:val="24"/>
            <w:lang w:val="it-IT"/>
          </w:rPr>
          <w:t>http://data.europa.eu/eli/reg/2020/433/oj</w:t>
        </w:r>
      </w:hyperlink>
      <w:r w:rsidRPr="00A079B6">
        <w:rPr>
          <w:sz w:val="24"/>
          <w:lang w:val="it-IT"/>
        </w:rPr>
        <w:t>.</w:t>
      </w:r>
    </w:p>
  </w:footnote>
  <w:footnote w:id="4">
    <w:p w14:paraId="084508F8" w14:textId="439229FE" w:rsidR="005B6707" w:rsidRPr="00A079B6" w:rsidRDefault="005B6707" w:rsidP="00A079B6">
      <w:pPr>
        <w:pStyle w:val="FootnoteText"/>
        <w:ind w:left="567" w:hanging="567"/>
        <w:rPr>
          <w:sz w:val="24"/>
          <w:lang w:val="it-IT"/>
        </w:rPr>
      </w:pPr>
      <w:r w:rsidRPr="00A079B6">
        <w:rPr>
          <w:rStyle w:val="FootnoteReference"/>
          <w:sz w:val="24"/>
          <w:lang w:val="it-IT"/>
        </w:rPr>
        <w:footnoteRef/>
      </w:r>
      <w:r w:rsidR="00A079B6" w:rsidRPr="00A079B6">
        <w:rPr>
          <w:sz w:val="24"/>
          <w:lang w:val="it-IT"/>
        </w:rPr>
        <w:t xml:space="preserve"> </w:t>
      </w:r>
      <w:r w:rsidR="00A079B6" w:rsidRPr="00A079B6">
        <w:rPr>
          <w:sz w:val="24"/>
          <w:lang w:val="it-IT"/>
        </w:rPr>
        <w:tab/>
      </w:r>
      <w:r w:rsidRPr="00A079B6">
        <w:rPr>
          <w:sz w:val="24"/>
          <w:lang w:val="it-IT"/>
        </w:rPr>
        <w:t xml:space="preserve">GU L 433 I del 22.12.2020, pag. 28, ELI: </w:t>
      </w:r>
      <w:hyperlink r:id="rId4" w:history="1">
        <w:r w:rsidRPr="00A079B6">
          <w:rPr>
            <w:rStyle w:val="Hyperlink"/>
            <w:sz w:val="24"/>
            <w:lang w:val="it-IT"/>
          </w:rPr>
          <w:t>http://data.europa.eu/eli/agree_interinstit/2020/1222/oj</w:t>
        </w:r>
      </w:hyperlink>
      <w:r w:rsidRPr="00A079B6">
        <w:rPr>
          <w:sz w:val="24"/>
          <w:lang w:val="it-IT"/>
        </w:rPr>
        <w:t>.</w:t>
      </w:r>
    </w:p>
  </w:footnote>
  <w:footnote w:id="5">
    <w:p w14:paraId="5B75C2B9" w14:textId="18369E81" w:rsidR="005B6707" w:rsidRPr="00A079B6" w:rsidRDefault="005B6707" w:rsidP="00A079B6">
      <w:pPr>
        <w:pStyle w:val="FootnoteText"/>
        <w:ind w:left="567" w:hanging="567"/>
        <w:rPr>
          <w:sz w:val="24"/>
          <w:lang w:val="it-IT"/>
        </w:rPr>
      </w:pPr>
      <w:r w:rsidRPr="00A079B6">
        <w:rPr>
          <w:rStyle w:val="FootnoteReference"/>
          <w:sz w:val="24"/>
          <w:lang w:val="it-IT"/>
        </w:rPr>
        <w:footnoteRef/>
      </w:r>
      <w:r w:rsidR="00A079B6" w:rsidRPr="00A079B6">
        <w:rPr>
          <w:sz w:val="24"/>
          <w:lang w:val="it-IT"/>
        </w:rPr>
        <w:t xml:space="preserve"> </w:t>
      </w:r>
      <w:r w:rsidR="00A079B6" w:rsidRPr="00A079B6">
        <w:rPr>
          <w:sz w:val="24"/>
          <w:lang w:val="it-IT"/>
        </w:rPr>
        <w:tab/>
      </w:r>
      <w:r w:rsidRPr="00A079B6">
        <w:rPr>
          <w:sz w:val="24"/>
          <w:lang w:val="it-IT"/>
        </w:rPr>
        <w:t xml:space="preserve">GU L 424 del 15.12.2020, pag. 1, ELI: </w:t>
      </w:r>
      <w:hyperlink r:id="rId5" w:history="1">
        <w:r w:rsidRPr="00A079B6">
          <w:rPr>
            <w:rStyle w:val="Hyperlink"/>
            <w:sz w:val="24"/>
            <w:lang w:val="it-IT"/>
          </w:rPr>
          <w:t>http://data.europa.eu/eli/dec/2020/2053/oj</w:t>
        </w:r>
      </w:hyperlink>
      <w:r w:rsidRPr="00A079B6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7374E" w14:textId="77777777" w:rsidR="00064002" w:rsidRPr="00A079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81E1F" w14:textId="77777777" w:rsidR="00064002" w:rsidRPr="00A079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20167" w14:textId="77777777" w:rsidR="00064002" w:rsidRPr="00A079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2075650">
    <w:abstractNumId w:val="9"/>
  </w:num>
  <w:num w:numId="2" w16cid:durableId="1871871014">
    <w:abstractNumId w:val="9"/>
  </w:num>
  <w:num w:numId="3" w16cid:durableId="230969148">
    <w:abstractNumId w:val="7"/>
  </w:num>
  <w:num w:numId="4" w16cid:durableId="869996725">
    <w:abstractNumId w:val="7"/>
  </w:num>
  <w:num w:numId="5" w16cid:durableId="1594044934">
    <w:abstractNumId w:val="6"/>
  </w:num>
  <w:num w:numId="6" w16cid:durableId="1078861697">
    <w:abstractNumId w:val="6"/>
  </w:num>
  <w:num w:numId="7" w16cid:durableId="1040744423">
    <w:abstractNumId w:val="5"/>
  </w:num>
  <w:num w:numId="8" w16cid:durableId="508519342">
    <w:abstractNumId w:val="5"/>
  </w:num>
  <w:num w:numId="9" w16cid:durableId="1555386489">
    <w:abstractNumId w:val="4"/>
  </w:num>
  <w:num w:numId="10" w16cid:durableId="15617396">
    <w:abstractNumId w:val="4"/>
  </w:num>
  <w:num w:numId="11" w16cid:durableId="1560483910">
    <w:abstractNumId w:val="8"/>
  </w:num>
  <w:num w:numId="12" w16cid:durableId="35351793">
    <w:abstractNumId w:val="8"/>
  </w:num>
  <w:num w:numId="13" w16cid:durableId="1863010121">
    <w:abstractNumId w:val="3"/>
  </w:num>
  <w:num w:numId="14" w16cid:durableId="1681011037">
    <w:abstractNumId w:val="3"/>
  </w:num>
  <w:num w:numId="15" w16cid:durableId="263924297">
    <w:abstractNumId w:val="2"/>
  </w:num>
  <w:num w:numId="16" w16cid:durableId="2136099514">
    <w:abstractNumId w:val="2"/>
  </w:num>
  <w:num w:numId="17" w16cid:durableId="79522983">
    <w:abstractNumId w:val="1"/>
  </w:num>
  <w:num w:numId="18" w16cid:durableId="1560937675">
    <w:abstractNumId w:val="1"/>
  </w:num>
  <w:num w:numId="19" w16cid:durableId="1829324860">
    <w:abstractNumId w:val="0"/>
  </w:num>
  <w:num w:numId="20" w16cid:durableId="66195287">
    <w:abstractNumId w:val="0"/>
  </w:num>
  <w:num w:numId="21" w16cid:durableId="1816027302">
    <w:abstractNumId w:val="9"/>
  </w:num>
  <w:num w:numId="22" w16cid:durableId="170678503">
    <w:abstractNumId w:val="7"/>
  </w:num>
  <w:num w:numId="23" w16cid:durableId="929192546">
    <w:abstractNumId w:val="6"/>
  </w:num>
  <w:num w:numId="24" w16cid:durableId="2012561693">
    <w:abstractNumId w:val="5"/>
  </w:num>
  <w:num w:numId="25" w16cid:durableId="1994210588">
    <w:abstractNumId w:val="4"/>
  </w:num>
  <w:num w:numId="26" w16cid:durableId="344870094">
    <w:abstractNumId w:val="8"/>
  </w:num>
  <w:num w:numId="27" w16cid:durableId="818157263">
    <w:abstractNumId w:val="3"/>
  </w:num>
  <w:num w:numId="28" w16cid:durableId="1503860251">
    <w:abstractNumId w:val="2"/>
  </w:num>
  <w:num w:numId="29" w16cid:durableId="1714229493">
    <w:abstractNumId w:val="1"/>
  </w:num>
  <w:num w:numId="30" w16cid:durableId="446507666">
    <w:abstractNumId w:val="0"/>
  </w:num>
  <w:num w:numId="31" w16cid:durableId="2108771006">
    <w:abstractNumId w:val="9"/>
  </w:num>
  <w:num w:numId="32" w16cid:durableId="2036074634">
    <w:abstractNumId w:val="7"/>
  </w:num>
  <w:num w:numId="33" w16cid:durableId="1873297825">
    <w:abstractNumId w:val="6"/>
  </w:num>
  <w:num w:numId="34" w16cid:durableId="968127999">
    <w:abstractNumId w:val="5"/>
  </w:num>
  <w:num w:numId="35" w16cid:durableId="1650330244">
    <w:abstractNumId w:val="4"/>
  </w:num>
  <w:num w:numId="36" w16cid:durableId="683556611">
    <w:abstractNumId w:val="8"/>
  </w:num>
  <w:num w:numId="37" w16cid:durableId="898248063">
    <w:abstractNumId w:val="3"/>
  </w:num>
  <w:num w:numId="38" w16cid:durableId="2045981893">
    <w:abstractNumId w:val="2"/>
  </w:num>
  <w:num w:numId="39" w16cid:durableId="625628248">
    <w:abstractNumId w:val="1"/>
  </w:num>
  <w:num w:numId="40" w16cid:durableId="612060691">
    <w:abstractNumId w:val="0"/>
  </w:num>
  <w:num w:numId="41" w16cid:durableId="2111002624">
    <w:abstractNumId w:val="10"/>
  </w:num>
  <w:num w:numId="42" w16cid:durableId="1569921092">
    <w:abstractNumId w:val="10"/>
  </w:num>
  <w:num w:numId="43" w16cid:durableId="1571771363">
    <w:abstractNumId w:val="10"/>
  </w:num>
  <w:num w:numId="44" w16cid:durableId="16294339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7/2025"/>
    <w:docVar w:name="dvlangue" w:val="IT"/>
    <w:docVar w:name="dvnumam" w:val="0"/>
    <w:docVar w:name="dvpe" w:val="778.228"/>
    <w:docVar w:name="dvrapporteur" w:val="Relatore: "/>
    <w:docVar w:name="dvtitre" w:val="Risoluzione del Parlamento europeo del 26 novembre 2025 concernente la posizione del Consiglio sul progetto di bilancio rettificativo n. 3/2025 dell'Unione europea per l'esercizio 2025 – Adeguamento degli stanziamenti di pagamento, aggiornamento delle entrate e altri aggiornamenti tecnici(14878/2025 – C10-0301/2025 – 2025/0319(BUD))"/>
  </w:docVars>
  <w:rsids>
    <w:rsidRoot w:val="00DA2CE7"/>
    <w:rsid w:val="00002272"/>
    <w:rsid w:val="00004D33"/>
    <w:rsid w:val="00064002"/>
    <w:rsid w:val="000677B9"/>
    <w:rsid w:val="000831BA"/>
    <w:rsid w:val="000A42CC"/>
    <w:rsid w:val="000C38F0"/>
    <w:rsid w:val="000E7DD9"/>
    <w:rsid w:val="0010095E"/>
    <w:rsid w:val="00122A56"/>
    <w:rsid w:val="00125B37"/>
    <w:rsid w:val="00187494"/>
    <w:rsid w:val="001F32AE"/>
    <w:rsid w:val="002767FF"/>
    <w:rsid w:val="002B18FE"/>
    <w:rsid w:val="002B5493"/>
    <w:rsid w:val="0031196F"/>
    <w:rsid w:val="00343214"/>
    <w:rsid w:val="00361C00"/>
    <w:rsid w:val="00395FA1"/>
    <w:rsid w:val="003E15D4"/>
    <w:rsid w:val="00411CCE"/>
    <w:rsid w:val="0041666E"/>
    <w:rsid w:val="00421060"/>
    <w:rsid w:val="00431C1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707"/>
    <w:rsid w:val="005C2568"/>
    <w:rsid w:val="005F1B17"/>
    <w:rsid w:val="006037C0"/>
    <w:rsid w:val="00625CCC"/>
    <w:rsid w:val="006631B6"/>
    <w:rsid w:val="00680577"/>
    <w:rsid w:val="00682DB1"/>
    <w:rsid w:val="006D53C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79B6"/>
    <w:rsid w:val="00A1687D"/>
    <w:rsid w:val="00A43E52"/>
    <w:rsid w:val="00A4678D"/>
    <w:rsid w:val="00A778C7"/>
    <w:rsid w:val="00AB441E"/>
    <w:rsid w:val="00AB6293"/>
    <w:rsid w:val="00AE0928"/>
    <w:rsid w:val="00AE134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CE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9EA00"/>
  <w15:chartTrackingRefBased/>
  <w15:docId w15:val="{FC21396A-4037-4624-8C6C-8AEF0566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6707"/>
    <w:pPr>
      <w:spacing w:before="480" w:after="240"/>
    </w:pPr>
  </w:style>
  <w:style w:type="paragraph" w:customStyle="1" w:styleId="NormalHanging12a">
    <w:name w:val="NormalHanging12a"/>
    <w:basedOn w:val="Normal"/>
    <w:rsid w:val="005B6707"/>
    <w:pPr>
      <w:spacing w:after="240"/>
      <w:ind w:left="567" w:hanging="567"/>
    </w:pPr>
  </w:style>
  <w:style w:type="character" w:styleId="Hyperlink">
    <w:name w:val="Hyperlink"/>
    <w:basedOn w:val="DefaultParagraphFont"/>
    <w:rsid w:val="005B670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82DB1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AR_fake footnotes</dc:creator>
  <cp:keywords/>
  <cp:lastModifiedBy>CL</cp:lastModifiedBy>
  <cp:revision>2</cp:revision>
  <cp:lastPrinted>2004-11-19T15:42:00Z</cp:lastPrinted>
  <dcterms:created xsi:type="dcterms:W3CDTF">2026-01-28T08:09:00Z</dcterms:created>
  <dcterms:modified xsi:type="dcterms:W3CDTF">2026-01-28T08:09:00Z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P10_TA(2025)0293_</vt:lpwstr>
  </property>
  <property fmtid="{D5CDD505-2E9C-101B-9397-08002B2CF9AE}" pid="4" name="&lt;Type&gt;">
    <vt:lpwstr>RR</vt:lpwstr>
  </property>
</Properties>
</file>