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3DA6" w14:paraId="53D14F5D" w14:textId="77777777" w:rsidTr="0010095E">
        <w:trPr>
          <w:trHeight w:hRule="exact" w:val="1418"/>
        </w:trPr>
        <w:tc>
          <w:tcPr>
            <w:tcW w:w="6804" w:type="dxa"/>
            <w:shd w:val="clear" w:color="auto" w:fill="auto"/>
            <w:vAlign w:val="center"/>
          </w:tcPr>
          <w:p w14:paraId="7969575E" w14:textId="51CE685E" w:rsidR="00751A4A" w:rsidRPr="003C3DA6" w:rsidRDefault="003A6D10" w:rsidP="0010095E">
            <w:pPr>
              <w:pStyle w:val="EPName"/>
            </w:pPr>
            <w:r w:rsidRPr="003C3DA6">
              <w:t>Europos Parlamentas</w:t>
            </w:r>
          </w:p>
          <w:p w14:paraId="59499806" w14:textId="77777777" w:rsidR="00751A4A" w:rsidRPr="003C3DA6" w:rsidRDefault="005F1B17" w:rsidP="005F1B17">
            <w:pPr>
              <w:pStyle w:val="EPTerm"/>
              <w:rPr>
                <w:rStyle w:val="HideTWBExt"/>
                <w:noProof w:val="0"/>
                <w:vanish w:val="0"/>
                <w:color w:val="auto"/>
              </w:rPr>
            </w:pPr>
            <w:r w:rsidRPr="003C3DA6">
              <w:t>2024</w:t>
            </w:r>
            <w:r w:rsidR="00817416" w:rsidRPr="003C3DA6">
              <w:t>-202</w:t>
            </w:r>
            <w:r w:rsidRPr="003C3DA6">
              <w:t>9</w:t>
            </w:r>
          </w:p>
        </w:tc>
        <w:tc>
          <w:tcPr>
            <w:tcW w:w="2268" w:type="dxa"/>
            <w:shd w:val="clear" w:color="auto" w:fill="auto"/>
          </w:tcPr>
          <w:p w14:paraId="775A0727" w14:textId="77777777" w:rsidR="00751A4A" w:rsidRPr="003C3DA6" w:rsidRDefault="00187494" w:rsidP="0010095E">
            <w:pPr>
              <w:pStyle w:val="EPLogo"/>
            </w:pPr>
            <w:r w:rsidRPr="003C3DA6">
              <w:rPr>
                <w:noProof/>
                <w:lang w:eastAsia="ja-JP"/>
              </w:rPr>
              <w:drawing>
                <wp:inline distT="0" distB="0" distL="0" distR="0" wp14:anchorId="2FE59319" wp14:editId="1548F78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DE87B7" w14:textId="77777777" w:rsidR="00D058B8" w:rsidRPr="003C3DA6" w:rsidRDefault="00D058B8" w:rsidP="004C5D52">
      <w:pPr>
        <w:pStyle w:val="LineTop"/>
      </w:pPr>
    </w:p>
    <w:p w14:paraId="370944A8" w14:textId="2AC2E5C5" w:rsidR="00680577" w:rsidRPr="003C3DA6" w:rsidRDefault="003A6D10" w:rsidP="00680577">
      <w:pPr>
        <w:pStyle w:val="EPBodyTA1"/>
      </w:pPr>
      <w:r w:rsidRPr="003C3DA6">
        <w:t>PRIIMTI TEKSTAI</w:t>
      </w:r>
    </w:p>
    <w:p w14:paraId="799BBE50" w14:textId="77777777" w:rsidR="00D058B8" w:rsidRPr="003C3DA6" w:rsidRDefault="00D058B8" w:rsidP="00D058B8">
      <w:pPr>
        <w:pStyle w:val="LineBottom"/>
      </w:pPr>
    </w:p>
    <w:p w14:paraId="6735FFCA" w14:textId="1CCEB2DF" w:rsidR="003A6D10" w:rsidRPr="003C3DA6" w:rsidRDefault="003A6D10" w:rsidP="003A6D10">
      <w:pPr>
        <w:pStyle w:val="ATHeading1"/>
      </w:pPr>
      <w:bookmarkStart w:id="0" w:name="TANumber"/>
      <w:r w:rsidRPr="003C3DA6">
        <w:t>P10_TA(2025)0</w:t>
      </w:r>
      <w:r w:rsidR="00E15C6B">
        <w:t>293</w:t>
      </w:r>
      <w:bookmarkEnd w:id="0"/>
    </w:p>
    <w:p w14:paraId="2150436E" w14:textId="77777777" w:rsidR="003A6D10" w:rsidRPr="003C3DA6" w:rsidRDefault="003A6D10" w:rsidP="003A6D10">
      <w:pPr>
        <w:pStyle w:val="ATHeading2"/>
      </w:pPr>
      <w:bookmarkStart w:id="1" w:name="title"/>
      <w:r w:rsidRPr="003C3DA6">
        <w:t>Taisomojo biudžeto Nr. 3/2025 projektas: mokėjimų asignavimų patikslinimas, pajamų atnaujinimas ir kiti techniniai atnaujinimai</w:t>
      </w:r>
      <w:bookmarkEnd w:id="1"/>
    </w:p>
    <w:p w14:paraId="2563F372" w14:textId="77777777" w:rsidR="003A6D10" w:rsidRPr="003C3DA6" w:rsidRDefault="003A6D10" w:rsidP="003A6D10">
      <w:pPr>
        <w:rPr>
          <w:i/>
          <w:vanish/>
        </w:rPr>
      </w:pPr>
      <w:r w:rsidRPr="003C3DA6">
        <w:rPr>
          <w:i/>
        </w:rPr>
        <w:fldChar w:fldCharType="begin"/>
      </w:r>
      <w:r w:rsidRPr="003C3DA6">
        <w:rPr>
          <w:i/>
        </w:rPr>
        <w:instrText xml:space="preserve"> TC"(</w:instrText>
      </w:r>
      <w:bookmarkStart w:id="2" w:name="DocNumber"/>
      <w:r w:rsidRPr="003C3DA6">
        <w:rPr>
          <w:i/>
        </w:rPr>
        <w:instrText>A10-0237/2025</w:instrText>
      </w:r>
      <w:bookmarkEnd w:id="2"/>
      <w:r w:rsidRPr="003C3DA6">
        <w:rPr>
          <w:i/>
        </w:rPr>
        <w:instrText xml:space="preserve"> - Pranešėjas: Victor Negrescu)"\l3 \n&gt; \* MERGEFORMAT </w:instrText>
      </w:r>
      <w:r w:rsidRPr="003C3DA6">
        <w:rPr>
          <w:i/>
        </w:rPr>
        <w:fldChar w:fldCharType="end"/>
      </w:r>
    </w:p>
    <w:p w14:paraId="35FBA1C4" w14:textId="77777777" w:rsidR="003A6D10" w:rsidRPr="003C3DA6" w:rsidRDefault="003A6D10" w:rsidP="003A6D10">
      <w:pPr>
        <w:rPr>
          <w:vanish/>
        </w:rPr>
      </w:pPr>
      <w:bookmarkStart w:id="3" w:name="Commission"/>
      <w:r w:rsidRPr="003C3DA6">
        <w:rPr>
          <w:vanish/>
        </w:rPr>
        <w:t>Biudžeto komitetas</w:t>
      </w:r>
      <w:bookmarkEnd w:id="3"/>
    </w:p>
    <w:p w14:paraId="45CBBFC2" w14:textId="77777777" w:rsidR="003A6D10" w:rsidRPr="003C3DA6" w:rsidRDefault="003A6D10" w:rsidP="003A6D10">
      <w:pPr>
        <w:rPr>
          <w:vanish/>
        </w:rPr>
      </w:pPr>
      <w:bookmarkStart w:id="4" w:name="PE"/>
      <w:r w:rsidRPr="003C3DA6">
        <w:rPr>
          <w:vanish/>
        </w:rPr>
        <w:t>PE778.228</w:t>
      </w:r>
      <w:bookmarkEnd w:id="4"/>
    </w:p>
    <w:p w14:paraId="368464CB" w14:textId="06834E8D" w:rsidR="003A6D10" w:rsidRPr="003C3DA6" w:rsidRDefault="003A6D10" w:rsidP="005E415D">
      <w:pPr>
        <w:pStyle w:val="ATHeading3"/>
      </w:pPr>
      <w:bookmarkStart w:id="5" w:name="Sujet"/>
      <w:r w:rsidRPr="003C3DA6">
        <w:t xml:space="preserve">2025 m. </w:t>
      </w:r>
      <w:r w:rsidR="00005D57" w:rsidRPr="003C3DA6">
        <w:t>lapkričio</w:t>
      </w:r>
      <w:r w:rsidRPr="003C3DA6">
        <w:t xml:space="preserve"> 26 d. Europos Parlamento rezoliucija dėl Tarybos pozicijos dėl 2025 </w:t>
      </w:r>
      <w:r w:rsidR="00851221" w:rsidRPr="00851221">
        <w:t xml:space="preserve">m. bendrojo biudžeto </w:t>
      </w:r>
      <w:r w:rsidRPr="003C3DA6">
        <w:t>taisomojo biudžeto Nr. 3/2025 projekto – Mokėjimų asignavimų patikslinimas, pajamų atnaujinimas ir kiti techniniai atnaujinimai</w:t>
      </w:r>
      <w:bookmarkEnd w:id="5"/>
      <w:r w:rsidRPr="003C3DA6">
        <w:t xml:space="preserve"> </w:t>
      </w:r>
      <w:bookmarkStart w:id="6" w:name="References"/>
      <w:r w:rsidRPr="003C3DA6">
        <w:t>(</w:t>
      </w:r>
      <w:r w:rsidR="001C3D92" w:rsidRPr="001C3D92">
        <w:t>14878</w:t>
      </w:r>
      <w:r w:rsidRPr="003C3DA6">
        <w:t>/2025 – C10-</w:t>
      </w:r>
      <w:r w:rsidR="001C3D92" w:rsidRPr="001C3D92">
        <w:t>0301</w:t>
      </w:r>
      <w:r w:rsidRPr="003C3DA6">
        <w:t>/2025 – 2025/0319(BUD))</w:t>
      </w:r>
      <w:bookmarkEnd w:id="6"/>
    </w:p>
    <w:p w14:paraId="438C76FB" w14:textId="77777777" w:rsidR="005C5AF1" w:rsidRPr="003C3DA6" w:rsidRDefault="005C5AF1" w:rsidP="005C5AF1">
      <w:pPr>
        <w:pStyle w:val="EPComma"/>
      </w:pPr>
      <w:bookmarkStart w:id="7" w:name="TextBodyBegin"/>
      <w:bookmarkEnd w:id="7"/>
      <w:r w:rsidRPr="003C3DA6">
        <w:rPr>
          <w:i/>
        </w:rPr>
        <w:t>Europos Parlamentas</w:t>
      </w:r>
      <w:r w:rsidRPr="003C3DA6">
        <w:t>,</w:t>
      </w:r>
    </w:p>
    <w:p w14:paraId="7EBD631B" w14:textId="77777777" w:rsidR="005C5AF1" w:rsidRPr="003C3DA6" w:rsidRDefault="005C5AF1" w:rsidP="005C5AF1">
      <w:pPr>
        <w:pStyle w:val="NormalHanging12a"/>
      </w:pPr>
      <w:r w:rsidRPr="003C3DA6">
        <w:t>–</w:t>
      </w:r>
      <w:r w:rsidRPr="003C3DA6">
        <w:tab/>
        <w:t>atsižvelgdamas į Sutarties dėl Europos Sąjungos veikimo 314 straipsnį,</w:t>
      </w:r>
    </w:p>
    <w:p w14:paraId="42900C01" w14:textId="77777777" w:rsidR="005C5AF1" w:rsidRPr="003C3DA6" w:rsidRDefault="005C5AF1" w:rsidP="005C5AF1">
      <w:pPr>
        <w:pStyle w:val="NormalHanging12a"/>
      </w:pPr>
      <w:r w:rsidRPr="003C3DA6">
        <w:t>–</w:t>
      </w:r>
      <w:r w:rsidRPr="003C3DA6">
        <w:tab/>
        <w:t>atsižvelgdamas į Europos atominės energijos bendrijos steigimo sutarties 106a straipsnį,</w:t>
      </w:r>
    </w:p>
    <w:p w14:paraId="2B294C52" w14:textId="77777777" w:rsidR="005C5AF1" w:rsidRPr="003C3DA6" w:rsidRDefault="005C5AF1" w:rsidP="005C5AF1">
      <w:pPr>
        <w:pStyle w:val="NormalHanging12a"/>
      </w:pPr>
      <w:r w:rsidRPr="003C3DA6">
        <w:t>–</w:t>
      </w:r>
      <w:r w:rsidRPr="003C3DA6">
        <w:tab/>
        <w:t>atsižvelgdamas į 2024 m. rugsėjo 23 d. Europos Parlamento ir Tarybos reglamentą (ES, Euratomas) 2024/2509 dėl Sąjungos bendrajam biudžetui taikomų finansinių taisyklių</w:t>
      </w:r>
      <w:r w:rsidRPr="003C3DA6">
        <w:rPr>
          <w:rStyle w:val="FootnoteReference"/>
        </w:rPr>
        <w:footnoteReference w:id="1"/>
      </w:r>
      <w:r w:rsidRPr="003C3DA6">
        <w:t>, ypač į jo 44 straipsnį,</w:t>
      </w:r>
    </w:p>
    <w:p w14:paraId="6A61A3FA" w14:textId="77777777" w:rsidR="005C5AF1" w:rsidRPr="003C3DA6" w:rsidRDefault="005C5AF1" w:rsidP="005C5AF1">
      <w:pPr>
        <w:pStyle w:val="NormalHanging12a"/>
      </w:pPr>
      <w:r w:rsidRPr="003C3DA6">
        <w:t>–</w:t>
      </w:r>
      <w:r w:rsidRPr="003C3DA6">
        <w:tab/>
        <w:t>atsižvelgdamas į 2025 finansinių metų Europos Sąjungos bendrąjį biudžetą, kuris buvo galutinai priimtas 2024 m. lapkričio 27 d.</w:t>
      </w:r>
      <w:r w:rsidRPr="003C3DA6">
        <w:rPr>
          <w:rStyle w:val="FootnoteReference"/>
        </w:rPr>
        <w:footnoteReference w:id="2"/>
      </w:r>
      <w:r w:rsidRPr="003C3DA6">
        <w:t>,</w:t>
      </w:r>
    </w:p>
    <w:p w14:paraId="3EDCA4E2" w14:textId="77777777" w:rsidR="005C5AF1" w:rsidRPr="003C3DA6" w:rsidRDefault="005C5AF1" w:rsidP="005C5AF1">
      <w:pPr>
        <w:pStyle w:val="NormalHanging12a"/>
      </w:pPr>
      <w:r w:rsidRPr="003C3DA6">
        <w:t>–</w:t>
      </w:r>
      <w:r w:rsidRPr="003C3DA6">
        <w:tab/>
        <w:t>atsižvelgdamas į 2020 m. gruodžio 17 d. Tarybos reglamentą (ES, Euratomas) 2020/2093, kuriuo nustatoma 2021–2027 m. daugiametė finansinė programa</w:t>
      </w:r>
      <w:r w:rsidRPr="003C3DA6">
        <w:rPr>
          <w:rStyle w:val="FootnoteReference"/>
        </w:rPr>
        <w:footnoteReference w:id="3"/>
      </w:r>
      <w:r w:rsidRPr="003C3DA6">
        <w:t>,</w:t>
      </w:r>
    </w:p>
    <w:p w14:paraId="31AE3DA1" w14:textId="77777777" w:rsidR="005C5AF1" w:rsidRPr="003C3DA6" w:rsidRDefault="005C5AF1" w:rsidP="005C5AF1">
      <w:pPr>
        <w:pStyle w:val="NormalHanging12a"/>
      </w:pPr>
      <w:r w:rsidRPr="003C3DA6">
        <w:t>–</w:t>
      </w:r>
      <w:r w:rsidRPr="003C3DA6">
        <w:tab/>
        <w:t>atsižvelgdamas į 2020 m. gruodžio 16 d. Europos Parlamento, Europos Sąjungos Tarybos ir Europos Komisijos tarpinstitucinį susitarimą dėl biudžetinės drausmės, bendradarbiavimo biudžeto klausimais ir patikimo finansų valdymo, taip pat dėl naujų nuosavų išteklių, įskaitant veiksmų gaires dėl naujų nuosavų išteklių nustatymo</w:t>
      </w:r>
      <w:r w:rsidRPr="003C3DA6">
        <w:rPr>
          <w:rStyle w:val="FootnoteReference"/>
        </w:rPr>
        <w:footnoteReference w:id="4"/>
      </w:r>
      <w:r w:rsidRPr="003C3DA6">
        <w:t xml:space="preserve"> (TIS),</w:t>
      </w:r>
    </w:p>
    <w:p w14:paraId="047F26EE" w14:textId="77777777" w:rsidR="005C5AF1" w:rsidRPr="003C3DA6" w:rsidRDefault="005C5AF1" w:rsidP="005C5AF1">
      <w:pPr>
        <w:pStyle w:val="NormalHanging12a"/>
      </w:pPr>
      <w:r w:rsidRPr="003C3DA6">
        <w:t>–</w:t>
      </w:r>
      <w:r w:rsidRPr="003C3DA6">
        <w:tab/>
        <w:t xml:space="preserve">atsižvelgdamas į 2020 m. gruodžio 14 d. Tarybos sprendimą (ES, Euratomas) 2020/2053 ES dėl Europos Sąjungos nuosavų išteklių sistemos, kuriuo panaikinamas </w:t>
      </w:r>
      <w:r w:rsidRPr="003C3DA6">
        <w:lastRenderedPageBreak/>
        <w:t>Sprendimas 2014/335/ES, Euratomas</w:t>
      </w:r>
      <w:r w:rsidRPr="003C3DA6">
        <w:rPr>
          <w:rStyle w:val="FootnoteReference"/>
        </w:rPr>
        <w:footnoteReference w:id="5"/>
      </w:r>
      <w:r w:rsidRPr="003C3DA6">
        <w:t>,</w:t>
      </w:r>
    </w:p>
    <w:p w14:paraId="1D0518FB" w14:textId="77777777" w:rsidR="005C5AF1" w:rsidRPr="003C3DA6" w:rsidRDefault="005C5AF1" w:rsidP="005C5AF1">
      <w:pPr>
        <w:pStyle w:val="NormalHanging12a"/>
      </w:pPr>
      <w:r w:rsidRPr="003C3DA6">
        <w:t>–</w:t>
      </w:r>
      <w:r w:rsidRPr="003C3DA6">
        <w:tab/>
        <w:t>atsižvelgdamas į Taisomojo biudžeto Nr. 3/2025 projektą, kurį Komisija priėmė 2025 m. spalio 3 d. (COM(2025)0850),</w:t>
      </w:r>
    </w:p>
    <w:p w14:paraId="679C2894" w14:textId="77777777" w:rsidR="005C5AF1" w:rsidRPr="003C3DA6" w:rsidRDefault="005C5AF1" w:rsidP="005C5AF1">
      <w:pPr>
        <w:pStyle w:val="NormalHanging12a"/>
      </w:pPr>
      <w:r w:rsidRPr="003C3DA6">
        <w:t>–</w:t>
      </w:r>
      <w:r w:rsidRPr="003C3DA6">
        <w:tab/>
        <w:t>atsižvelgdamas į 2025 m. lapkričio 17 d. priimtą ir tą pačią dieną Europos Parlamentui perduotą Tarybos poziciją dėl Taisomojo biudžeto Nr. 3/2025 projekto (14878/2025 – C10-0301/2025),</w:t>
      </w:r>
    </w:p>
    <w:p w14:paraId="6CCD95F9" w14:textId="77777777" w:rsidR="005C5AF1" w:rsidRPr="003C3DA6" w:rsidRDefault="005C5AF1" w:rsidP="005C5AF1">
      <w:pPr>
        <w:pStyle w:val="NormalHanging12a"/>
      </w:pPr>
      <w:r w:rsidRPr="003C3DA6">
        <w:t>–</w:t>
      </w:r>
      <w:r w:rsidRPr="003C3DA6">
        <w:tab/>
        <w:t>atsižvelgdamas į Darbo tvarkos taisyklių 96 ir 98 straipsnius,</w:t>
      </w:r>
    </w:p>
    <w:p w14:paraId="25FF53FD" w14:textId="77777777" w:rsidR="005C5AF1" w:rsidRPr="003C3DA6" w:rsidRDefault="005C5AF1" w:rsidP="005C5AF1">
      <w:pPr>
        <w:pStyle w:val="NormalHanging12a"/>
      </w:pPr>
      <w:r w:rsidRPr="003C3DA6">
        <w:t>–</w:t>
      </w:r>
      <w:r w:rsidRPr="003C3DA6">
        <w:tab/>
        <w:t>atsižvelgdamas į Biudžeto komiteto pranešimą (A10-0237/2025),</w:t>
      </w:r>
    </w:p>
    <w:p w14:paraId="4F45E55B" w14:textId="77777777" w:rsidR="005C5AF1" w:rsidRPr="003C3DA6" w:rsidRDefault="005C5AF1" w:rsidP="005C5AF1">
      <w:pPr>
        <w:spacing w:after="240"/>
        <w:ind w:left="567" w:hanging="567"/>
        <w:rPr>
          <w:color w:val="000000"/>
        </w:rPr>
      </w:pPr>
      <w:r w:rsidRPr="003C3DA6">
        <w:rPr>
          <w:color w:val="000000"/>
        </w:rPr>
        <w:t>A.</w:t>
      </w:r>
      <w:r w:rsidRPr="003C3DA6">
        <w:rPr>
          <w:color w:val="000000"/>
        </w:rPr>
        <w:tab/>
        <w:t>kadangi Taisomojo biudžeto Nr. 3/2025 projekto tikslas – atnaujinti biudžeto pajamų dalį, kad būtų atsižvelgta į naujausius pokyčius, patikslinti biudžeto išlaidų dalį, susijusią su mokėjimų asignavimais, ir papildomai patikslinti biudžeto išlaidų dalį, susijusią su keliomis decentralizuotomis agentūromis;</w:t>
      </w:r>
    </w:p>
    <w:p w14:paraId="477CA2BC" w14:textId="77777777" w:rsidR="005C5AF1" w:rsidRPr="003C3DA6" w:rsidRDefault="005C5AF1" w:rsidP="005C5AF1">
      <w:pPr>
        <w:spacing w:after="240"/>
        <w:ind w:left="567" w:hanging="567"/>
        <w:rPr>
          <w:color w:val="000000"/>
        </w:rPr>
      </w:pPr>
      <w:r w:rsidRPr="003C3DA6">
        <w:rPr>
          <w:color w:val="000000"/>
        </w:rPr>
        <w:t>B.</w:t>
      </w:r>
      <w:r w:rsidRPr="003C3DA6">
        <w:rPr>
          <w:color w:val="000000"/>
        </w:rPr>
        <w:tab/>
        <w:t>kadangi, pagal Taisomojo biudžeto Nr. 3/2025 projektą išlaidos padidinamos grynąja 123,7 mln. EUR įsipareigojimų asignavimų ir 2,52 mlrd. EUR mokėjimų asignavimų suma;</w:t>
      </w:r>
    </w:p>
    <w:p w14:paraId="137BD580" w14:textId="77777777" w:rsidR="005C5AF1" w:rsidRPr="003C3DA6" w:rsidRDefault="005C5AF1" w:rsidP="005C5AF1">
      <w:pPr>
        <w:spacing w:after="240"/>
        <w:ind w:left="567" w:hanging="567"/>
        <w:rPr>
          <w:color w:val="000000"/>
        </w:rPr>
      </w:pPr>
      <w:r w:rsidRPr="003C3DA6">
        <w:rPr>
          <w:color w:val="000000"/>
        </w:rPr>
        <w:t>C.</w:t>
      </w:r>
      <w:r w:rsidRPr="003C3DA6">
        <w:rPr>
          <w:color w:val="000000"/>
        </w:rPr>
        <w:tab/>
        <w:t>kadangi Taisomojo biudžeto Nr. 3/2025 projekte siūloma atlikti keletą patikslinimų, susijusių su decentralizuotų agentūrų finansavimu pagal įvairias išlaidų kategorijas;</w:t>
      </w:r>
    </w:p>
    <w:p w14:paraId="10BA42C1" w14:textId="77777777" w:rsidR="005C5AF1" w:rsidRPr="003C3DA6" w:rsidRDefault="005C5AF1" w:rsidP="005C5AF1">
      <w:pPr>
        <w:spacing w:after="240"/>
        <w:ind w:left="567" w:hanging="567"/>
        <w:rPr>
          <w:color w:val="000000"/>
        </w:rPr>
      </w:pPr>
      <w:r w:rsidRPr="003C3DA6">
        <w:rPr>
          <w:color w:val="000000"/>
        </w:rPr>
        <w:t>D.</w:t>
      </w:r>
      <w:r w:rsidRPr="003C3DA6">
        <w:rPr>
          <w:color w:val="000000"/>
        </w:rPr>
        <w:tab/>
        <w:t>kadangi, kalbant apie pajamas, pagal Taisomojo biudžeto Nr. 3/2025 projektą į 2025 m. biudžetą įtraukiamos galutinės baudos ir nuobaudos, sumokėtos iki 2025 m. rugsėjo mėn., kurių bendra suma sudaro 1,19 mlrd. EUR, taip pat 1,3 mlrd. EUR papildomų tradicinių nuosavų išteklių;</w:t>
      </w:r>
    </w:p>
    <w:p w14:paraId="549FA2E1" w14:textId="77777777" w:rsidR="005C5AF1" w:rsidRPr="003C3DA6" w:rsidRDefault="005C5AF1" w:rsidP="005C5AF1">
      <w:pPr>
        <w:spacing w:after="240"/>
        <w:ind w:left="567" w:hanging="567"/>
        <w:rPr>
          <w:color w:val="000000"/>
        </w:rPr>
      </w:pPr>
      <w:r w:rsidRPr="003C3DA6">
        <w:rPr>
          <w:color w:val="000000"/>
        </w:rPr>
        <w:t>E.</w:t>
      </w:r>
      <w:r w:rsidRPr="003C3DA6">
        <w:rPr>
          <w:color w:val="000000"/>
        </w:rPr>
        <w:tab/>
        <w:t>kadangi dėl šių patikslinimų mokėjimų poreikiams patenkinti reikia papildomų 31,9 mln. EUR BNP pagrįstų įnašų;</w:t>
      </w:r>
    </w:p>
    <w:p w14:paraId="0B38777F" w14:textId="77777777" w:rsidR="005C5AF1" w:rsidRPr="003C3DA6" w:rsidRDefault="005C5AF1" w:rsidP="005C5AF1">
      <w:pPr>
        <w:spacing w:after="240"/>
        <w:ind w:left="567" w:hanging="567"/>
        <w:rPr>
          <w:color w:val="000000"/>
        </w:rPr>
      </w:pPr>
      <w:r w:rsidRPr="003C3DA6">
        <w:rPr>
          <w:color w:val="000000"/>
        </w:rPr>
        <w:t>1.</w:t>
      </w:r>
      <w:r w:rsidRPr="003C3DA6">
        <w:rPr>
          <w:color w:val="000000"/>
        </w:rPr>
        <w:tab/>
        <w:t>atkreipia dėmesį į Komisijos pateiktą Taisomojo biudžeto Nr. 3/2025 projektą, ypač į bendrą labai mažą poveikį valstybių narių BNP pagrįstiems įnašams dėl didesnių mokėjimų poreikių ir papildomų pajamų srautų balanso;</w:t>
      </w:r>
    </w:p>
    <w:p w14:paraId="104CE9E1" w14:textId="77777777" w:rsidR="005C5AF1" w:rsidRPr="003C3DA6" w:rsidRDefault="005C5AF1" w:rsidP="005C5AF1">
      <w:pPr>
        <w:spacing w:after="240"/>
        <w:ind w:left="567" w:hanging="567"/>
        <w:rPr>
          <w:color w:val="000000"/>
        </w:rPr>
      </w:pPr>
      <w:r w:rsidRPr="003C3DA6">
        <w:rPr>
          <w:color w:val="000000"/>
        </w:rPr>
        <w:t>2.</w:t>
      </w:r>
      <w:r w:rsidRPr="003C3DA6">
        <w:rPr>
          <w:color w:val="000000"/>
        </w:rPr>
        <w:tab/>
        <w:t>palankiai vertina tai, kad Europos regioninės plėtros fondui (ERPF) numatyti mokėjimų asignavimai padidinti 2 mlrd. EUR, kartu su padidinta asignavimų bendrai žemės ūkio politikai suma atlikus šių metų bendrąjį perkėlimą (DEC 15/25), nes tai rodo, kad programos įgyvendinimas įgauna pagreitį po nerimą kėlusio lėto pradinio etapo 2021–2027 m. laikotarpiu; pabrėžia, kad struktūrinių fondų ir bendros žemės ūkio politikos (BŽŪP) asignavimų padidinimas atlieka labai svarbų vaidmenį išlaikant paramos žemės ūkiui schemų tęstinumą, užtikrinant apsirūpinimo maistu saugumą ir skatinant tvarią kaimo plėtrą; pažymi, kad šios priemonės yra ypač svarbios siekiant didinti žemės ūkio sektoriaus atsparumą ir išsaugoti socialinę ir ekonominę pusiausvyrą kaimo vietovėse; primena, kad šie finansavimo padidinimai papildo bendrojo perkėlimo (DEC 15/2025) metu atliktus mokėjimų asignavimų patikslinimus;</w:t>
      </w:r>
    </w:p>
    <w:p w14:paraId="71B50CB1" w14:textId="77777777" w:rsidR="005C5AF1" w:rsidRPr="003C3DA6" w:rsidRDefault="005C5AF1" w:rsidP="005C5AF1">
      <w:pPr>
        <w:spacing w:after="240"/>
        <w:ind w:left="567" w:hanging="567"/>
        <w:rPr>
          <w:color w:val="000000"/>
        </w:rPr>
      </w:pPr>
      <w:r w:rsidRPr="003C3DA6">
        <w:rPr>
          <w:color w:val="000000"/>
        </w:rPr>
        <w:t>3.</w:t>
      </w:r>
      <w:r w:rsidRPr="003C3DA6">
        <w:rPr>
          <w:color w:val="000000"/>
        </w:rPr>
        <w:tab/>
        <w:t xml:space="preserve">toliau primygtinai ragina sparčiau įgyvendinti priemones pagal ERPF, „Europos </w:t>
      </w:r>
      <w:r w:rsidRPr="003C3DA6">
        <w:rPr>
          <w:color w:val="000000"/>
        </w:rPr>
        <w:lastRenderedPageBreak/>
        <w:t xml:space="preserve">socialinį fondą +“ (ESF+) ir Sienų valdymo ir vizų politikos finansinės paramos priemonę; palankiai vertina greitesnį, nei tikėtasi, Europos strateginių technologijų platformos (STEP) diegimą; </w:t>
      </w:r>
      <w:r w:rsidRPr="003C3DA6">
        <w:t>tikisi, kad daugiau kaip 3 mlrd. EUR papildomų STEP mokėjimų bus greitai ir veiksmingai panaudoti konkretiems tikslams pagal atitinkamus pagrindinius teisės aktus įgyvendinti;</w:t>
      </w:r>
    </w:p>
    <w:p w14:paraId="49B4C5BB" w14:textId="77777777" w:rsidR="005C5AF1" w:rsidRPr="003C3DA6" w:rsidRDefault="005C5AF1" w:rsidP="005C5AF1">
      <w:pPr>
        <w:spacing w:after="240"/>
        <w:ind w:left="567" w:hanging="567"/>
        <w:rPr>
          <w:color w:val="000000"/>
        </w:rPr>
      </w:pPr>
      <w:r w:rsidRPr="003C3DA6">
        <w:rPr>
          <w:color w:val="000000"/>
        </w:rPr>
        <w:t>4.</w:t>
      </w:r>
      <w:r w:rsidRPr="003C3DA6">
        <w:rPr>
          <w:color w:val="000000"/>
        </w:rPr>
        <w:tab/>
        <w:t>atkreipia dėmesį į naujausią padėtį, susijusią su tausios žvejybos partnerystės susitarimais, ir palankiai vertina tai, kad, laikydamasi atitinkamų TIS nuostatų, biudžeto valdymo institucija atlieka aktyvų vaidmenį leidžiant panaudoti į rezervą įrašytus asignavimus, atsižvelgiant į atitinkamų tarptautinių įgyvendinimo protokolų įsigaliojimą ir taikymą;</w:t>
      </w:r>
    </w:p>
    <w:p w14:paraId="37127246" w14:textId="77777777" w:rsidR="005C5AF1" w:rsidRPr="003C3DA6" w:rsidRDefault="005C5AF1" w:rsidP="005C5AF1">
      <w:pPr>
        <w:spacing w:after="240"/>
        <w:ind w:left="567" w:hanging="567"/>
        <w:rPr>
          <w:color w:val="000000"/>
        </w:rPr>
      </w:pPr>
      <w:r w:rsidRPr="003C3DA6">
        <w:rPr>
          <w:color w:val="000000"/>
        </w:rPr>
        <w:t>5.</w:t>
      </w:r>
      <w:r w:rsidRPr="003C3DA6">
        <w:rPr>
          <w:color w:val="000000"/>
        </w:rPr>
        <w:tab/>
        <w:t>apgailestauja dėl to, kad sumažėjo Muitinio tikrinimo įrangos finansavimo priemonei skirta įsipareigojimų (78 mln. EUR) ir mokėjimų (48 mln. EUR) suma dėl vėlavimo ją įgyvendinti valstybėse narėse tuo metu, kai bendradarbiavimas ir investicijos šioje srityje turėtų klestėti;</w:t>
      </w:r>
    </w:p>
    <w:p w14:paraId="59B6AB04" w14:textId="77777777" w:rsidR="005C5AF1" w:rsidRPr="003C3DA6" w:rsidRDefault="005C5AF1" w:rsidP="005C5AF1">
      <w:pPr>
        <w:spacing w:after="240"/>
        <w:ind w:left="567" w:hanging="567"/>
        <w:rPr>
          <w:color w:val="000000"/>
        </w:rPr>
      </w:pPr>
      <w:r w:rsidRPr="003C3DA6">
        <w:rPr>
          <w:color w:val="000000"/>
        </w:rPr>
        <w:t>6.</w:t>
      </w:r>
      <w:r w:rsidRPr="003C3DA6">
        <w:rPr>
          <w:color w:val="000000"/>
        </w:rPr>
        <w:tab/>
        <w:t>palankiai vertina tai, kad dėl konkurencingų viešųjų pirkimų procedūrų padidėjus veiksmingumui, sutaupyta 5 mln. EUR įsipareigojimų asignavimų, numatytų techninės paramos priemonei finansuoti;</w:t>
      </w:r>
    </w:p>
    <w:p w14:paraId="4FCB8C26" w14:textId="77777777" w:rsidR="005C5AF1" w:rsidRPr="003C3DA6" w:rsidRDefault="005C5AF1" w:rsidP="005C5AF1">
      <w:pPr>
        <w:spacing w:after="240"/>
        <w:ind w:left="567" w:hanging="567"/>
        <w:rPr>
          <w:color w:val="000000"/>
        </w:rPr>
      </w:pPr>
      <w:r w:rsidRPr="003C3DA6">
        <w:rPr>
          <w:color w:val="000000"/>
        </w:rPr>
        <w:t>7.</w:t>
      </w:r>
      <w:r w:rsidRPr="003C3DA6">
        <w:rPr>
          <w:color w:val="000000"/>
        </w:rPr>
        <w:tab/>
      </w:r>
      <w:r w:rsidRPr="003C3DA6">
        <w:t>atkreipia dėmesį į reformų įgyvendinimo tempą ir atitinkamą mokėjimų pagal Ukrainos priemonę įsisavinimo sulėtėjimą;</w:t>
      </w:r>
      <w:r w:rsidRPr="003C3DA6">
        <w:rPr>
          <w:color w:val="000000"/>
        </w:rPr>
        <w:t xml:space="preserve"> </w:t>
      </w:r>
      <w:r w:rsidRPr="003C3DA6">
        <w:t>pripažįsta, kad dalis nepanaudotų asignavimų gali būti perkelta į kitus biudžetinius metus;</w:t>
      </w:r>
      <w:r w:rsidRPr="003C3DA6">
        <w:rPr>
          <w:color w:val="000000"/>
        </w:rPr>
        <w:t xml:space="preserve"> ragina visus susijusius subjektus daryti pažangą įgyvendinant su reformomis ir investicijomis susijusias priemones, pvz., finansavimo derinimo susitarimus;</w:t>
      </w:r>
    </w:p>
    <w:p w14:paraId="4ECC6386" w14:textId="77777777" w:rsidR="005C5AF1" w:rsidRPr="003C3DA6" w:rsidRDefault="005C5AF1" w:rsidP="005C5AF1">
      <w:pPr>
        <w:spacing w:after="240"/>
        <w:ind w:left="567" w:hanging="567"/>
        <w:rPr>
          <w:color w:val="000000"/>
        </w:rPr>
      </w:pPr>
      <w:r w:rsidRPr="003C3DA6">
        <w:rPr>
          <w:color w:val="000000"/>
        </w:rPr>
        <w:t>8.</w:t>
      </w:r>
      <w:r w:rsidRPr="003C3DA6">
        <w:rPr>
          <w:color w:val="000000"/>
        </w:rPr>
        <w:tab/>
        <w:t>atkreipia dėmesį į Sąjungos įnašų įvairioms decentralizuotoms agentūroms patikslinimus; mano, kad šie patikslinimai iš esmės yra techninio pobūdžio; palankiai vertina tai, kad juos atliekant optimizuojamas išteklių naudojimas pagal veiklos eilutes, pvz., pagal Aplinkos ir klimato politikos programą (LIFE), Prieglobsčio, migracijos ir integracijos fondą (PMIF) arba Bendrosios rinkos programą; vis dėlto apgailestauja, kad pagrindinė priežastis, dėl kurios įsipareigojimų ir mokėjimų asignavimai iš atitinkamų agentūrų eilučių grąžinami į susijusias programų eilutes, yra tai, kad vėluojama įdarbinti darbuotojus arba vėluojama įgyvendinti naujas politikos ir teisėkūros iniciatyvas, pvz., mažmeninių investicijų strategiją (kuri yra susijusi su Europos vertybinių popierių ir rinkų institucija (ESMA) ir Europos draudimo ir profesinių pensijų institucija (EIOPA)), Prieglobsčio ir migracijos paktą (kuris yra susijęs su Europos Sąjungos prieglobsčio agentūra (EUAA)), saugios laivybos dokumentų rinkinį (kuris yra susijęs su Europos jūrų saugumo agentūra (EMSA)) arba pasiūlymą dėl naujų genomikos metodų (kuris yra susijęs su Europos maisto saugos tarnyba (EFSA));</w:t>
      </w:r>
    </w:p>
    <w:p w14:paraId="1212DDBB" w14:textId="77777777" w:rsidR="005C5AF1" w:rsidRPr="003C3DA6" w:rsidRDefault="005C5AF1" w:rsidP="005C5AF1">
      <w:pPr>
        <w:spacing w:after="240"/>
        <w:ind w:left="567" w:hanging="567"/>
        <w:rPr>
          <w:color w:val="000000"/>
        </w:rPr>
      </w:pPr>
      <w:r w:rsidRPr="003C3DA6">
        <w:rPr>
          <w:color w:val="000000"/>
        </w:rPr>
        <w:t>9.</w:t>
      </w:r>
      <w:r w:rsidRPr="003C3DA6">
        <w:rPr>
          <w:color w:val="000000"/>
        </w:rPr>
        <w:tab/>
        <w:t xml:space="preserve">atsižvelgdamas į tai, pabrėžia ir pakartoja, kad tvirtai remia pagal persvarstytą kovos su pinigų plovimu sistemą Sąjungos lygmeniu naujai įsteigtą Kovos su pinigų plovimu instituciją (AMLA); </w:t>
      </w:r>
      <w:r w:rsidRPr="003C3DA6">
        <w:t>tebėra labai susirūpinęs dėl nuolatinio vėlavimo steigimo etapu, visų pirma kiek tai susiję su įdarbinimu, ir ragina paspartinti atitinkamus įdarbinimo procesus;</w:t>
      </w:r>
    </w:p>
    <w:p w14:paraId="78D0FE6F" w14:textId="083FFC3B" w:rsidR="005C5AF1" w:rsidRPr="003C3DA6" w:rsidRDefault="005E415D" w:rsidP="005C5AF1">
      <w:pPr>
        <w:spacing w:after="240"/>
        <w:ind w:left="567" w:hanging="567"/>
        <w:rPr>
          <w:color w:val="000000"/>
        </w:rPr>
      </w:pPr>
      <w:sdt>
        <w:sdtPr>
          <w:tag w:val="goog_rdk_19"/>
          <w:id w:val="599988960"/>
        </w:sdtPr>
        <w:sdtEndPr/>
        <w:sdtContent/>
      </w:sdt>
      <w:r w:rsidR="005C5AF1" w:rsidRPr="003C3DA6">
        <w:rPr>
          <w:color w:val="000000"/>
        </w:rPr>
        <w:t>10.</w:t>
      </w:r>
      <w:r w:rsidR="005C5AF1" w:rsidRPr="003C3DA6">
        <w:rPr>
          <w:color w:val="000000"/>
        </w:rPr>
        <w:tab/>
        <w:t xml:space="preserve">palankiai vertina tai, kad į biudžetą įtrauktos papildomos pajamos, gautos iš galutinių baudų ir nuobaudų, kurių vertė – 1 185,1 mln. EUR; mano, kad šios sumos yra tikri Sąjungos pajamų šaltiniai, dėl kurių mažėja valstybių narių BNP pagrįsti įnašai; </w:t>
      </w:r>
      <w:r w:rsidR="005C5AF1" w:rsidRPr="003C3DA6">
        <w:rPr>
          <w:color w:val="000000"/>
        </w:rPr>
        <w:lastRenderedPageBreak/>
        <w:t xml:space="preserve">atsižvelgdamas į tai primena, kad Komisija pasiūlė kito </w:t>
      </w:r>
      <w:r w:rsidR="001C3D92" w:rsidRPr="001C3D92">
        <w:rPr>
          <w:color w:val="000000"/>
        </w:rPr>
        <w:t xml:space="preserve">daugiametės finansinės programos </w:t>
      </w:r>
      <w:r w:rsidR="005C5AF1" w:rsidRPr="003C3DA6">
        <w:rPr>
          <w:color w:val="000000"/>
        </w:rPr>
        <w:t>laikotarpio pakeitimų, siekdama užtikrinti, kad tokios nenumatytos pajamos galėtų sudaryti papildomus išlaidų asignavimus;</w:t>
      </w:r>
    </w:p>
    <w:p w14:paraId="04BDEEAD" w14:textId="77777777" w:rsidR="005C5AF1" w:rsidRPr="003C3DA6" w:rsidRDefault="005C5AF1" w:rsidP="005C5AF1">
      <w:pPr>
        <w:spacing w:after="240"/>
        <w:ind w:left="567" w:hanging="567"/>
        <w:rPr>
          <w:color w:val="000000"/>
        </w:rPr>
      </w:pPr>
      <w:r w:rsidRPr="003C3DA6">
        <w:rPr>
          <w:color w:val="000000"/>
        </w:rPr>
        <w:t>11.</w:t>
      </w:r>
      <w:r w:rsidRPr="003C3DA6">
        <w:rPr>
          <w:color w:val="000000"/>
        </w:rPr>
        <w:tab/>
        <w:t>atkreipia dėmesį į pasiūlymą į biudžetą įtraukti 1 300 mln. EUR tradicinių nuosavų išteklių perteklių; reiškia abejones dėl iš muitų gaunamų pajamų daugkartinio atnaujinimo per biudžetinius metus naudos, ypač neatsižvelgiant į metinį taisomąjį biudžetą, skirtą pajamų dalies atnaujinimui ir sureguliavimui;</w:t>
      </w:r>
    </w:p>
    <w:p w14:paraId="057A0A30" w14:textId="77777777" w:rsidR="005C5AF1" w:rsidRPr="003C3DA6" w:rsidRDefault="005C5AF1" w:rsidP="005C5AF1">
      <w:pPr>
        <w:spacing w:after="240"/>
        <w:ind w:left="567" w:hanging="567"/>
        <w:rPr>
          <w:color w:val="000000"/>
        </w:rPr>
      </w:pPr>
      <w:r w:rsidRPr="003C3DA6">
        <w:t>12.</w:t>
      </w:r>
      <w:r w:rsidRPr="003C3DA6">
        <w:tab/>
        <w:t>atkreipia dėmesį į 2025 m. darbo užmokesčio koregavimų atnaujinimą ir sutinka įtraukti šių koregavimų poveikį biudžetui kaip techninį pakeitimą į Taisomojo biudžeto Nr. 3/2025 projektą; pažymi, kad tai reiškia, jog atitinkamų 7 išlaidų kategorijos biudžeto eilučių ir skirsnių nediferencijuotieji asignavimai iš viso sumažinami 78,8 mln. EUR suma;</w:t>
      </w:r>
    </w:p>
    <w:p w14:paraId="35E594C7" w14:textId="77777777" w:rsidR="005C5AF1" w:rsidRPr="003C3DA6" w:rsidRDefault="005C5AF1" w:rsidP="005C5AF1">
      <w:pPr>
        <w:spacing w:after="240"/>
        <w:ind w:left="567" w:hanging="567"/>
        <w:rPr>
          <w:color w:val="000000"/>
        </w:rPr>
      </w:pPr>
      <w:r w:rsidRPr="003C3DA6">
        <w:rPr>
          <w:color w:val="000000"/>
        </w:rPr>
        <w:t>13.</w:t>
      </w:r>
      <w:r w:rsidRPr="003C3DA6">
        <w:rPr>
          <w:color w:val="000000"/>
        </w:rPr>
        <w:tab/>
        <w:t>pritaria Tarybos pozicijai dėl Taisomojo biudžeto Nr. 3/2025 projekto;</w:t>
      </w:r>
    </w:p>
    <w:p w14:paraId="438958C1" w14:textId="77777777" w:rsidR="005C5AF1" w:rsidRPr="003C3DA6" w:rsidRDefault="005C5AF1" w:rsidP="005C5AF1">
      <w:pPr>
        <w:spacing w:after="240"/>
        <w:ind w:left="567" w:hanging="567"/>
        <w:rPr>
          <w:color w:val="000000"/>
        </w:rPr>
      </w:pPr>
      <w:r w:rsidRPr="003C3DA6">
        <w:rPr>
          <w:color w:val="000000"/>
        </w:rPr>
        <w:t>14.</w:t>
      </w:r>
      <w:r w:rsidRPr="003C3DA6">
        <w:rPr>
          <w:color w:val="000000"/>
        </w:rPr>
        <w:tab/>
        <w:t xml:space="preserve">paveda Pirmininkei paskelbti, kad Taisomasis biudžetas Nr. 3/2025 yra galutinai priimtas, ir pasirūpinti, kad jis būtų paskelbtas </w:t>
      </w:r>
      <w:r w:rsidRPr="003C3DA6">
        <w:rPr>
          <w:i/>
          <w:color w:val="000000"/>
        </w:rPr>
        <w:t>Europos Sąjungos oficialiajame leidinyje</w:t>
      </w:r>
      <w:r w:rsidRPr="003C3DA6">
        <w:rPr>
          <w:color w:val="000000"/>
        </w:rPr>
        <w:t>;</w:t>
      </w:r>
    </w:p>
    <w:p w14:paraId="071EC260" w14:textId="29643AF9" w:rsidR="003C3DA6" w:rsidRPr="003C3DA6" w:rsidRDefault="005C5AF1" w:rsidP="003C3DA6">
      <w:pPr>
        <w:spacing w:after="240"/>
        <w:ind w:left="567" w:hanging="567"/>
      </w:pPr>
      <w:r w:rsidRPr="003C3DA6">
        <w:rPr>
          <w:color w:val="000000"/>
        </w:rPr>
        <w:t>15.</w:t>
      </w:r>
      <w:r w:rsidRPr="003C3DA6">
        <w:rPr>
          <w:color w:val="000000"/>
        </w:rPr>
        <w:tab/>
        <w:t>paveda Pirmininkei perduoti šią rezoliuciją Tarybai, Komisijai ir nacionaliniams parlamentams.</w:t>
      </w:r>
    </w:p>
    <w:p w14:paraId="0B9E1B29" w14:textId="2DBA14FB" w:rsidR="00E365E1" w:rsidRPr="003C3DA6" w:rsidRDefault="00E365E1" w:rsidP="003A6D10"/>
    <w:sectPr w:rsidR="00E365E1" w:rsidRPr="003C3DA6" w:rsidSect="003C3DA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BB4FE" w14:textId="77777777" w:rsidR="003A6D10" w:rsidRPr="003C3DA6" w:rsidRDefault="003A6D10">
      <w:r w:rsidRPr="003C3DA6">
        <w:separator/>
      </w:r>
    </w:p>
  </w:endnote>
  <w:endnote w:type="continuationSeparator" w:id="0">
    <w:p w14:paraId="4D4A4E7D" w14:textId="77777777" w:rsidR="003A6D10" w:rsidRPr="003C3DA6" w:rsidRDefault="003A6D10">
      <w:r w:rsidRPr="003C3D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C1341" w14:textId="77777777" w:rsidR="00064002" w:rsidRPr="003C3DA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6FDD6" w14:textId="77777777" w:rsidR="00064002" w:rsidRPr="003C3DA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7BD9C" w14:textId="77777777" w:rsidR="00064002" w:rsidRPr="003C3DA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C656B" w14:textId="77777777" w:rsidR="003A6D10" w:rsidRPr="003C3DA6" w:rsidRDefault="003A6D10">
      <w:r w:rsidRPr="003C3DA6">
        <w:separator/>
      </w:r>
    </w:p>
  </w:footnote>
  <w:footnote w:type="continuationSeparator" w:id="0">
    <w:p w14:paraId="0D06F90C" w14:textId="77777777" w:rsidR="003A6D10" w:rsidRPr="003C3DA6" w:rsidRDefault="003A6D10">
      <w:r w:rsidRPr="003C3DA6">
        <w:continuationSeparator/>
      </w:r>
    </w:p>
  </w:footnote>
  <w:footnote w:id="1">
    <w:p w14:paraId="067B3D01" w14:textId="6F536E8F" w:rsidR="005C5AF1" w:rsidRPr="003C3DA6" w:rsidRDefault="005C5AF1" w:rsidP="003C3DA6">
      <w:pPr>
        <w:pStyle w:val="FootnoteText"/>
        <w:ind w:left="567" w:hanging="567"/>
        <w:rPr>
          <w:sz w:val="24"/>
          <w:lang w:val="lt-LT"/>
        </w:rPr>
      </w:pPr>
      <w:r w:rsidRPr="003C3DA6">
        <w:rPr>
          <w:rStyle w:val="FootnoteReference"/>
          <w:sz w:val="24"/>
          <w:lang w:val="lt-LT"/>
        </w:rPr>
        <w:footnoteRef/>
      </w:r>
      <w:r w:rsidR="003C3DA6" w:rsidRPr="003C3DA6">
        <w:rPr>
          <w:sz w:val="24"/>
          <w:lang w:val="lt-LT"/>
        </w:rPr>
        <w:t xml:space="preserve"> </w:t>
      </w:r>
      <w:r w:rsidR="003C3DA6" w:rsidRPr="003C3DA6">
        <w:rPr>
          <w:sz w:val="24"/>
          <w:lang w:val="lt-LT"/>
        </w:rPr>
        <w:tab/>
      </w:r>
      <w:r w:rsidRPr="003C3DA6">
        <w:rPr>
          <w:sz w:val="24"/>
          <w:lang w:val="lt-LT"/>
        </w:rPr>
        <w:t xml:space="preserve">OL L, 2024/2509, 2024 9 26, ELI: </w:t>
      </w:r>
      <w:hyperlink r:id="rId1" w:history="1">
        <w:r w:rsidRPr="003C3DA6">
          <w:rPr>
            <w:rStyle w:val="Hyperlink"/>
            <w:sz w:val="24"/>
            <w:lang w:val="lt-LT"/>
          </w:rPr>
          <w:t>http://data.europa.eu/eli/reg/2024/2509/oj</w:t>
        </w:r>
      </w:hyperlink>
      <w:r w:rsidRPr="003C3DA6">
        <w:rPr>
          <w:sz w:val="24"/>
          <w:lang w:val="lt-LT"/>
        </w:rPr>
        <w:t>.</w:t>
      </w:r>
    </w:p>
  </w:footnote>
  <w:footnote w:id="2">
    <w:p w14:paraId="40E00D54" w14:textId="20DD4BAE" w:rsidR="005C5AF1" w:rsidRPr="003C3DA6" w:rsidRDefault="005C5AF1" w:rsidP="003C3DA6">
      <w:pPr>
        <w:pStyle w:val="FootnoteText"/>
        <w:ind w:left="567" w:hanging="567"/>
        <w:rPr>
          <w:sz w:val="24"/>
          <w:lang w:val="lt-LT"/>
        </w:rPr>
      </w:pPr>
      <w:r w:rsidRPr="003C3DA6">
        <w:rPr>
          <w:rStyle w:val="FootnoteReference"/>
          <w:sz w:val="24"/>
          <w:lang w:val="lt-LT"/>
        </w:rPr>
        <w:footnoteRef/>
      </w:r>
      <w:r w:rsidR="003C3DA6" w:rsidRPr="003C3DA6">
        <w:rPr>
          <w:sz w:val="24"/>
          <w:lang w:val="lt-LT"/>
        </w:rPr>
        <w:t xml:space="preserve"> </w:t>
      </w:r>
      <w:r w:rsidR="003C3DA6" w:rsidRPr="003C3DA6">
        <w:rPr>
          <w:sz w:val="24"/>
          <w:lang w:val="lt-LT"/>
        </w:rPr>
        <w:tab/>
      </w:r>
      <w:r w:rsidRPr="003C3DA6">
        <w:rPr>
          <w:sz w:val="24"/>
          <w:lang w:val="lt-LT"/>
        </w:rPr>
        <w:t xml:space="preserve">OL L, 2025/31, 2025 2 27, ELI: </w:t>
      </w:r>
      <w:hyperlink r:id="rId2" w:history="1">
        <w:r w:rsidRPr="003C3DA6">
          <w:rPr>
            <w:rStyle w:val="Hyperlink"/>
            <w:sz w:val="24"/>
            <w:lang w:val="lt-LT"/>
          </w:rPr>
          <w:t>http://data.europa.eu/eli/budget/2025/31/oj</w:t>
        </w:r>
      </w:hyperlink>
      <w:r w:rsidRPr="003C3DA6">
        <w:rPr>
          <w:rStyle w:val="Hyperlink"/>
          <w:sz w:val="24"/>
          <w:lang w:val="lt-LT"/>
        </w:rPr>
        <w:t>.</w:t>
      </w:r>
    </w:p>
  </w:footnote>
  <w:footnote w:id="3">
    <w:p w14:paraId="6E6C31AB" w14:textId="5E7AAEB1" w:rsidR="005C5AF1" w:rsidRPr="003C3DA6" w:rsidRDefault="005C5AF1" w:rsidP="003C3DA6">
      <w:pPr>
        <w:pStyle w:val="FootnoteText"/>
        <w:ind w:left="567" w:hanging="567"/>
        <w:rPr>
          <w:sz w:val="24"/>
          <w:lang w:val="lt-LT"/>
        </w:rPr>
      </w:pPr>
      <w:r w:rsidRPr="003C3DA6">
        <w:rPr>
          <w:rStyle w:val="FootnoteReference"/>
          <w:sz w:val="24"/>
          <w:lang w:val="lt-LT"/>
        </w:rPr>
        <w:footnoteRef/>
      </w:r>
      <w:r w:rsidR="003C3DA6" w:rsidRPr="003C3DA6">
        <w:rPr>
          <w:sz w:val="24"/>
          <w:lang w:val="lt-LT"/>
        </w:rPr>
        <w:t xml:space="preserve"> </w:t>
      </w:r>
      <w:r w:rsidR="003C3DA6" w:rsidRPr="003C3DA6">
        <w:rPr>
          <w:sz w:val="24"/>
          <w:lang w:val="lt-LT"/>
        </w:rPr>
        <w:tab/>
      </w:r>
      <w:r w:rsidRPr="003C3DA6">
        <w:rPr>
          <w:sz w:val="24"/>
          <w:lang w:val="lt-LT"/>
        </w:rPr>
        <w:t>OL L 433 I, 2020 12 22, p. </w:t>
      </w:r>
      <w:r w:rsidRPr="003C3DA6">
        <w:rPr>
          <w:sz w:val="24"/>
          <w:lang w:val="lt-LT"/>
        </w:rPr>
        <w:t xml:space="preserve">11, ELI: </w:t>
      </w:r>
      <w:hyperlink r:id="rId3" w:history="1">
        <w:r w:rsidRPr="003C3DA6">
          <w:rPr>
            <w:rStyle w:val="Hyperlink"/>
            <w:sz w:val="24"/>
            <w:lang w:val="lt-LT"/>
          </w:rPr>
          <w:t>http://data.europa.eu/eli/reg/2020/433/oj</w:t>
        </w:r>
      </w:hyperlink>
      <w:r w:rsidRPr="003C3DA6">
        <w:rPr>
          <w:sz w:val="24"/>
          <w:lang w:val="lt-LT"/>
        </w:rPr>
        <w:t>.</w:t>
      </w:r>
    </w:p>
  </w:footnote>
  <w:footnote w:id="4">
    <w:p w14:paraId="47BA6B60" w14:textId="65F81743" w:rsidR="005C5AF1" w:rsidRPr="003C3DA6" w:rsidRDefault="005C5AF1" w:rsidP="003C3DA6">
      <w:pPr>
        <w:pStyle w:val="FootnoteText"/>
        <w:ind w:left="567" w:hanging="567"/>
        <w:rPr>
          <w:sz w:val="24"/>
          <w:lang w:val="lt-LT"/>
        </w:rPr>
      </w:pPr>
      <w:r w:rsidRPr="003C3DA6">
        <w:rPr>
          <w:rStyle w:val="FootnoteReference"/>
          <w:sz w:val="24"/>
          <w:lang w:val="lt-LT"/>
        </w:rPr>
        <w:footnoteRef/>
      </w:r>
      <w:r w:rsidR="003C3DA6" w:rsidRPr="003C3DA6">
        <w:rPr>
          <w:sz w:val="24"/>
          <w:lang w:val="lt-LT"/>
        </w:rPr>
        <w:t xml:space="preserve"> </w:t>
      </w:r>
      <w:r w:rsidR="003C3DA6" w:rsidRPr="003C3DA6">
        <w:rPr>
          <w:sz w:val="24"/>
          <w:lang w:val="lt-LT"/>
        </w:rPr>
        <w:tab/>
      </w:r>
      <w:r w:rsidRPr="003C3DA6">
        <w:rPr>
          <w:sz w:val="24"/>
          <w:lang w:val="lt-LT"/>
        </w:rPr>
        <w:t>OL L 433 I, 2020 12 22, p. </w:t>
      </w:r>
      <w:r w:rsidRPr="003C3DA6">
        <w:rPr>
          <w:sz w:val="24"/>
          <w:lang w:val="lt-LT"/>
        </w:rPr>
        <w:t xml:space="preserve">28, ELI: </w:t>
      </w:r>
      <w:hyperlink r:id="rId4" w:history="1">
        <w:r w:rsidRPr="003C3DA6">
          <w:rPr>
            <w:rStyle w:val="Hyperlink"/>
            <w:sz w:val="24"/>
            <w:lang w:val="lt-LT"/>
          </w:rPr>
          <w:t>http://data.europa.eu/eli/agree_interinstit/2020/1222/oj</w:t>
        </w:r>
      </w:hyperlink>
      <w:r w:rsidRPr="003C3DA6">
        <w:rPr>
          <w:sz w:val="24"/>
          <w:lang w:val="lt-LT"/>
        </w:rPr>
        <w:t>.</w:t>
      </w:r>
    </w:p>
  </w:footnote>
  <w:footnote w:id="5">
    <w:p w14:paraId="55B61E43" w14:textId="3CDBB889" w:rsidR="005C5AF1" w:rsidRPr="003C3DA6" w:rsidRDefault="005C5AF1" w:rsidP="003C3DA6">
      <w:pPr>
        <w:pStyle w:val="FootnoteText"/>
        <w:ind w:left="567" w:hanging="567"/>
        <w:rPr>
          <w:sz w:val="24"/>
          <w:lang w:val="lt-LT"/>
        </w:rPr>
      </w:pPr>
      <w:r w:rsidRPr="003C3DA6">
        <w:rPr>
          <w:rStyle w:val="FootnoteReference"/>
          <w:sz w:val="24"/>
          <w:lang w:val="lt-LT"/>
        </w:rPr>
        <w:footnoteRef/>
      </w:r>
      <w:r w:rsidR="003C3DA6" w:rsidRPr="003C3DA6">
        <w:rPr>
          <w:sz w:val="24"/>
          <w:lang w:val="lt-LT"/>
        </w:rPr>
        <w:t xml:space="preserve"> </w:t>
      </w:r>
      <w:r w:rsidR="003C3DA6" w:rsidRPr="003C3DA6">
        <w:rPr>
          <w:sz w:val="24"/>
          <w:lang w:val="lt-LT"/>
        </w:rPr>
        <w:tab/>
      </w:r>
      <w:r w:rsidRPr="003C3DA6">
        <w:rPr>
          <w:sz w:val="24"/>
          <w:lang w:val="lt-LT"/>
        </w:rPr>
        <w:t>OL L 424, 2020 12 15, p. </w:t>
      </w:r>
      <w:r w:rsidRPr="003C3DA6">
        <w:rPr>
          <w:sz w:val="24"/>
          <w:lang w:val="lt-LT"/>
        </w:rPr>
        <w:t xml:space="preserve">1, ELI: </w:t>
      </w:r>
      <w:hyperlink r:id="rId5" w:history="1">
        <w:r w:rsidRPr="003C3DA6">
          <w:rPr>
            <w:rStyle w:val="Hyperlink"/>
            <w:sz w:val="24"/>
            <w:lang w:val="lt-LT"/>
          </w:rPr>
          <w:t>http://data.europa.eu/eli/dec/2020/2053/oj</w:t>
        </w:r>
      </w:hyperlink>
      <w:r w:rsidRPr="003C3DA6">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A55F2" w14:textId="77777777" w:rsidR="00064002" w:rsidRPr="003C3DA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0600A" w14:textId="77777777" w:rsidR="00064002" w:rsidRPr="003C3DA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08936" w14:textId="77777777" w:rsidR="00064002" w:rsidRPr="003C3DA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6746924">
    <w:abstractNumId w:val="9"/>
  </w:num>
  <w:num w:numId="2" w16cid:durableId="659507334">
    <w:abstractNumId w:val="9"/>
  </w:num>
  <w:num w:numId="3" w16cid:durableId="1753165633">
    <w:abstractNumId w:val="7"/>
  </w:num>
  <w:num w:numId="4" w16cid:durableId="2093892662">
    <w:abstractNumId w:val="7"/>
  </w:num>
  <w:num w:numId="5" w16cid:durableId="416633723">
    <w:abstractNumId w:val="6"/>
  </w:num>
  <w:num w:numId="6" w16cid:durableId="1694915746">
    <w:abstractNumId w:val="6"/>
  </w:num>
  <w:num w:numId="7" w16cid:durableId="168645483">
    <w:abstractNumId w:val="5"/>
  </w:num>
  <w:num w:numId="8" w16cid:durableId="1513689233">
    <w:abstractNumId w:val="5"/>
  </w:num>
  <w:num w:numId="9" w16cid:durableId="1341160363">
    <w:abstractNumId w:val="4"/>
  </w:num>
  <w:num w:numId="10" w16cid:durableId="1652052350">
    <w:abstractNumId w:val="4"/>
  </w:num>
  <w:num w:numId="11" w16cid:durableId="1389766545">
    <w:abstractNumId w:val="8"/>
  </w:num>
  <w:num w:numId="12" w16cid:durableId="2028829147">
    <w:abstractNumId w:val="8"/>
  </w:num>
  <w:num w:numId="13" w16cid:durableId="1664039701">
    <w:abstractNumId w:val="3"/>
  </w:num>
  <w:num w:numId="14" w16cid:durableId="815269524">
    <w:abstractNumId w:val="3"/>
  </w:num>
  <w:num w:numId="15" w16cid:durableId="795488159">
    <w:abstractNumId w:val="2"/>
  </w:num>
  <w:num w:numId="16" w16cid:durableId="310328960">
    <w:abstractNumId w:val="2"/>
  </w:num>
  <w:num w:numId="17" w16cid:durableId="1700006183">
    <w:abstractNumId w:val="1"/>
  </w:num>
  <w:num w:numId="18" w16cid:durableId="273294685">
    <w:abstractNumId w:val="1"/>
  </w:num>
  <w:num w:numId="19" w16cid:durableId="1687171580">
    <w:abstractNumId w:val="0"/>
  </w:num>
  <w:num w:numId="20" w16cid:durableId="2019231660">
    <w:abstractNumId w:val="0"/>
  </w:num>
  <w:num w:numId="21" w16cid:durableId="1491408214">
    <w:abstractNumId w:val="9"/>
  </w:num>
  <w:num w:numId="22" w16cid:durableId="1777797478">
    <w:abstractNumId w:val="7"/>
  </w:num>
  <w:num w:numId="23" w16cid:durableId="1891990234">
    <w:abstractNumId w:val="6"/>
  </w:num>
  <w:num w:numId="24" w16cid:durableId="1676572654">
    <w:abstractNumId w:val="5"/>
  </w:num>
  <w:num w:numId="25" w16cid:durableId="654839525">
    <w:abstractNumId w:val="4"/>
  </w:num>
  <w:num w:numId="26" w16cid:durableId="1147240214">
    <w:abstractNumId w:val="8"/>
  </w:num>
  <w:num w:numId="27" w16cid:durableId="1381906206">
    <w:abstractNumId w:val="3"/>
  </w:num>
  <w:num w:numId="28" w16cid:durableId="2116631469">
    <w:abstractNumId w:val="2"/>
  </w:num>
  <w:num w:numId="29" w16cid:durableId="858347295">
    <w:abstractNumId w:val="1"/>
  </w:num>
  <w:num w:numId="30" w16cid:durableId="1809783140">
    <w:abstractNumId w:val="0"/>
  </w:num>
  <w:num w:numId="31" w16cid:durableId="546139423">
    <w:abstractNumId w:val="9"/>
  </w:num>
  <w:num w:numId="32" w16cid:durableId="2100757891">
    <w:abstractNumId w:val="7"/>
  </w:num>
  <w:num w:numId="33" w16cid:durableId="77870715">
    <w:abstractNumId w:val="6"/>
  </w:num>
  <w:num w:numId="34" w16cid:durableId="1815097933">
    <w:abstractNumId w:val="5"/>
  </w:num>
  <w:num w:numId="35" w16cid:durableId="1675257169">
    <w:abstractNumId w:val="4"/>
  </w:num>
  <w:num w:numId="36" w16cid:durableId="1920212773">
    <w:abstractNumId w:val="8"/>
  </w:num>
  <w:num w:numId="37" w16cid:durableId="1535268382">
    <w:abstractNumId w:val="3"/>
  </w:num>
  <w:num w:numId="38" w16cid:durableId="1901285951">
    <w:abstractNumId w:val="2"/>
  </w:num>
  <w:num w:numId="39" w16cid:durableId="734358610">
    <w:abstractNumId w:val="1"/>
  </w:num>
  <w:num w:numId="40" w16cid:durableId="624892303">
    <w:abstractNumId w:val="0"/>
  </w:num>
  <w:num w:numId="41" w16cid:durableId="775514756">
    <w:abstractNumId w:val="10"/>
  </w:num>
  <w:num w:numId="42" w16cid:durableId="428547409">
    <w:abstractNumId w:val="10"/>
  </w:num>
  <w:num w:numId="43" w16cid:durableId="1177766874">
    <w:abstractNumId w:val="10"/>
  </w:num>
  <w:num w:numId="44" w16cid:durableId="20805917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7/2025"/>
    <w:docVar w:name="dvlangue" w:val="LT"/>
    <w:docVar w:name="dvnumam" w:val="0"/>
    <w:docVar w:name="dvpe" w:val="778.228"/>
    <w:docVar w:name="dvrapporteur" w:val="Pranešėjas: "/>
    <w:docVar w:name="dvtitre" w:val="2025 m. lapkricio 26 d. Europos Parlamento teisėkūros rezoliucija dėl Tarybos pozicijos dėl 2025 finansinių metų Europos Sąjungos taisomojo biudžeto Nr. 3/2025 projekto – Mokėjimų asignavimų patikslinimas, pajamų atnaujinimas ir kiti techniniai atnaujinimai(00000/2025 – C10-0000/2025 – 2025/0319(BUD))"/>
  </w:docVars>
  <w:rsids>
    <w:rsidRoot w:val="003A6D10"/>
    <w:rsid w:val="00002272"/>
    <w:rsid w:val="00005D57"/>
    <w:rsid w:val="00064002"/>
    <w:rsid w:val="000677B9"/>
    <w:rsid w:val="000778C6"/>
    <w:rsid w:val="000831BA"/>
    <w:rsid w:val="000A42CC"/>
    <w:rsid w:val="000E7DD9"/>
    <w:rsid w:val="0010095E"/>
    <w:rsid w:val="00125B37"/>
    <w:rsid w:val="00187494"/>
    <w:rsid w:val="001C3D92"/>
    <w:rsid w:val="001F32AE"/>
    <w:rsid w:val="002767FF"/>
    <w:rsid w:val="002B18FE"/>
    <w:rsid w:val="002B5493"/>
    <w:rsid w:val="00343214"/>
    <w:rsid w:val="00361C00"/>
    <w:rsid w:val="00395FA1"/>
    <w:rsid w:val="003A6D10"/>
    <w:rsid w:val="003C3DA6"/>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5AF1"/>
    <w:rsid w:val="005E415D"/>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1221"/>
    <w:rsid w:val="00865F67"/>
    <w:rsid w:val="00881A7B"/>
    <w:rsid w:val="008840E5"/>
    <w:rsid w:val="00887B3E"/>
    <w:rsid w:val="008C2AC6"/>
    <w:rsid w:val="008F6547"/>
    <w:rsid w:val="00930C23"/>
    <w:rsid w:val="0093193B"/>
    <w:rsid w:val="009509D8"/>
    <w:rsid w:val="00950B64"/>
    <w:rsid w:val="00981893"/>
    <w:rsid w:val="00A1687D"/>
    <w:rsid w:val="00A43E52"/>
    <w:rsid w:val="00A4678D"/>
    <w:rsid w:val="00A778C7"/>
    <w:rsid w:val="00A97204"/>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3DD2"/>
    <w:rsid w:val="00D56C11"/>
    <w:rsid w:val="00D834A0"/>
    <w:rsid w:val="00D872DF"/>
    <w:rsid w:val="00D91E21"/>
    <w:rsid w:val="00DA7FCD"/>
    <w:rsid w:val="00E15C6B"/>
    <w:rsid w:val="00E365E1"/>
    <w:rsid w:val="00E727B5"/>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11632F"/>
  <w15:chartTrackingRefBased/>
  <w15:docId w15:val="{06DA3B6C-55DF-40A8-8284-2ED432B96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C5AF1"/>
    <w:pPr>
      <w:spacing w:before="480" w:after="240"/>
    </w:pPr>
  </w:style>
  <w:style w:type="paragraph" w:customStyle="1" w:styleId="NormalHanging12a">
    <w:name w:val="NormalHanging12a"/>
    <w:basedOn w:val="Normal"/>
    <w:rsid w:val="005C5AF1"/>
    <w:pPr>
      <w:spacing w:after="240"/>
      <w:ind w:left="567" w:hanging="567"/>
    </w:pPr>
  </w:style>
  <w:style w:type="character" w:styleId="Hyperlink">
    <w:name w:val="Hyperlink"/>
    <w:basedOn w:val="DefaultParagraphFont"/>
    <w:uiPriority w:val="99"/>
    <w:rsid w:val="005C5AF1"/>
    <w:rPr>
      <w:color w:val="0563C1" w:themeColor="hyperlink"/>
      <w:u w:val="single"/>
    </w:rPr>
  </w:style>
  <w:style w:type="paragraph" w:styleId="Revision">
    <w:name w:val="Revision"/>
    <w:hidden/>
    <w:uiPriority w:val="99"/>
    <w:semiHidden/>
    <w:rsid w:val="00005D57"/>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433/oj" TargetMode="External"/><Relationship Id="rId2" Type="http://schemas.openxmlformats.org/officeDocument/2006/relationships/hyperlink" Target="http://data.europa.eu/eli/budget/2025/31/oj%20" TargetMode="External"/><Relationship Id="rId1" Type="http://schemas.openxmlformats.org/officeDocument/2006/relationships/hyperlink" Target="http://data.europa.eu/eli/reg/2024/2509/oj" TargetMode="External"/><Relationship Id="rId5" Type="http://schemas.openxmlformats.org/officeDocument/2006/relationships/hyperlink" Target="http://data.europa.eu/eli/dec/2020/2053/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1147</Words>
  <Characters>7887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2025-11-26T12:27:00Z</dcterms:created>
  <dcterms:modified xsi:type="dcterms:W3CDTF">2025-11-26T12:27:00Z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A10-0237/2025</vt:lpwstr>
  </property>
  <property fmtid="{D5CDD505-2E9C-101B-9397-08002B2CF9AE}" pid="4" name="&lt;Type&gt;">
    <vt:lpwstr>RR</vt:lpwstr>
  </property>
</Properties>
</file>