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352B" w14:paraId="60F3D793" w14:textId="77777777" w:rsidTr="0010095E">
        <w:trPr>
          <w:trHeight w:hRule="exact" w:val="1418"/>
        </w:trPr>
        <w:tc>
          <w:tcPr>
            <w:tcW w:w="6804" w:type="dxa"/>
            <w:shd w:val="clear" w:color="auto" w:fill="auto"/>
            <w:vAlign w:val="center"/>
          </w:tcPr>
          <w:p w14:paraId="4B940311" w14:textId="77777777" w:rsidR="00751A4A" w:rsidRPr="00E1352B" w:rsidRDefault="00DE13A7" w:rsidP="0010095E">
            <w:pPr>
              <w:pStyle w:val="EPName"/>
            </w:pPr>
            <w:r w:rsidRPr="00E1352B">
              <w:t>Eiropas Parlaments</w:t>
            </w:r>
          </w:p>
          <w:p w14:paraId="08467886" w14:textId="77777777" w:rsidR="00751A4A" w:rsidRPr="00E1352B" w:rsidRDefault="005F1B17" w:rsidP="005F1B17">
            <w:pPr>
              <w:pStyle w:val="EPTerm"/>
              <w:rPr>
                <w:rStyle w:val="HideTWBExt"/>
                <w:noProof w:val="0"/>
                <w:vanish w:val="0"/>
                <w:color w:val="auto"/>
              </w:rPr>
            </w:pPr>
            <w:r w:rsidRPr="00E1352B">
              <w:t>2024</w:t>
            </w:r>
            <w:r w:rsidR="00817416" w:rsidRPr="00E1352B">
              <w:t>-202</w:t>
            </w:r>
            <w:r w:rsidRPr="00E1352B">
              <w:t>9</w:t>
            </w:r>
          </w:p>
        </w:tc>
        <w:tc>
          <w:tcPr>
            <w:tcW w:w="2268" w:type="dxa"/>
            <w:shd w:val="clear" w:color="auto" w:fill="auto"/>
          </w:tcPr>
          <w:p w14:paraId="128A5BE3" w14:textId="77777777" w:rsidR="00751A4A" w:rsidRPr="00E1352B" w:rsidRDefault="00187494" w:rsidP="0010095E">
            <w:pPr>
              <w:pStyle w:val="EPLogo"/>
            </w:pPr>
            <w:r w:rsidRPr="00E1352B">
              <w:rPr>
                <w:noProof/>
                <w:lang w:eastAsia="ja-JP"/>
              </w:rPr>
              <w:drawing>
                <wp:inline distT="0" distB="0" distL="0" distR="0" wp14:anchorId="71456F57" wp14:editId="0FCD5B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A20084" w14:textId="77777777" w:rsidR="00D058B8" w:rsidRPr="00E1352B" w:rsidRDefault="00D058B8" w:rsidP="004C5D52">
      <w:pPr>
        <w:pStyle w:val="LineTop"/>
      </w:pPr>
    </w:p>
    <w:p w14:paraId="32FA80D3" w14:textId="77777777" w:rsidR="00680577" w:rsidRPr="00E1352B" w:rsidRDefault="00DE13A7" w:rsidP="00680577">
      <w:pPr>
        <w:pStyle w:val="EPBodyTA1"/>
      </w:pPr>
      <w:r w:rsidRPr="00E1352B">
        <w:t>PIEŅEMTIE TEKSTI</w:t>
      </w:r>
    </w:p>
    <w:p w14:paraId="4F2CF352" w14:textId="77777777" w:rsidR="00D058B8" w:rsidRPr="00E1352B" w:rsidRDefault="00D058B8" w:rsidP="00D058B8">
      <w:pPr>
        <w:pStyle w:val="LineBottom"/>
      </w:pPr>
    </w:p>
    <w:p w14:paraId="0A7F745F" w14:textId="5E9088AC" w:rsidR="00DE13A7" w:rsidRPr="00E1352B" w:rsidRDefault="00DE13A7" w:rsidP="00DE13A7">
      <w:pPr>
        <w:pStyle w:val="ATHeading1"/>
      </w:pPr>
      <w:bookmarkStart w:id="0" w:name="TANumber"/>
      <w:r w:rsidRPr="00E1352B">
        <w:t>P10_TA(2025)0</w:t>
      </w:r>
      <w:bookmarkEnd w:id="0"/>
      <w:r w:rsidR="00E1352B" w:rsidRPr="00E1352B">
        <w:t>293</w:t>
      </w:r>
    </w:p>
    <w:p w14:paraId="56A02359" w14:textId="3BDFDA37" w:rsidR="00DE13A7" w:rsidRPr="00E1352B" w:rsidRDefault="002C3DB4" w:rsidP="002C3DB4">
      <w:pPr>
        <w:pStyle w:val="ATHeading2"/>
      </w:pPr>
      <w:bookmarkStart w:id="1" w:name="title"/>
      <w:r w:rsidRPr="00E1352B">
        <w:t>Bud</w:t>
      </w:r>
      <w:r w:rsidRPr="00E1352B">
        <w:rPr>
          <w:rFonts w:hint="eastAsia"/>
        </w:rPr>
        <w:t>ž</w:t>
      </w:r>
      <w:r w:rsidRPr="00E1352B">
        <w:t>eta groz</w:t>
      </w:r>
      <w:r w:rsidRPr="00E1352B">
        <w:rPr>
          <w:rFonts w:hint="eastAsia"/>
        </w:rPr>
        <w:t>ī</w:t>
      </w:r>
      <w:r w:rsidRPr="00E1352B">
        <w:t>juma Nr. 3/2025 projekts: maks</w:t>
      </w:r>
      <w:r w:rsidRPr="00E1352B">
        <w:rPr>
          <w:rFonts w:hint="eastAsia"/>
        </w:rPr>
        <w:t>ā</w:t>
      </w:r>
      <w:r w:rsidRPr="00E1352B">
        <w:t>jumu apropri</w:t>
      </w:r>
      <w:r w:rsidRPr="00E1352B">
        <w:rPr>
          <w:rFonts w:hint="eastAsia"/>
        </w:rPr>
        <w:t>ā</w:t>
      </w:r>
      <w:r w:rsidRPr="00E1352B">
        <w:t>ciju korekcija, ie</w:t>
      </w:r>
      <w:r w:rsidRPr="00E1352B">
        <w:rPr>
          <w:rFonts w:hint="eastAsia"/>
        </w:rPr>
        <w:t>ņē</w:t>
      </w:r>
      <w:r w:rsidRPr="00E1352B">
        <w:t>mumu atjaunin</w:t>
      </w:r>
      <w:r w:rsidRPr="00E1352B">
        <w:rPr>
          <w:rFonts w:hint="eastAsia"/>
        </w:rPr>
        <w:t>ā</w:t>
      </w:r>
      <w:r w:rsidRPr="00E1352B">
        <w:t>jums un citi tehniski atjaunin</w:t>
      </w:r>
      <w:r w:rsidRPr="00E1352B">
        <w:rPr>
          <w:rFonts w:hint="eastAsia"/>
        </w:rPr>
        <w:t>ā</w:t>
      </w:r>
      <w:r w:rsidRPr="00E1352B">
        <w:t>jumi</w:t>
      </w:r>
      <w:bookmarkEnd w:id="1"/>
    </w:p>
    <w:p w14:paraId="5878E812" w14:textId="77777777" w:rsidR="00DE13A7" w:rsidRPr="00E1352B" w:rsidRDefault="00DE13A7" w:rsidP="00DE13A7">
      <w:pPr>
        <w:rPr>
          <w:i/>
          <w:vanish/>
        </w:rPr>
      </w:pPr>
      <w:r w:rsidRPr="00E1352B">
        <w:rPr>
          <w:i/>
        </w:rPr>
        <w:fldChar w:fldCharType="begin"/>
      </w:r>
      <w:r w:rsidRPr="00E1352B">
        <w:rPr>
          <w:i/>
        </w:rPr>
        <w:instrText xml:space="preserve"> TC"(</w:instrText>
      </w:r>
      <w:bookmarkStart w:id="2" w:name="DocNumber"/>
      <w:r w:rsidRPr="00E1352B">
        <w:rPr>
          <w:i/>
        </w:rPr>
        <w:instrText>A10-0237/2025</w:instrText>
      </w:r>
      <w:bookmarkEnd w:id="2"/>
      <w:r w:rsidRPr="00E1352B">
        <w:rPr>
          <w:i/>
        </w:rPr>
        <w:instrText xml:space="preserve"> - Referents: </w:instrText>
      </w:r>
      <w:proofErr w:type="spellStart"/>
      <w:r w:rsidRPr="00E1352B">
        <w:rPr>
          <w:i/>
        </w:rPr>
        <w:instrText>Victor</w:instrText>
      </w:r>
      <w:proofErr w:type="spellEnd"/>
      <w:r w:rsidRPr="00E1352B">
        <w:rPr>
          <w:i/>
        </w:rPr>
        <w:instrText xml:space="preserve"> </w:instrText>
      </w:r>
      <w:proofErr w:type="spellStart"/>
      <w:r w:rsidRPr="00E1352B">
        <w:rPr>
          <w:i/>
        </w:rPr>
        <w:instrText>Negrescu</w:instrText>
      </w:r>
      <w:proofErr w:type="spellEnd"/>
      <w:r w:rsidRPr="00E1352B">
        <w:rPr>
          <w:i/>
        </w:rPr>
        <w:instrText xml:space="preserve">)"\l3 \n&gt; \* MERGEFORMAT </w:instrText>
      </w:r>
      <w:r w:rsidRPr="00E1352B">
        <w:rPr>
          <w:i/>
        </w:rPr>
        <w:fldChar w:fldCharType="end"/>
      </w:r>
    </w:p>
    <w:p w14:paraId="316BD31B" w14:textId="77777777" w:rsidR="00DE13A7" w:rsidRPr="00E1352B" w:rsidRDefault="00DE13A7" w:rsidP="00DE13A7">
      <w:pPr>
        <w:rPr>
          <w:vanish/>
        </w:rPr>
      </w:pPr>
      <w:bookmarkStart w:id="3" w:name="Commission"/>
      <w:r w:rsidRPr="00E1352B">
        <w:rPr>
          <w:vanish/>
        </w:rPr>
        <w:t>Budžeta komiteja</w:t>
      </w:r>
      <w:bookmarkEnd w:id="3"/>
    </w:p>
    <w:p w14:paraId="108E811D" w14:textId="77777777" w:rsidR="00DE13A7" w:rsidRPr="00E1352B" w:rsidRDefault="00DE13A7" w:rsidP="00DE13A7">
      <w:pPr>
        <w:rPr>
          <w:vanish/>
        </w:rPr>
      </w:pPr>
      <w:bookmarkStart w:id="4" w:name="PE"/>
      <w:r w:rsidRPr="00E1352B">
        <w:rPr>
          <w:vanish/>
        </w:rPr>
        <w:t>PE778.228</w:t>
      </w:r>
      <w:bookmarkEnd w:id="4"/>
    </w:p>
    <w:p w14:paraId="45FBE1E5" w14:textId="46F11390" w:rsidR="00DE13A7" w:rsidRPr="00E1352B" w:rsidRDefault="00DE13A7" w:rsidP="00DE13A7">
      <w:pPr>
        <w:pStyle w:val="ATHeading3"/>
      </w:pPr>
      <w:bookmarkStart w:id="5" w:name="Sujet"/>
      <w:r w:rsidRPr="00E1352B">
        <w:t xml:space="preserve">Eiropas Parlamenta 2025. gada </w:t>
      </w:r>
      <w:r w:rsidR="002C3DB4" w:rsidRPr="00E1352B">
        <w:t>26</w:t>
      </w:r>
      <w:r w:rsidRPr="00E1352B">
        <w:t xml:space="preserve">. </w:t>
      </w:r>
      <w:r w:rsidR="002C3DB4" w:rsidRPr="00E1352B">
        <w:t>novembra</w:t>
      </w:r>
      <w:r w:rsidRPr="00E1352B">
        <w:t xml:space="preserve"> rezolūcija par Padomes nostāju attiecībā uz 2025. </w:t>
      </w:r>
      <w:r w:rsidR="002C3DB4" w:rsidRPr="00E1352B">
        <w:t xml:space="preserve">gada vispārējā budžeta grozījuma Nr. 3 </w:t>
      </w:r>
      <w:r w:rsidRPr="00E1352B">
        <w:t>projektu: maksājumu apropriāciju korekcija, ieņēmumu atjauninājums un citi tehniski atjauninājumi</w:t>
      </w:r>
      <w:bookmarkEnd w:id="5"/>
      <w:r w:rsidRPr="00E1352B">
        <w:t xml:space="preserve"> </w:t>
      </w:r>
      <w:bookmarkStart w:id="6" w:name="References"/>
      <w:r w:rsidRPr="00E1352B">
        <w:t>(14878/2025 – C10-0301/2025 – 2025/0319(BUD))</w:t>
      </w:r>
      <w:bookmarkEnd w:id="6"/>
    </w:p>
    <w:p w14:paraId="47A11A4A" w14:textId="77777777" w:rsidR="00453AE1" w:rsidRPr="00E1352B" w:rsidRDefault="00453AE1" w:rsidP="00453AE1">
      <w:pPr>
        <w:pStyle w:val="EPComma"/>
      </w:pPr>
      <w:bookmarkStart w:id="7" w:name="TextBodyBegin"/>
      <w:bookmarkEnd w:id="7"/>
      <w:r w:rsidRPr="00E1352B">
        <w:rPr>
          <w:i/>
        </w:rPr>
        <w:t>Eiropas Parlaments,</w:t>
      </w:r>
    </w:p>
    <w:p w14:paraId="0A7A6460" w14:textId="77777777" w:rsidR="00453AE1" w:rsidRPr="00E1352B" w:rsidRDefault="00453AE1" w:rsidP="00453AE1">
      <w:pPr>
        <w:pStyle w:val="NormalHanging12a"/>
      </w:pPr>
      <w:r w:rsidRPr="00E1352B">
        <w:t>–</w:t>
      </w:r>
      <w:r w:rsidRPr="00E1352B">
        <w:tab/>
        <w:t>ņemot vērā Līguma par Eiropas Savienības darbību 314. pantu,</w:t>
      </w:r>
    </w:p>
    <w:p w14:paraId="14696209" w14:textId="77777777" w:rsidR="00453AE1" w:rsidRPr="00E1352B" w:rsidRDefault="00453AE1" w:rsidP="00453AE1">
      <w:pPr>
        <w:pStyle w:val="NormalHanging12a"/>
      </w:pPr>
      <w:r w:rsidRPr="00E1352B">
        <w:t>–</w:t>
      </w:r>
      <w:r w:rsidRPr="00E1352B">
        <w:tab/>
        <w:t>ņemot vērā Eiropas Atomenerģijas kopienas dibināšanas līguma 106.a pantu,</w:t>
      </w:r>
    </w:p>
    <w:p w14:paraId="29E2BEB9" w14:textId="77777777" w:rsidR="00453AE1" w:rsidRPr="00E1352B" w:rsidRDefault="00453AE1" w:rsidP="00453AE1">
      <w:pPr>
        <w:pStyle w:val="NormalHanging12a"/>
      </w:pPr>
      <w:r w:rsidRPr="00E1352B">
        <w:t>–</w:t>
      </w:r>
      <w:r w:rsidRPr="00E1352B">
        <w:tab/>
        <w:t xml:space="preserve">ņemot vērā Eiropas Parlamenta un Padomes 2024. gada 23. septembra Regulu (ES, </w:t>
      </w:r>
      <w:r w:rsidRPr="00E1352B">
        <w:rPr>
          <w:i/>
        </w:rPr>
        <w:t>Euratom</w:t>
      </w:r>
      <w:r w:rsidRPr="00E1352B">
        <w:t>) 2024/2509 par finanšu noteikumiem, ko piemēro Savienības vispārējam budžetam</w:t>
      </w:r>
      <w:r w:rsidRPr="00E1352B">
        <w:rPr>
          <w:rStyle w:val="FootnoteReference"/>
        </w:rPr>
        <w:footnoteReference w:id="1"/>
      </w:r>
      <w:r w:rsidRPr="00E1352B">
        <w:t>, un jo īpaši tās 44. pantu,</w:t>
      </w:r>
    </w:p>
    <w:p w14:paraId="7ABB95AC" w14:textId="77777777" w:rsidR="00453AE1" w:rsidRPr="00E1352B" w:rsidRDefault="00453AE1" w:rsidP="00453AE1">
      <w:pPr>
        <w:pStyle w:val="NormalHanging12a"/>
      </w:pPr>
      <w:r w:rsidRPr="00E1352B">
        <w:t>–</w:t>
      </w:r>
      <w:r w:rsidRPr="00E1352B">
        <w:tab/>
        <w:t>ņemot vērā Eiropas Savienības 2025. finanšu gada vispārējo budžetu, ko galīgajā variantā pieņēma 2024. gada 27. novembrī</w:t>
      </w:r>
      <w:r w:rsidRPr="00E1352B">
        <w:rPr>
          <w:rStyle w:val="FootnoteReference"/>
        </w:rPr>
        <w:footnoteReference w:id="2"/>
      </w:r>
      <w:r w:rsidRPr="00E1352B">
        <w:t>,</w:t>
      </w:r>
    </w:p>
    <w:p w14:paraId="0969D8DB" w14:textId="77777777" w:rsidR="00453AE1" w:rsidRPr="00E1352B" w:rsidRDefault="00453AE1" w:rsidP="00453AE1">
      <w:pPr>
        <w:pStyle w:val="NormalHanging12a"/>
      </w:pPr>
      <w:r w:rsidRPr="00E1352B">
        <w:t>–</w:t>
      </w:r>
      <w:r w:rsidRPr="00E1352B">
        <w:tab/>
        <w:t xml:space="preserve">ņemot vērā Padomes 2020. gada 17. decembra Regulu (ES, </w:t>
      </w:r>
      <w:r w:rsidRPr="00E1352B">
        <w:rPr>
          <w:i/>
        </w:rPr>
        <w:t>Euratom</w:t>
      </w:r>
      <w:r w:rsidRPr="00E1352B">
        <w:t>) 2020/2093, ar ko nosaka daudzgadu finanšu shēmu 2021.–2027. gadam</w:t>
      </w:r>
      <w:r w:rsidRPr="00E1352B">
        <w:rPr>
          <w:rStyle w:val="FootnoteReference"/>
        </w:rPr>
        <w:footnoteReference w:id="3"/>
      </w:r>
      <w:r w:rsidRPr="00E1352B">
        <w:t>,</w:t>
      </w:r>
    </w:p>
    <w:p w14:paraId="3CB0F64B" w14:textId="77777777" w:rsidR="00453AE1" w:rsidRPr="00E1352B" w:rsidRDefault="00453AE1" w:rsidP="00453AE1">
      <w:pPr>
        <w:pStyle w:val="NormalHanging12a"/>
      </w:pPr>
      <w:r w:rsidRPr="00E1352B">
        <w:t>–</w:t>
      </w:r>
      <w:r w:rsidRPr="00E1352B">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E1352B">
        <w:rPr>
          <w:rStyle w:val="FootnoteReference"/>
        </w:rPr>
        <w:footnoteReference w:id="4"/>
      </w:r>
      <w:r w:rsidRPr="00E1352B">
        <w:t>,</w:t>
      </w:r>
    </w:p>
    <w:p w14:paraId="6BE55F94" w14:textId="77777777" w:rsidR="00453AE1" w:rsidRPr="00E1352B" w:rsidRDefault="00453AE1" w:rsidP="00453AE1">
      <w:pPr>
        <w:pStyle w:val="NormalHanging12a"/>
      </w:pPr>
      <w:r w:rsidRPr="00E1352B">
        <w:t>–</w:t>
      </w:r>
      <w:r w:rsidRPr="00E1352B">
        <w:tab/>
        <w:t xml:space="preserve">ņemot vērā Padomes 2020. gada 14. decembra Lēmumu (ES, </w:t>
      </w:r>
      <w:r w:rsidRPr="00E1352B">
        <w:rPr>
          <w:i/>
        </w:rPr>
        <w:t>Euratom</w:t>
      </w:r>
      <w:r w:rsidRPr="00E1352B">
        <w:t xml:space="preserve">) 2020/2053 par Eiropas Savienības pašu resursu sistēmu un ar ko atceļ Lēmumu 2014/335/ES, </w:t>
      </w:r>
      <w:r w:rsidRPr="00E1352B">
        <w:rPr>
          <w:i/>
        </w:rPr>
        <w:lastRenderedPageBreak/>
        <w:t>Euratom</w:t>
      </w:r>
      <w:r w:rsidRPr="00E1352B">
        <w:rPr>
          <w:rStyle w:val="FootnoteReference"/>
        </w:rPr>
        <w:footnoteReference w:id="5"/>
      </w:r>
      <w:r w:rsidRPr="00E1352B">
        <w:t>,</w:t>
      </w:r>
    </w:p>
    <w:p w14:paraId="5990A3C8" w14:textId="77777777" w:rsidR="00453AE1" w:rsidRPr="00E1352B" w:rsidRDefault="00453AE1" w:rsidP="00453AE1">
      <w:pPr>
        <w:pStyle w:val="NormalHanging12a"/>
      </w:pPr>
      <w:r w:rsidRPr="00E1352B">
        <w:t>–</w:t>
      </w:r>
      <w:r w:rsidRPr="00E1352B">
        <w:tab/>
        <w:t>ņemot vērā budžeta grozījuma Nr. 3/2025 projektu, ko Komisija pieņēma 2025. gada 3. oktobrī (COM(2025)0850),</w:t>
      </w:r>
    </w:p>
    <w:p w14:paraId="1CE8029B" w14:textId="77777777" w:rsidR="00453AE1" w:rsidRPr="00E1352B" w:rsidRDefault="00453AE1" w:rsidP="00453AE1">
      <w:pPr>
        <w:pStyle w:val="NormalHanging12a"/>
      </w:pPr>
      <w:r w:rsidRPr="00E1352B">
        <w:t>–</w:t>
      </w:r>
      <w:r w:rsidRPr="00E1352B">
        <w:tab/>
        <w:t>ņemot vērā nostāju attiecībā uz budžeta grozījuma Nr. 3/2025 projektu, ko Padome pieņēma 2025. gada 17. novembrī un nosūtīja Eiropas Parlamentam tajā pašā dienā (14878/2025 – C10</w:t>
      </w:r>
      <w:r w:rsidRPr="00E1352B">
        <w:noBreakHyphen/>
        <w:t>0301/2025),</w:t>
      </w:r>
    </w:p>
    <w:p w14:paraId="0BB8AAB6" w14:textId="77777777" w:rsidR="00453AE1" w:rsidRPr="00E1352B" w:rsidRDefault="00453AE1" w:rsidP="00453AE1">
      <w:pPr>
        <w:pStyle w:val="NormalHanging12a"/>
      </w:pPr>
      <w:r w:rsidRPr="00E1352B">
        <w:t>–</w:t>
      </w:r>
      <w:r w:rsidRPr="00E1352B">
        <w:tab/>
        <w:t>ņemot vērā Reglamenta 96. un 98. pantu,</w:t>
      </w:r>
    </w:p>
    <w:p w14:paraId="4679B6A6" w14:textId="77777777" w:rsidR="00453AE1" w:rsidRPr="00E1352B" w:rsidRDefault="00453AE1" w:rsidP="00453AE1">
      <w:pPr>
        <w:pStyle w:val="NormalHanging12a"/>
      </w:pPr>
      <w:r w:rsidRPr="00E1352B">
        <w:t>–</w:t>
      </w:r>
      <w:r w:rsidRPr="00E1352B">
        <w:tab/>
        <w:t>ņemot vērā Budžeta komitejas ziņojumu (A10-0237/2025),</w:t>
      </w:r>
    </w:p>
    <w:p w14:paraId="4660D06D" w14:textId="77777777" w:rsidR="00453AE1" w:rsidRPr="00E1352B" w:rsidRDefault="00453AE1" w:rsidP="00453AE1">
      <w:pPr>
        <w:spacing w:after="240"/>
        <w:ind w:left="567" w:hanging="567"/>
        <w:rPr>
          <w:color w:val="000000"/>
        </w:rPr>
      </w:pPr>
      <w:r w:rsidRPr="00E1352B">
        <w:rPr>
          <w:color w:val="000000"/>
        </w:rPr>
        <w:t>A.</w:t>
      </w:r>
      <w:r w:rsidRPr="00E1352B">
        <w:rPr>
          <w:color w:val="000000"/>
        </w:rPr>
        <w:tab/>
        <w:t>tā kā budžeta grozījuma Nr. 3/2025 projekta mērķis ir atjaunināt budžeta ieņēmumu daļu, lai ņemtu vērā jaunākās norises, koriģēt budžeta izdevumu daļu attiecībā uz maksājumu apropriācijām un papildus tam koriģēt budžeta izdevumu daļu attiecībā uz vairākām decentralizētajām aģentūrām;</w:t>
      </w:r>
    </w:p>
    <w:p w14:paraId="0B28C270" w14:textId="77777777" w:rsidR="00453AE1" w:rsidRPr="00E1352B" w:rsidRDefault="00453AE1" w:rsidP="00453AE1">
      <w:pPr>
        <w:spacing w:after="240"/>
        <w:ind w:left="567" w:hanging="567"/>
        <w:rPr>
          <w:color w:val="000000"/>
        </w:rPr>
      </w:pPr>
      <w:r w:rsidRPr="00E1352B">
        <w:rPr>
          <w:color w:val="000000"/>
        </w:rPr>
        <w:t>B.</w:t>
      </w:r>
      <w:r w:rsidRPr="00E1352B">
        <w:rPr>
          <w:color w:val="000000"/>
        </w:rPr>
        <w:tab/>
        <w:t>tā kā attiecībā uz izdevumiem budžeta grozījuma Nr. 3/2025 projekts paredz neto palielinājumu 123,7 miljonu EUR apmērā saistību apropriācijās un 2,52 miljardu EUR apmērā maksājumu apropriācijās;</w:t>
      </w:r>
    </w:p>
    <w:p w14:paraId="35B7F830" w14:textId="77777777" w:rsidR="00453AE1" w:rsidRPr="00E1352B" w:rsidRDefault="00453AE1" w:rsidP="00453AE1">
      <w:pPr>
        <w:spacing w:after="240"/>
        <w:ind w:left="567" w:hanging="567"/>
        <w:rPr>
          <w:color w:val="000000"/>
        </w:rPr>
      </w:pPr>
      <w:r w:rsidRPr="00E1352B">
        <w:rPr>
          <w:color w:val="000000"/>
        </w:rPr>
        <w:t>C.</w:t>
      </w:r>
      <w:r w:rsidRPr="00E1352B">
        <w:rPr>
          <w:color w:val="000000"/>
        </w:rPr>
        <w:tab/>
        <w:t>tā kā budžeta grozījuma Nr. 3/2025 projektā ir ierosinātas vairākas korekcijas decentralizēto aģentūru finansējumā dažādās izdevumu kategorijās;</w:t>
      </w:r>
    </w:p>
    <w:p w14:paraId="6DB9176F" w14:textId="77777777" w:rsidR="00453AE1" w:rsidRPr="00E1352B" w:rsidRDefault="00453AE1" w:rsidP="00453AE1">
      <w:pPr>
        <w:spacing w:after="240"/>
        <w:ind w:left="567" w:hanging="567"/>
        <w:rPr>
          <w:color w:val="000000"/>
        </w:rPr>
      </w:pPr>
      <w:r w:rsidRPr="00E1352B">
        <w:rPr>
          <w:color w:val="000000"/>
        </w:rPr>
        <w:t>D.</w:t>
      </w:r>
      <w:r w:rsidRPr="00E1352B">
        <w:rPr>
          <w:color w:val="000000"/>
        </w:rPr>
        <w:tab/>
        <w:t>tā kā ieņēmumu daļā budžeta grozījuma Nr. 3/2025 projekts iekļauj 2025. gada budžetā līdz 2025. gada septembrim samaksātos galīgos naudas sodus un soda maksājumus kopā 1,19 miljardu EUR apmērā, kā arī papildu tradicionālos pašu resursus 1,3 miljardu EUR apmērā;</w:t>
      </w:r>
    </w:p>
    <w:p w14:paraId="70C500E5" w14:textId="77777777" w:rsidR="00453AE1" w:rsidRPr="00E1352B" w:rsidRDefault="00453AE1" w:rsidP="00453AE1">
      <w:pPr>
        <w:spacing w:after="240"/>
        <w:ind w:left="567" w:hanging="567"/>
        <w:rPr>
          <w:color w:val="000000"/>
        </w:rPr>
      </w:pPr>
      <w:r w:rsidRPr="00E1352B">
        <w:rPr>
          <w:color w:val="000000"/>
        </w:rPr>
        <w:t>E.</w:t>
      </w:r>
      <w:r w:rsidRPr="00E1352B">
        <w:rPr>
          <w:color w:val="000000"/>
        </w:rPr>
        <w:tab/>
        <w:t>tā kā šo korekciju rezultātā ir vajadzīgas papildu NKI iemaksas 31,9 miljonu EUR apmērā, lai segtu maksājumu vajadzības,</w:t>
      </w:r>
    </w:p>
    <w:p w14:paraId="50C04FE5" w14:textId="77777777" w:rsidR="00453AE1" w:rsidRPr="00E1352B" w:rsidRDefault="00453AE1" w:rsidP="00453AE1">
      <w:pPr>
        <w:spacing w:after="240"/>
        <w:ind w:left="567" w:hanging="567"/>
        <w:rPr>
          <w:color w:val="000000"/>
        </w:rPr>
      </w:pPr>
      <w:r w:rsidRPr="00E1352B">
        <w:rPr>
          <w:color w:val="000000"/>
        </w:rPr>
        <w:t>1.</w:t>
      </w:r>
      <w:r w:rsidRPr="00E1352B">
        <w:rPr>
          <w:color w:val="000000"/>
        </w:rPr>
        <w:tab/>
        <w:t>pieņem zināšanai Komisijas iesniegto budžeta grozījuma Nr. 3/2025 projektu un jo īpaši to, ka kopējā ietekme uz dalībvalstu NKI iemaksām ir ļoti maza, jo līdzsvarojas lielākas maksājumu vajadzības un papildu ieņēmumu plūsmas;</w:t>
      </w:r>
    </w:p>
    <w:p w14:paraId="7CC5E405" w14:textId="675A968D" w:rsidR="00453AE1" w:rsidRPr="00E1352B" w:rsidRDefault="00453AE1" w:rsidP="00453AE1">
      <w:pPr>
        <w:spacing w:after="240"/>
        <w:ind w:left="567" w:hanging="567"/>
        <w:rPr>
          <w:color w:val="000000"/>
        </w:rPr>
      </w:pPr>
      <w:r w:rsidRPr="00E1352B">
        <w:rPr>
          <w:color w:val="000000"/>
        </w:rPr>
        <w:t>2.</w:t>
      </w:r>
      <w:r w:rsidRPr="00E1352B">
        <w:rPr>
          <w:color w:val="000000"/>
        </w:rPr>
        <w:tab/>
        <w:t>atzinīgi vērtē maksājumu apropriāciju palielinājumu Eiropas Reģionālās attīstības fondam (ERAF) 2 miljardu EUR apmērā apvienojumā ar palielinājumiem kopējai lauksaimniecības politikai</w:t>
      </w:r>
      <w:r w:rsidR="002C3DB4" w:rsidRPr="00E1352B">
        <w:rPr>
          <w:color w:val="000000"/>
        </w:rPr>
        <w:t xml:space="preserve"> (KLP)</w:t>
      </w:r>
      <w:r w:rsidRPr="00E1352B">
        <w:rPr>
          <w:color w:val="000000"/>
        </w:rPr>
        <w:t>, kas paredzēti šā gada vispārējā pārvietojumā (DEC 15/25), jo tas liecina par to, ka programmu īstenošanas temps pieaug pēc satraucoši lēna sākuma 2021.–2027. gada periodā; uzsver, ka struktūrfondu un KLP apropriāciju palielināšanai ir izšķiroša nozīme lauksaimniecības atbalsta shēmu nepārtrauktības saglabāšanā, pārtikas nodrošinājuma garantēšanā un ilgtspējīgas lauku attīstības veicināšanā; norāda, ka šie pasākumi ir īpaši svarīgi, lai stiprinātu lauksaimniecības nozares noturību un saglabātu sociālekonomisko līdzsvaru lauku apvidos; atgādina, ka šie palielinājumi papildina maksājumu apropriāciju korekcijas vispārējā pārvietojumā (DEC 15/2025);</w:t>
      </w:r>
    </w:p>
    <w:p w14:paraId="4EC9A03B" w14:textId="77777777" w:rsidR="00453AE1" w:rsidRPr="00E1352B" w:rsidRDefault="00453AE1" w:rsidP="00453AE1">
      <w:pPr>
        <w:spacing w:after="240"/>
        <w:ind w:left="567" w:hanging="567"/>
        <w:rPr>
          <w:color w:val="000000"/>
        </w:rPr>
      </w:pPr>
      <w:r w:rsidRPr="00E1352B">
        <w:rPr>
          <w:color w:val="000000"/>
        </w:rPr>
        <w:t>3.</w:t>
      </w:r>
      <w:r w:rsidRPr="00E1352B">
        <w:rPr>
          <w:color w:val="000000"/>
        </w:rPr>
        <w:tab/>
        <w:t xml:space="preserve">joprojām mudina paātrināt ERAF, ESF+ un Finansiāla atbalsta instrumenta robežu </w:t>
      </w:r>
      <w:r w:rsidRPr="00E1352B">
        <w:rPr>
          <w:color w:val="000000"/>
        </w:rPr>
        <w:lastRenderedPageBreak/>
        <w:t>pārvaldībai un vīzu politikai (</w:t>
      </w:r>
      <w:r w:rsidRPr="00E1352B">
        <w:rPr>
          <w:i/>
          <w:color w:val="000000"/>
        </w:rPr>
        <w:t>BMVI</w:t>
      </w:r>
      <w:r w:rsidRPr="00E1352B">
        <w:rPr>
          <w:color w:val="000000"/>
        </w:rPr>
        <w:t>) pasākumu īstenošanu; atzinīgi vērtē Eiropas stratēģisko tehnoloģiju platformas (</w:t>
      </w:r>
      <w:r w:rsidRPr="00E1352B">
        <w:rPr>
          <w:i/>
          <w:color w:val="000000"/>
        </w:rPr>
        <w:t>STEP</w:t>
      </w:r>
      <w:r w:rsidRPr="00E1352B">
        <w:rPr>
          <w:color w:val="000000"/>
        </w:rPr>
        <w:t xml:space="preserve">) ātrāku ieviešanu, nekā gaidīts; </w:t>
      </w:r>
      <w:r w:rsidRPr="00E1352B">
        <w:t xml:space="preserve">sagaida, ka </w:t>
      </w:r>
      <w:r w:rsidRPr="00E1352B">
        <w:rPr>
          <w:i/>
        </w:rPr>
        <w:t>STEP</w:t>
      </w:r>
      <w:r w:rsidRPr="00E1352B">
        <w:t xml:space="preserve"> papildu maksājumi vairāk nekā 3 miljardu EUR apmērā tiks ātri un efektīvi izmantoti konkrētajiem mērķiem saskaņā ar attiecīgajiem </w:t>
      </w:r>
      <w:proofErr w:type="spellStart"/>
      <w:r w:rsidRPr="00E1352B">
        <w:t>pamataktiem</w:t>
      </w:r>
      <w:proofErr w:type="spellEnd"/>
      <w:r w:rsidRPr="00E1352B">
        <w:t>;</w:t>
      </w:r>
    </w:p>
    <w:p w14:paraId="2814E08F" w14:textId="77777777" w:rsidR="00453AE1" w:rsidRPr="00E1352B" w:rsidRDefault="00453AE1" w:rsidP="00453AE1">
      <w:pPr>
        <w:spacing w:after="240"/>
        <w:ind w:left="567" w:hanging="567"/>
        <w:rPr>
          <w:color w:val="000000"/>
        </w:rPr>
      </w:pPr>
      <w:r w:rsidRPr="00E1352B">
        <w:rPr>
          <w:color w:val="000000"/>
        </w:rPr>
        <w:t>4.</w:t>
      </w:r>
      <w:r w:rsidRPr="00E1352B">
        <w:rPr>
          <w:color w:val="000000"/>
        </w:rPr>
        <w:tab/>
        <w:t>pieņem zināšanai jaunāko situāciju saistībā ar ilgtspējīgas zivsaimniecības partnerattiecību nolīgumiem (IZPN) un atzinīgi vērtē to, ka saskaņā ar attiecīgajiem Iestāžu nolīguma noteikumiem budžeta lēmējinstitūcijai ir aktīva loma, lai rezervē iekļautās apropriācijas tiktu darītas pieejamas, ņemot vērā attiecīgo starptautisko īstenošanas protokolu stāšanos spēkā un piemērošanu;</w:t>
      </w:r>
    </w:p>
    <w:p w14:paraId="43F7A1B8" w14:textId="77777777" w:rsidR="00453AE1" w:rsidRPr="00E1352B" w:rsidRDefault="00453AE1" w:rsidP="00453AE1">
      <w:pPr>
        <w:spacing w:after="240"/>
        <w:ind w:left="567" w:hanging="567"/>
        <w:rPr>
          <w:color w:val="000000"/>
        </w:rPr>
      </w:pPr>
      <w:r w:rsidRPr="00E1352B">
        <w:rPr>
          <w:color w:val="000000"/>
        </w:rPr>
        <w:t>5.</w:t>
      </w:r>
      <w:r w:rsidRPr="00E1352B">
        <w:rPr>
          <w:color w:val="000000"/>
        </w:rPr>
        <w:tab/>
        <w:t>pauž nožēlu par to, ka ir samazinājušās saistības (78 miljoni EUR) un maksājumi (48 miljoni EUR) muitas kontroles iekārtu instrumentam (</w:t>
      </w:r>
      <w:r w:rsidRPr="00E1352B">
        <w:rPr>
          <w:i/>
          <w:color w:val="000000"/>
        </w:rPr>
        <w:t>CCEI</w:t>
      </w:r>
      <w:r w:rsidRPr="00E1352B">
        <w:rPr>
          <w:color w:val="000000"/>
        </w:rPr>
        <w:t>), jo īstenošana dalībvalstīs kavējas laikā, kad sadarbībai un investīcijām šajā jomā vajadzētu piedzīvot uzplaukumu;</w:t>
      </w:r>
    </w:p>
    <w:p w14:paraId="0E03EC89" w14:textId="77777777" w:rsidR="00453AE1" w:rsidRPr="00E1352B" w:rsidRDefault="00453AE1" w:rsidP="00453AE1">
      <w:pPr>
        <w:spacing w:after="240"/>
        <w:ind w:left="567" w:hanging="567"/>
        <w:rPr>
          <w:color w:val="000000"/>
        </w:rPr>
      </w:pPr>
      <w:r w:rsidRPr="00E1352B">
        <w:rPr>
          <w:color w:val="000000"/>
        </w:rPr>
        <w:t>6.</w:t>
      </w:r>
      <w:r w:rsidRPr="00E1352B">
        <w:rPr>
          <w:color w:val="000000"/>
        </w:rPr>
        <w:tab/>
        <w:t>atzinīgi vērtē ietaupījumus saistību jomā (5 miljoni EUR) tehniskā atbalsta instrumentam, ko nosaka iepirkuma konkursa procedūru radītais efektivitātes pieaugums;</w:t>
      </w:r>
    </w:p>
    <w:p w14:paraId="4795EB55" w14:textId="77777777" w:rsidR="00453AE1" w:rsidRPr="00E1352B" w:rsidRDefault="00453AE1" w:rsidP="00453AE1">
      <w:pPr>
        <w:spacing w:after="240"/>
        <w:ind w:left="567" w:hanging="567"/>
        <w:rPr>
          <w:color w:val="000000"/>
        </w:rPr>
      </w:pPr>
      <w:r w:rsidRPr="00E1352B">
        <w:rPr>
          <w:color w:val="000000"/>
        </w:rPr>
        <w:t>7.</w:t>
      </w:r>
      <w:r w:rsidRPr="00E1352B">
        <w:rPr>
          <w:color w:val="000000"/>
        </w:rPr>
        <w:tab/>
      </w:r>
      <w:r w:rsidRPr="00E1352B">
        <w:t>pieņem zināšanai reformu īstenošanas tempu un tam atbilstošo Ukrainas mehānisma maksājumu apguves palēnināšanos;</w:t>
      </w:r>
      <w:r w:rsidRPr="00E1352B">
        <w:rPr>
          <w:color w:val="000000"/>
        </w:rPr>
        <w:t xml:space="preserve"> </w:t>
      </w:r>
      <w:r w:rsidRPr="00E1352B">
        <w:t>atzīst, ka daļu no neapgūtajām apropriācijām var pārnest uz nākamo budžeta gadu;</w:t>
      </w:r>
      <w:r w:rsidRPr="00E1352B">
        <w:rPr>
          <w:color w:val="000000"/>
        </w:rPr>
        <w:t xml:space="preserve"> mudina visus iesaistītos dalībniekus panākt progresu pasākumos, kas saistīti ar reformām un investīcijām, piemēram, finansējuma apvienošanas nolīgumiem;</w:t>
      </w:r>
    </w:p>
    <w:p w14:paraId="5D71F21F" w14:textId="77777777" w:rsidR="00453AE1" w:rsidRPr="00E1352B" w:rsidRDefault="00453AE1" w:rsidP="00453AE1">
      <w:pPr>
        <w:spacing w:after="240"/>
        <w:ind w:left="567" w:hanging="567"/>
        <w:rPr>
          <w:color w:val="000000"/>
        </w:rPr>
      </w:pPr>
      <w:r w:rsidRPr="00E1352B">
        <w:rPr>
          <w:color w:val="000000"/>
        </w:rPr>
        <w:t>8.</w:t>
      </w:r>
      <w:r w:rsidRPr="00E1352B">
        <w:rPr>
          <w:color w:val="000000"/>
        </w:rPr>
        <w:tab/>
        <w:t xml:space="preserve">pieņem zināšanai, ka ir koriģētas Savienības iemaksas dažādām decentralizētajām aģentūrām; uzskata, ka šīs korekcijas galvenokārt ir tehniskas; atzinīgi vērtē šīs korekcijas, ciktāl tās optimizē resursu izmantošanu darbības pozīcijās, piemēram, </w:t>
      </w:r>
      <w:r w:rsidRPr="00E1352B">
        <w:rPr>
          <w:i/>
          <w:color w:val="000000"/>
        </w:rPr>
        <w:t>LIFE</w:t>
      </w:r>
      <w:r w:rsidRPr="00E1352B">
        <w:rPr>
          <w:color w:val="000000"/>
        </w:rPr>
        <w:t xml:space="preserve">, </w:t>
      </w:r>
      <w:r w:rsidRPr="00E1352B">
        <w:rPr>
          <w:i/>
          <w:color w:val="000000"/>
        </w:rPr>
        <w:t>AMIF</w:t>
      </w:r>
      <w:r w:rsidRPr="00E1352B">
        <w:rPr>
          <w:color w:val="000000"/>
        </w:rPr>
        <w:t xml:space="preserve"> vai Vienotā tirgus programmā; tomēr pauž nožēlu par to, ka galvenais iemesls saistību un maksājumu apropriāciju “atdošanai atpakaļ”, novirzot tās no attiecīgajām aģentūru pozīcijām uz saistītajām programmu pozīcijām, ir darbinieku pieņemšanas darbā aizkavēšanās vai kavēšanās tādu jaunu politikas un likumdošanas iniciatīvu ieviešanā kā privāto ieguldījumu stratēģija (kas attiecas uz EVTI un EAAPI), Patvēruma un migrācijas pakts (kas attiecas uz </w:t>
      </w:r>
      <w:r w:rsidRPr="00E1352B">
        <w:rPr>
          <w:i/>
          <w:color w:val="000000"/>
        </w:rPr>
        <w:t>EUAA</w:t>
      </w:r>
      <w:r w:rsidRPr="00E1352B">
        <w:rPr>
          <w:color w:val="000000"/>
        </w:rPr>
        <w:t xml:space="preserve">), kuģošanas drošības tiesību aktu kopums (kas attiecas uz </w:t>
      </w:r>
      <w:r w:rsidRPr="00E1352B">
        <w:rPr>
          <w:i/>
          <w:color w:val="000000"/>
        </w:rPr>
        <w:t>EMSA</w:t>
      </w:r>
      <w:r w:rsidRPr="00E1352B">
        <w:rPr>
          <w:color w:val="000000"/>
        </w:rPr>
        <w:t xml:space="preserve">) vai priekšlikums par jauniem </w:t>
      </w:r>
      <w:proofErr w:type="spellStart"/>
      <w:r w:rsidRPr="00E1352B">
        <w:rPr>
          <w:color w:val="000000"/>
        </w:rPr>
        <w:t>genomikas</w:t>
      </w:r>
      <w:proofErr w:type="spellEnd"/>
      <w:r w:rsidRPr="00E1352B">
        <w:rPr>
          <w:color w:val="000000"/>
        </w:rPr>
        <w:t xml:space="preserve"> paņēmieniem (kas attiecas uz </w:t>
      </w:r>
      <w:r w:rsidRPr="00E1352B">
        <w:rPr>
          <w:i/>
          <w:color w:val="000000"/>
        </w:rPr>
        <w:t>EFSA</w:t>
      </w:r>
      <w:r w:rsidRPr="00E1352B">
        <w:rPr>
          <w:color w:val="000000"/>
        </w:rPr>
        <w:t>);</w:t>
      </w:r>
    </w:p>
    <w:p w14:paraId="77626BB8" w14:textId="77777777" w:rsidR="00453AE1" w:rsidRPr="00E1352B" w:rsidRDefault="00453AE1" w:rsidP="00453AE1">
      <w:pPr>
        <w:spacing w:after="240"/>
        <w:ind w:left="567" w:hanging="567"/>
        <w:rPr>
          <w:color w:val="000000"/>
        </w:rPr>
      </w:pPr>
      <w:r w:rsidRPr="00E1352B">
        <w:rPr>
          <w:color w:val="000000"/>
        </w:rPr>
        <w:t>9.</w:t>
      </w:r>
      <w:r w:rsidRPr="00E1352B">
        <w:rPr>
          <w:color w:val="000000"/>
        </w:rPr>
        <w:tab/>
        <w:t>šajā sakarībā uzsver un atkārtoti pauž stingru atbalstu nesen izveidotajai Iestādei nelikumīgi iegūtu līdzekļu legalizēšanas novēršanai (</w:t>
      </w:r>
      <w:r w:rsidRPr="00E1352B">
        <w:rPr>
          <w:i/>
          <w:color w:val="000000"/>
        </w:rPr>
        <w:t>AMLA</w:t>
      </w:r>
      <w:r w:rsidRPr="00E1352B">
        <w:rPr>
          <w:color w:val="000000"/>
        </w:rPr>
        <w:t xml:space="preserve">) pārskatītajā Savienības līmeņa regulējumā, kas attiecas uz nelikumīgi iegūtu līdzekļu legalizācijas novēršanu; </w:t>
      </w:r>
      <w:r w:rsidRPr="00E1352B">
        <w:t>joprojām pauž dziļas bažas par pastāvīgo kavēšanos izveides posmā, jo īpaši saistībā ar pieņemšanu darbā, un prasa paātrināt attiecīgos darbā pieņemšanas procesus;</w:t>
      </w:r>
    </w:p>
    <w:p w14:paraId="15CB7798" w14:textId="25A1A275" w:rsidR="00453AE1" w:rsidRPr="00E1352B" w:rsidRDefault="00E1352B" w:rsidP="00453AE1">
      <w:pPr>
        <w:spacing w:after="240"/>
        <w:ind w:left="567" w:hanging="567"/>
        <w:rPr>
          <w:color w:val="000000"/>
        </w:rPr>
      </w:pPr>
      <w:sdt>
        <w:sdtPr>
          <w:tag w:val="goog_rdk_19"/>
          <w:id w:val="599988960"/>
        </w:sdtPr>
        <w:sdtEndPr/>
        <w:sdtContent/>
      </w:sdt>
      <w:r w:rsidR="00453AE1" w:rsidRPr="00E1352B">
        <w:rPr>
          <w:color w:val="000000"/>
        </w:rPr>
        <w:t>10.</w:t>
      </w:r>
      <w:r w:rsidR="00453AE1" w:rsidRPr="00E1352B">
        <w:rPr>
          <w:color w:val="000000"/>
        </w:rPr>
        <w:tab/>
        <w:t xml:space="preserve">atzinīgi vērtē to, ka budžetā ir iekļauti papildu ieņēmumi, kas rodas no galīgajiem naudas sodiem un soda maksājumiem 1185,1 miljona EUR apmērā; uzskata, ka šīs summas ir patiesi Savienības ieņēmumu avoti, kas samazina NKI balstītās dalībvalstu iemaksas; šajā sakarībā atgādina, ka Komisija ir ierosinājusi grozījumus nākamajam </w:t>
      </w:r>
      <w:r w:rsidR="002C3DB4" w:rsidRPr="00E1352B">
        <w:rPr>
          <w:color w:val="000000"/>
        </w:rPr>
        <w:t>daudzgadu finanšu shēmas</w:t>
      </w:r>
      <w:r w:rsidR="00453AE1" w:rsidRPr="00E1352B">
        <w:rPr>
          <w:color w:val="000000"/>
        </w:rPr>
        <w:t xml:space="preserve"> darbības laikposmam, lai nodrošinātu, ka šādi neparedzēti ieņēmumi var radīt papildu izdevumu apropriācijas;</w:t>
      </w:r>
    </w:p>
    <w:p w14:paraId="39B7BE89" w14:textId="77777777" w:rsidR="00453AE1" w:rsidRPr="00E1352B" w:rsidRDefault="00453AE1" w:rsidP="00453AE1">
      <w:pPr>
        <w:spacing w:after="240"/>
        <w:ind w:left="567" w:hanging="567"/>
        <w:rPr>
          <w:color w:val="000000"/>
        </w:rPr>
      </w:pPr>
      <w:r w:rsidRPr="00E1352B">
        <w:rPr>
          <w:color w:val="000000"/>
        </w:rPr>
        <w:lastRenderedPageBreak/>
        <w:t>11.</w:t>
      </w:r>
      <w:r w:rsidRPr="00E1352B">
        <w:rPr>
          <w:color w:val="000000"/>
        </w:rPr>
        <w:tab/>
        <w:t xml:space="preserve">pieņem zināšanai priekšlikumu budžetā iekļaut aplēsto tradicionālo pašu resursu pārpalikumu 1300 miljonu EUR apmērā; pauž šaubas par to, vai ir lietderīgi budžeta gada laikā atkārtoti atjaunināt ieņēmumus, kas izriet no muitas nodokļiem, jo īpaši ārpus ikgadējā īpašā budžeta grozījuma, ar ko atjaunina un </w:t>
      </w:r>
      <w:proofErr w:type="spellStart"/>
      <w:r w:rsidRPr="00E1352B">
        <w:rPr>
          <w:color w:val="000000"/>
        </w:rPr>
        <w:t>regularizē</w:t>
      </w:r>
      <w:proofErr w:type="spellEnd"/>
      <w:r w:rsidRPr="00E1352B">
        <w:rPr>
          <w:color w:val="000000"/>
        </w:rPr>
        <w:t xml:space="preserve"> ieņēmumu daļu;</w:t>
      </w:r>
    </w:p>
    <w:p w14:paraId="59157013" w14:textId="77777777" w:rsidR="00453AE1" w:rsidRPr="00E1352B" w:rsidRDefault="00453AE1" w:rsidP="00453AE1">
      <w:pPr>
        <w:spacing w:after="240"/>
        <w:ind w:left="567" w:hanging="567"/>
        <w:rPr>
          <w:color w:val="000000"/>
        </w:rPr>
      </w:pPr>
      <w:r w:rsidRPr="00E1352B">
        <w:t>12.</w:t>
      </w:r>
      <w:r w:rsidRPr="00E1352B">
        <w:tab/>
        <w:t>pieņem zināšanai algu korekciju atjaunināšanu 2025. gadam un piekrīt iekļaut šo korekciju ietekmi uz budžetu kā tehnisku grozījumu budžeta grozījuma Nr. 3/2025 projektā; norāda, ka tas nozīmē nediferencēto apropriāciju samazinājumu kopsummā par 78,8 miljoniem EUR attiecīgajās budžeta pozīcijās un iedaļās 7. izdevumu kategorijā;</w:t>
      </w:r>
    </w:p>
    <w:p w14:paraId="26796EBB" w14:textId="77777777" w:rsidR="00453AE1" w:rsidRPr="00E1352B" w:rsidRDefault="00453AE1" w:rsidP="00453AE1">
      <w:pPr>
        <w:spacing w:after="240"/>
        <w:ind w:left="567" w:hanging="567"/>
        <w:rPr>
          <w:color w:val="000000"/>
        </w:rPr>
      </w:pPr>
      <w:r w:rsidRPr="00E1352B">
        <w:rPr>
          <w:color w:val="000000"/>
        </w:rPr>
        <w:t>13.</w:t>
      </w:r>
      <w:r w:rsidRPr="00E1352B">
        <w:rPr>
          <w:color w:val="000000"/>
        </w:rPr>
        <w:tab/>
        <w:t>apstiprina Padomes nostāju attiecībā uz budžeta grozījuma Nr. 3/2025 projektu;</w:t>
      </w:r>
    </w:p>
    <w:p w14:paraId="1B99D001" w14:textId="77777777" w:rsidR="00453AE1" w:rsidRPr="00E1352B" w:rsidRDefault="00453AE1" w:rsidP="00453AE1">
      <w:pPr>
        <w:spacing w:after="240"/>
        <w:ind w:left="567" w:hanging="567"/>
        <w:rPr>
          <w:color w:val="000000"/>
        </w:rPr>
      </w:pPr>
      <w:r w:rsidRPr="00E1352B">
        <w:rPr>
          <w:color w:val="000000"/>
        </w:rPr>
        <w:t>14.</w:t>
      </w:r>
      <w:r w:rsidRPr="00E1352B">
        <w:rPr>
          <w:color w:val="000000"/>
        </w:rPr>
        <w:tab/>
        <w:t xml:space="preserve">uzdod priekšsēdētājai paziņot, ka budžeta grozījums Nr. 3/2025 ir pieņemts galīgajā variantā, kā arī nodrošināt tā publicēšanu </w:t>
      </w:r>
      <w:r w:rsidRPr="00E1352B">
        <w:rPr>
          <w:i/>
          <w:color w:val="000000"/>
        </w:rPr>
        <w:t>Eiropas Savienības Oficiālajā Vēstnesī</w:t>
      </w:r>
      <w:r w:rsidRPr="00E1352B">
        <w:rPr>
          <w:color w:val="000000"/>
        </w:rPr>
        <w:t>;</w:t>
      </w:r>
    </w:p>
    <w:p w14:paraId="7A4A5D8B" w14:textId="43498325" w:rsidR="00E365E1" w:rsidRPr="00E1352B" w:rsidRDefault="00453AE1" w:rsidP="00E1352B">
      <w:pPr>
        <w:spacing w:after="240"/>
        <w:ind w:left="567" w:hanging="567"/>
      </w:pPr>
      <w:r w:rsidRPr="00E1352B">
        <w:rPr>
          <w:color w:val="000000"/>
        </w:rPr>
        <w:t>15.</w:t>
      </w:r>
      <w:r w:rsidRPr="00E1352B">
        <w:rPr>
          <w:color w:val="000000"/>
        </w:rPr>
        <w:tab/>
        <w:t>uzdod priekšsēdētājai šo rezolūciju nosūtīt Padomei, Komisijai un dalībvalstu parlamentiem.</w:t>
      </w:r>
    </w:p>
    <w:sectPr w:rsidR="00E365E1" w:rsidRPr="00E1352B" w:rsidSect="004343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D0B08" w14:textId="77777777" w:rsidR="00DE13A7" w:rsidRPr="004343C8" w:rsidRDefault="00DE13A7">
      <w:r w:rsidRPr="004343C8">
        <w:separator/>
      </w:r>
    </w:p>
  </w:endnote>
  <w:endnote w:type="continuationSeparator" w:id="0">
    <w:p w14:paraId="0FF84AB4" w14:textId="77777777" w:rsidR="00DE13A7" w:rsidRPr="004343C8" w:rsidRDefault="00DE13A7">
      <w:r w:rsidRPr="004343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B58CF" w14:textId="77777777" w:rsidR="00064002" w:rsidRPr="004343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DC660" w14:textId="77777777" w:rsidR="00064002" w:rsidRPr="004343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10845" w14:textId="77777777" w:rsidR="00064002" w:rsidRPr="004343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74E71" w14:textId="77777777" w:rsidR="00DE13A7" w:rsidRPr="004343C8" w:rsidRDefault="00DE13A7">
      <w:r w:rsidRPr="004343C8">
        <w:separator/>
      </w:r>
    </w:p>
  </w:footnote>
  <w:footnote w:type="continuationSeparator" w:id="0">
    <w:p w14:paraId="0C1B525B" w14:textId="77777777" w:rsidR="00DE13A7" w:rsidRPr="004343C8" w:rsidRDefault="00DE13A7">
      <w:r w:rsidRPr="004343C8">
        <w:continuationSeparator/>
      </w:r>
    </w:p>
  </w:footnote>
  <w:footnote w:id="1">
    <w:p w14:paraId="45FCB9C1" w14:textId="60BCC375" w:rsidR="00453AE1" w:rsidRPr="004343C8" w:rsidRDefault="00453AE1" w:rsidP="004343C8">
      <w:pPr>
        <w:pStyle w:val="FootnoteText"/>
        <w:ind w:left="567" w:hanging="567"/>
        <w:rPr>
          <w:sz w:val="24"/>
          <w:lang w:val="lv-LV"/>
        </w:rPr>
      </w:pPr>
      <w:r w:rsidRPr="004343C8">
        <w:rPr>
          <w:rStyle w:val="FootnoteReference"/>
          <w:sz w:val="24"/>
          <w:lang w:val="lv-LV"/>
        </w:rPr>
        <w:footnoteRef/>
      </w:r>
      <w:r w:rsidR="004343C8" w:rsidRPr="004343C8">
        <w:rPr>
          <w:sz w:val="24"/>
          <w:lang w:val="lv-LV"/>
        </w:rPr>
        <w:t xml:space="preserve"> </w:t>
      </w:r>
      <w:r w:rsidR="004343C8" w:rsidRPr="004343C8">
        <w:rPr>
          <w:sz w:val="24"/>
          <w:lang w:val="lv-LV"/>
        </w:rPr>
        <w:tab/>
      </w:r>
      <w:r w:rsidRPr="004343C8">
        <w:rPr>
          <w:sz w:val="24"/>
          <w:lang w:val="lv-LV"/>
        </w:rPr>
        <w:t xml:space="preserve">OV L, 2024/2509, 26.9.2024., ELI: </w:t>
      </w:r>
      <w:hyperlink r:id="rId1" w:history="1">
        <w:r w:rsidRPr="004343C8">
          <w:rPr>
            <w:rStyle w:val="Hyperlink"/>
            <w:sz w:val="24"/>
            <w:lang w:val="lv-LV"/>
          </w:rPr>
          <w:t>http://data.europa.eu/eli/reg/2024/2509/oj</w:t>
        </w:r>
      </w:hyperlink>
      <w:r w:rsidRPr="004343C8">
        <w:rPr>
          <w:sz w:val="24"/>
          <w:lang w:val="lv-LV"/>
        </w:rPr>
        <w:t>.</w:t>
      </w:r>
    </w:p>
  </w:footnote>
  <w:footnote w:id="2">
    <w:p w14:paraId="0B6EF8DC" w14:textId="4540521D" w:rsidR="00453AE1" w:rsidRPr="004343C8" w:rsidRDefault="00453AE1" w:rsidP="004343C8">
      <w:pPr>
        <w:pStyle w:val="FootnoteText"/>
        <w:ind w:left="567" w:hanging="567"/>
        <w:rPr>
          <w:sz w:val="24"/>
          <w:lang w:val="lv-LV"/>
        </w:rPr>
      </w:pPr>
      <w:r w:rsidRPr="004343C8">
        <w:rPr>
          <w:rStyle w:val="FootnoteReference"/>
          <w:sz w:val="24"/>
          <w:lang w:val="lv-LV"/>
        </w:rPr>
        <w:footnoteRef/>
      </w:r>
      <w:r w:rsidR="004343C8" w:rsidRPr="004343C8">
        <w:rPr>
          <w:sz w:val="24"/>
          <w:lang w:val="lv-LV"/>
        </w:rPr>
        <w:t xml:space="preserve"> </w:t>
      </w:r>
      <w:r w:rsidR="004343C8" w:rsidRPr="004343C8">
        <w:rPr>
          <w:sz w:val="24"/>
          <w:lang w:val="lv-LV"/>
        </w:rPr>
        <w:tab/>
      </w:r>
      <w:r w:rsidRPr="004343C8">
        <w:rPr>
          <w:sz w:val="24"/>
          <w:lang w:val="lv-LV"/>
        </w:rPr>
        <w:t xml:space="preserve">OV L, 2025/31, 27.2.2025., ELI: </w:t>
      </w:r>
      <w:r w:rsidR="00E1352B">
        <w:fldChar w:fldCharType="begin"/>
      </w:r>
      <w:r w:rsidR="00E1352B" w:rsidRPr="00E1352B">
        <w:rPr>
          <w:lang w:val="fi-FI"/>
        </w:rPr>
        <w:instrText>HYPERLINK "http://data.europa.eu/eli/budget/2025/31/oj%20"</w:instrText>
      </w:r>
      <w:r w:rsidR="00E1352B">
        <w:fldChar w:fldCharType="separate"/>
      </w:r>
      <w:r w:rsidRPr="004343C8">
        <w:rPr>
          <w:rStyle w:val="Hyperlink"/>
          <w:sz w:val="24"/>
          <w:lang w:val="lv-LV"/>
        </w:rPr>
        <w:t>http://data.europa.eu/eli/budget/2025/31/oj</w:t>
      </w:r>
      <w:r w:rsidR="00E1352B">
        <w:rPr>
          <w:rStyle w:val="Hyperlink"/>
          <w:sz w:val="24"/>
          <w:lang w:val="lv-LV"/>
        </w:rPr>
        <w:fldChar w:fldCharType="end"/>
      </w:r>
      <w:r w:rsidRPr="004343C8">
        <w:rPr>
          <w:rStyle w:val="Hyperlink"/>
          <w:sz w:val="24"/>
          <w:lang w:val="lv-LV"/>
        </w:rPr>
        <w:t>.</w:t>
      </w:r>
    </w:p>
  </w:footnote>
  <w:footnote w:id="3">
    <w:p w14:paraId="3B4DB7EF" w14:textId="0921116B" w:rsidR="00453AE1" w:rsidRPr="004343C8" w:rsidRDefault="00453AE1" w:rsidP="004343C8">
      <w:pPr>
        <w:pStyle w:val="FootnoteText"/>
        <w:ind w:left="567" w:hanging="567"/>
        <w:rPr>
          <w:sz w:val="24"/>
          <w:lang w:val="lv-LV"/>
        </w:rPr>
      </w:pPr>
      <w:r w:rsidRPr="004343C8">
        <w:rPr>
          <w:rStyle w:val="FootnoteReference"/>
          <w:sz w:val="24"/>
          <w:lang w:val="lv-LV"/>
        </w:rPr>
        <w:footnoteRef/>
      </w:r>
      <w:r w:rsidR="004343C8" w:rsidRPr="004343C8">
        <w:rPr>
          <w:sz w:val="24"/>
          <w:lang w:val="lv-LV"/>
        </w:rPr>
        <w:t xml:space="preserve"> </w:t>
      </w:r>
      <w:r w:rsidR="004343C8" w:rsidRPr="004343C8">
        <w:rPr>
          <w:sz w:val="24"/>
          <w:lang w:val="lv-LV"/>
        </w:rPr>
        <w:tab/>
      </w:r>
      <w:r w:rsidRPr="004343C8">
        <w:rPr>
          <w:sz w:val="24"/>
          <w:lang w:val="lv-LV"/>
        </w:rPr>
        <w:t xml:space="preserve">OV L 433 I, 22.12.2020., 11. lpp., ELI: </w:t>
      </w:r>
      <w:r w:rsidR="00E1352B">
        <w:fldChar w:fldCharType="begin"/>
      </w:r>
      <w:r w:rsidR="00E1352B" w:rsidRPr="00E1352B">
        <w:rPr>
          <w:lang w:val="sv-SE"/>
        </w:rPr>
        <w:instrText>HYPERLINK "http://data.europa.eu/eli/reg/2020/433/oj"</w:instrText>
      </w:r>
      <w:r w:rsidR="00E1352B">
        <w:fldChar w:fldCharType="separate"/>
      </w:r>
      <w:r w:rsidRPr="004343C8">
        <w:rPr>
          <w:rStyle w:val="Hyperlink"/>
          <w:sz w:val="24"/>
          <w:lang w:val="lv-LV"/>
        </w:rPr>
        <w:t>http://data.europa.eu/eli/reg/2020/433/oj</w:t>
      </w:r>
      <w:r w:rsidR="00E1352B">
        <w:rPr>
          <w:rStyle w:val="Hyperlink"/>
          <w:sz w:val="24"/>
          <w:lang w:val="lv-LV"/>
        </w:rPr>
        <w:fldChar w:fldCharType="end"/>
      </w:r>
      <w:r w:rsidRPr="004343C8">
        <w:rPr>
          <w:sz w:val="24"/>
          <w:lang w:val="lv-LV"/>
        </w:rPr>
        <w:t>.</w:t>
      </w:r>
    </w:p>
  </w:footnote>
  <w:footnote w:id="4">
    <w:p w14:paraId="2F962584" w14:textId="7E5FD132" w:rsidR="00453AE1" w:rsidRPr="004343C8" w:rsidRDefault="00453AE1" w:rsidP="004343C8">
      <w:pPr>
        <w:pStyle w:val="FootnoteText"/>
        <w:ind w:left="567" w:hanging="567"/>
        <w:rPr>
          <w:sz w:val="24"/>
          <w:lang w:val="lv-LV"/>
        </w:rPr>
      </w:pPr>
      <w:r w:rsidRPr="004343C8">
        <w:rPr>
          <w:rStyle w:val="FootnoteReference"/>
          <w:sz w:val="24"/>
          <w:lang w:val="lv-LV"/>
        </w:rPr>
        <w:footnoteRef/>
      </w:r>
      <w:r w:rsidR="004343C8" w:rsidRPr="004343C8">
        <w:rPr>
          <w:sz w:val="24"/>
          <w:lang w:val="lv-LV"/>
        </w:rPr>
        <w:t xml:space="preserve"> </w:t>
      </w:r>
      <w:r w:rsidR="004343C8" w:rsidRPr="004343C8">
        <w:rPr>
          <w:sz w:val="24"/>
          <w:lang w:val="lv-LV"/>
        </w:rPr>
        <w:tab/>
      </w:r>
      <w:r w:rsidRPr="004343C8">
        <w:rPr>
          <w:sz w:val="24"/>
          <w:lang w:val="lv-LV"/>
        </w:rPr>
        <w:t xml:space="preserve">OV L 433 I, 22.12.2020., 28. lpp., ELI: </w:t>
      </w:r>
      <w:r w:rsidR="00E1352B">
        <w:fldChar w:fldCharType="begin"/>
      </w:r>
      <w:r w:rsidR="00E1352B" w:rsidRPr="00E1352B">
        <w:rPr>
          <w:lang w:val="sv-SE"/>
        </w:rPr>
        <w:instrText>HYPERLINK "http://data.europa.eu/eli/agree_interinstit/2020/1222/oj"</w:instrText>
      </w:r>
      <w:r w:rsidR="00E1352B">
        <w:fldChar w:fldCharType="separate"/>
      </w:r>
      <w:r w:rsidRPr="004343C8">
        <w:rPr>
          <w:rStyle w:val="Hyperlink"/>
          <w:sz w:val="24"/>
          <w:lang w:val="lv-LV"/>
        </w:rPr>
        <w:t>http://data.europa.eu/eli/agree_interinstit/2020/1222/oj</w:t>
      </w:r>
      <w:r w:rsidR="00E1352B">
        <w:rPr>
          <w:rStyle w:val="Hyperlink"/>
          <w:sz w:val="24"/>
          <w:lang w:val="lv-LV"/>
        </w:rPr>
        <w:fldChar w:fldCharType="end"/>
      </w:r>
      <w:r w:rsidRPr="004343C8">
        <w:rPr>
          <w:sz w:val="24"/>
          <w:lang w:val="lv-LV"/>
        </w:rPr>
        <w:t>.</w:t>
      </w:r>
    </w:p>
  </w:footnote>
  <w:footnote w:id="5">
    <w:p w14:paraId="2E29FCB1" w14:textId="612AADEE" w:rsidR="00453AE1" w:rsidRPr="004343C8" w:rsidRDefault="00453AE1" w:rsidP="004343C8">
      <w:pPr>
        <w:pStyle w:val="FootnoteText"/>
        <w:ind w:left="567" w:hanging="567"/>
        <w:rPr>
          <w:sz w:val="24"/>
          <w:lang w:val="lv-LV"/>
        </w:rPr>
      </w:pPr>
      <w:r w:rsidRPr="004343C8">
        <w:rPr>
          <w:rStyle w:val="FootnoteReference"/>
          <w:sz w:val="24"/>
          <w:lang w:val="lv-LV"/>
        </w:rPr>
        <w:footnoteRef/>
      </w:r>
      <w:r w:rsidR="004343C8" w:rsidRPr="004343C8">
        <w:rPr>
          <w:sz w:val="24"/>
          <w:lang w:val="lv-LV"/>
        </w:rPr>
        <w:t xml:space="preserve"> </w:t>
      </w:r>
      <w:r w:rsidR="004343C8" w:rsidRPr="004343C8">
        <w:rPr>
          <w:sz w:val="24"/>
          <w:lang w:val="lv-LV"/>
        </w:rPr>
        <w:tab/>
      </w:r>
      <w:r w:rsidRPr="004343C8">
        <w:rPr>
          <w:sz w:val="24"/>
          <w:lang w:val="lv-LV"/>
        </w:rPr>
        <w:t xml:space="preserve">OV L 424, 15.12.2020., 1. lpp., ELI: </w:t>
      </w:r>
      <w:r w:rsidR="00E1352B">
        <w:fldChar w:fldCharType="begin"/>
      </w:r>
      <w:r w:rsidR="00E1352B" w:rsidRPr="00E1352B">
        <w:rPr>
          <w:lang w:val="fi-FI"/>
        </w:rPr>
        <w:instrText>HYPERLINK "http://data.europa.eu/eli/dec/2020/2053/oj"</w:instrText>
      </w:r>
      <w:r w:rsidR="00E1352B">
        <w:fldChar w:fldCharType="separate"/>
      </w:r>
      <w:r w:rsidRPr="004343C8">
        <w:rPr>
          <w:rStyle w:val="Hyperlink"/>
          <w:sz w:val="24"/>
          <w:lang w:val="lv-LV"/>
        </w:rPr>
        <w:t>http://data.europa.eu/eli/dec/2020/2053/oj</w:t>
      </w:r>
      <w:r w:rsidR="00E1352B">
        <w:rPr>
          <w:rStyle w:val="Hyperlink"/>
          <w:sz w:val="24"/>
          <w:lang w:val="lv-LV"/>
        </w:rPr>
        <w:fldChar w:fldCharType="end"/>
      </w:r>
      <w:r w:rsidRPr="004343C8">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0248F" w14:textId="77777777" w:rsidR="00064002" w:rsidRPr="004343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8422E" w14:textId="77777777" w:rsidR="00064002" w:rsidRPr="004343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893C2" w14:textId="77777777" w:rsidR="00064002" w:rsidRPr="004343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067344">
    <w:abstractNumId w:val="9"/>
  </w:num>
  <w:num w:numId="2" w16cid:durableId="232854868">
    <w:abstractNumId w:val="9"/>
  </w:num>
  <w:num w:numId="3" w16cid:durableId="1915430566">
    <w:abstractNumId w:val="7"/>
  </w:num>
  <w:num w:numId="4" w16cid:durableId="658464840">
    <w:abstractNumId w:val="7"/>
  </w:num>
  <w:num w:numId="5" w16cid:durableId="1744836612">
    <w:abstractNumId w:val="6"/>
  </w:num>
  <w:num w:numId="6" w16cid:durableId="317197248">
    <w:abstractNumId w:val="6"/>
  </w:num>
  <w:num w:numId="7" w16cid:durableId="905803322">
    <w:abstractNumId w:val="5"/>
  </w:num>
  <w:num w:numId="8" w16cid:durableId="1752586124">
    <w:abstractNumId w:val="5"/>
  </w:num>
  <w:num w:numId="9" w16cid:durableId="1173569071">
    <w:abstractNumId w:val="4"/>
  </w:num>
  <w:num w:numId="10" w16cid:durableId="492840234">
    <w:abstractNumId w:val="4"/>
  </w:num>
  <w:num w:numId="11" w16cid:durableId="1018123291">
    <w:abstractNumId w:val="8"/>
  </w:num>
  <w:num w:numId="12" w16cid:durableId="245843798">
    <w:abstractNumId w:val="8"/>
  </w:num>
  <w:num w:numId="13" w16cid:durableId="871454016">
    <w:abstractNumId w:val="3"/>
  </w:num>
  <w:num w:numId="14" w16cid:durableId="2101834550">
    <w:abstractNumId w:val="3"/>
  </w:num>
  <w:num w:numId="15" w16cid:durableId="1995333181">
    <w:abstractNumId w:val="2"/>
  </w:num>
  <w:num w:numId="16" w16cid:durableId="752431218">
    <w:abstractNumId w:val="2"/>
  </w:num>
  <w:num w:numId="17" w16cid:durableId="1367755878">
    <w:abstractNumId w:val="1"/>
  </w:num>
  <w:num w:numId="18" w16cid:durableId="1664511115">
    <w:abstractNumId w:val="1"/>
  </w:num>
  <w:num w:numId="19" w16cid:durableId="2031295603">
    <w:abstractNumId w:val="0"/>
  </w:num>
  <w:num w:numId="20" w16cid:durableId="1386180843">
    <w:abstractNumId w:val="0"/>
  </w:num>
  <w:num w:numId="21" w16cid:durableId="1756436607">
    <w:abstractNumId w:val="9"/>
  </w:num>
  <w:num w:numId="22" w16cid:durableId="885139516">
    <w:abstractNumId w:val="7"/>
  </w:num>
  <w:num w:numId="23" w16cid:durableId="1571698260">
    <w:abstractNumId w:val="6"/>
  </w:num>
  <w:num w:numId="24" w16cid:durableId="50035143">
    <w:abstractNumId w:val="5"/>
  </w:num>
  <w:num w:numId="25" w16cid:durableId="779569208">
    <w:abstractNumId w:val="4"/>
  </w:num>
  <w:num w:numId="26" w16cid:durableId="794567153">
    <w:abstractNumId w:val="8"/>
  </w:num>
  <w:num w:numId="27" w16cid:durableId="1205751708">
    <w:abstractNumId w:val="3"/>
  </w:num>
  <w:num w:numId="28" w16cid:durableId="2014264118">
    <w:abstractNumId w:val="2"/>
  </w:num>
  <w:num w:numId="29" w16cid:durableId="37241120">
    <w:abstractNumId w:val="1"/>
  </w:num>
  <w:num w:numId="30" w16cid:durableId="1864781757">
    <w:abstractNumId w:val="0"/>
  </w:num>
  <w:num w:numId="31" w16cid:durableId="1731536223">
    <w:abstractNumId w:val="9"/>
  </w:num>
  <w:num w:numId="32" w16cid:durableId="260838016">
    <w:abstractNumId w:val="7"/>
  </w:num>
  <w:num w:numId="33" w16cid:durableId="1984651514">
    <w:abstractNumId w:val="6"/>
  </w:num>
  <w:num w:numId="34" w16cid:durableId="1150754882">
    <w:abstractNumId w:val="5"/>
  </w:num>
  <w:num w:numId="35" w16cid:durableId="1753088495">
    <w:abstractNumId w:val="4"/>
  </w:num>
  <w:num w:numId="36" w16cid:durableId="288246999">
    <w:abstractNumId w:val="8"/>
  </w:num>
  <w:num w:numId="37" w16cid:durableId="1965651146">
    <w:abstractNumId w:val="3"/>
  </w:num>
  <w:num w:numId="38" w16cid:durableId="1436244354">
    <w:abstractNumId w:val="2"/>
  </w:num>
  <w:num w:numId="39" w16cid:durableId="1481842683">
    <w:abstractNumId w:val="1"/>
  </w:num>
  <w:num w:numId="40" w16cid:durableId="615675786">
    <w:abstractNumId w:val="0"/>
  </w:num>
  <w:num w:numId="41" w16cid:durableId="1085952628">
    <w:abstractNumId w:val="10"/>
  </w:num>
  <w:num w:numId="42" w16cid:durableId="855390336">
    <w:abstractNumId w:val="10"/>
  </w:num>
  <w:num w:numId="43" w16cid:durableId="1464225678">
    <w:abstractNumId w:val="10"/>
  </w:num>
  <w:num w:numId="44" w16cid:durableId="1551184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LV"/>
    <w:docVar w:name="dvnumam" w:val="0"/>
    <w:docVar w:name="dvpe" w:val="778.228"/>
    <w:docVar w:name="dvrapporteur" w:val="Referents: "/>
    <w:docVar w:name="dvtitre" w:val="Eiropas Parlamenta 2025. gada XX. XXX  rezolūcija par Padomes nostāju attiecībā uz Eiropas Savienības 2025. finanšu gada budžeta grozījuma Nr. 3/2025 projektu: maksājumu apropriāciju korekcija, ieņēmumu atjauninājums un citi tehniski atjauninājumi(14878/2025 – C10-0301/2025 – 2025/0319(BUD))"/>
  </w:docVars>
  <w:rsids>
    <w:rsidRoot w:val="00DE13A7"/>
    <w:rsid w:val="00002272"/>
    <w:rsid w:val="00064002"/>
    <w:rsid w:val="000677B9"/>
    <w:rsid w:val="000831BA"/>
    <w:rsid w:val="000A42CC"/>
    <w:rsid w:val="000E7DD9"/>
    <w:rsid w:val="0010095E"/>
    <w:rsid w:val="00125B37"/>
    <w:rsid w:val="00187494"/>
    <w:rsid w:val="001F32AE"/>
    <w:rsid w:val="002767FF"/>
    <w:rsid w:val="002B18FE"/>
    <w:rsid w:val="002B5493"/>
    <w:rsid w:val="002C3DB4"/>
    <w:rsid w:val="00343214"/>
    <w:rsid w:val="00361C00"/>
    <w:rsid w:val="00395FA1"/>
    <w:rsid w:val="003E15D4"/>
    <w:rsid w:val="00411CCE"/>
    <w:rsid w:val="0041666E"/>
    <w:rsid w:val="00421060"/>
    <w:rsid w:val="004343C8"/>
    <w:rsid w:val="00453AE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55E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3A7"/>
    <w:rsid w:val="00DF7209"/>
    <w:rsid w:val="00E1352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B4A13"/>
  <w15:chartTrackingRefBased/>
  <w15:docId w15:val="{ADAC90E3-837D-4523-BF70-822ACC3AC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3AE1"/>
    <w:pPr>
      <w:spacing w:before="480" w:after="240"/>
    </w:pPr>
  </w:style>
  <w:style w:type="paragraph" w:customStyle="1" w:styleId="NormalBold">
    <w:name w:val="NormalBold"/>
    <w:basedOn w:val="Normal"/>
    <w:rsid w:val="00453AE1"/>
    <w:rPr>
      <w:b/>
    </w:rPr>
  </w:style>
  <w:style w:type="paragraph" w:customStyle="1" w:styleId="NormalHanging12a">
    <w:name w:val="NormalHanging12a"/>
    <w:basedOn w:val="Normal"/>
    <w:rsid w:val="00453AE1"/>
    <w:pPr>
      <w:spacing w:after="240"/>
      <w:ind w:left="567" w:hanging="567"/>
    </w:pPr>
  </w:style>
  <w:style w:type="character" w:styleId="Hyperlink">
    <w:name w:val="Hyperlink"/>
    <w:basedOn w:val="DefaultParagraphFont"/>
    <w:uiPriority w:val="99"/>
    <w:rsid w:val="00453AE1"/>
    <w:rPr>
      <w:color w:val="0563C1" w:themeColor="hyperlink"/>
      <w:u w:val="single"/>
    </w:rPr>
  </w:style>
  <w:style w:type="paragraph" w:styleId="Revision">
    <w:name w:val="Revision"/>
    <w:hidden/>
    <w:uiPriority w:val="99"/>
    <w:semiHidden/>
    <w:rsid w:val="002C3DB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1093</Words>
  <Characters>7375</Characters>
  <Application>Microsoft Office Word</Application>
  <DocSecurity>0</DocSecurity>
  <Lines>179</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2025-11-26T12:38:00Z</dcterms:created>
  <dcterms:modified xsi:type="dcterms:W3CDTF">2025-11-26T12:38:00Z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A10-0237/2025</vt:lpwstr>
  </property>
  <property fmtid="{D5CDD505-2E9C-101B-9397-08002B2CF9AE}" pid="4" name="&lt;Type&gt;">
    <vt:lpwstr>RR</vt:lpwstr>
  </property>
</Properties>
</file>