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5121E" w14:paraId="73FABA33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596BC41" w14:textId="77777777" w:rsidR="00751A4A" w:rsidRPr="00E5121E" w:rsidRDefault="00F550AD" w:rsidP="0010095E">
            <w:pPr>
              <w:pStyle w:val="EPName"/>
            </w:pPr>
            <w:r w:rsidRPr="00E5121E">
              <w:t>Parlament Europejski</w:t>
            </w:r>
          </w:p>
          <w:p w14:paraId="72C0EADE" w14:textId="77777777" w:rsidR="00751A4A" w:rsidRPr="00E5121E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5121E">
              <w:t>2024</w:t>
            </w:r>
            <w:r w:rsidR="00817416" w:rsidRPr="00E5121E">
              <w:t>-202</w:t>
            </w:r>
            <w:r w:rsidRPr="00E5121E">
              <w:t>9</w:t>
            </w:r>
          </w:p>
        </w:tc>
        <w:tc>
          <w:tcPr>
            <w:tcW w:w="2268" w:type="dxa"/>
            <w:shd w:val="clear" w:color="auto" w:fill="auto"/>
          </w:tcPr>
          <w:p w14:paraId="6DFF3E02" w14:textId="77777777" w:rsidR="00751A4A" w:rsidRPr="00E5121E" w:rsidRDefault="00187494" w:rsidP="0010095E">
            <w:pPr>
              <w:pStyle w:val="EPLogo"/>
            </w:pPr>
            <w:r w:rsidRPr="00E5121E">
              <w:rPr>
                <w:noProof/>
                <w:lang w:eastAsia="ja-JP"/>
              </w:rPr>
              <w:drawing>
                <wp:inline distT="0" distB="0" distL="0" distR="0" wp14:anchorId="5C286BDD" wp14:editId="15BEDAF3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4C630E2" w14:textId="77777777" w:rsidR="00D058B8" w:rsidRPr="00E5121E" w:rsidRDefault="00D058B8" w:rsidP="004C5D52">
      <w:pPr>
        <w:pStyle w:val="LineTop"/>
      </w:pPr>
    </w:p>
    <w:p w14:paraId="724E3FC4" w14:textId="77777777" w:rsidR="00680577" w:rsidRPr="00E5121E" w:rsidRDefault="00F550AD" w:rsidP="00680577">
      <w:pPr>
        <w:pStyle w:val="EPBodyTA1"/>
      </w:pPr>
      <w:r w:rsidRPr="00E5121E">
        <w:t>TEKSTY PRZYJĘTE</w:t>
      </w:r>
    </w:p>
    <w:p w14:paraId="3EF1312C" w14:textId="77777777" w:rsidR="00D058B8" w:rsidRPr="00E5121E" w:rsidRDefault="00D058B8" w:rsidP="00D058B8">
      <w:pPr>
        <w:pStyle w:val="LineBottom"/>
      </w:pPr>
    </w:p>
    <w:p w14:paraId="45F83F46" w14:textId="75EB7A9F" w:rsidR="00F550AD" w:rsidRPr="00E5121E" w:rsidRDefault="00F550AD" w:rsidP="00F550AD">
      <w:pPr>
        <w:pStyle w:val="ATHeading1"/>
      </w:pPr>
      <w:bookmarkStart w:id="0" w:name="TANumber"/>
      <w:r w:rsidRPr="00E5121E">
        <w:t>P10_TA(2025)0</w:t>
      </w:r>
      <w:bookmarkEnd w:id="0"/>
      <w:r w:rsidR="00880CA2">
        <w:t>293</w:t>
      </w:r>
    </w:p>
    <w:p w14:paraId="5FA0358C" w14:textId="77777777" w:rsidR="00F550AD" w:rsidRPr="00E5121E" w:rsidRDefault="00F550AD" w:rsidP="00F550AD">
      <w:pPr>
        <w:pStyle w:val="ATHeading2"/>
      </w:pPr>
      <w:bookmarkStart w:id="1" w:name="title"/>
      <w:r w:rsidRPr="00E5121E">
        <w:t>Projekt budżetu korygującego nr 3/2025 – dostosowanie środków na płatności, aktualizacja dochodów i inne aktualizacje techniczne</w:t>
      </w:r>
      <w:bookmarkEnd w:id="1"/>
    </w:p>
    <w:p w14:paraId="203322E3" w14:textId="77777777" w:rsidR="00F550AD" w:rsidRPr="00E5121E" w:rsidRDefault="00F550AD" w:rsidP="00F550AD">
      <w:pPr>
        <w:rPr>
          <w:i/>
          <w:vanish/>
        </w:rPr>
      </w:pPr>
      <w:r w:rsidRPr="00E5121E">
        <w:rPr>
          <w:i/>
        </w:rPr>
        <w:fldChar w:fldCharType="begin"/>
      </w:r>
      <w:r w:rsidRPr="00E5121E">
        <w:rPr>
          <w:i/>
        </w:rPr>
        <w:instrText xml:space="preserve"> TC"(</w:instrText>
      </w:r>
      <w:bookmarkStart w:id="2" w:name="DocNumber"/>
      <w:r w:rsidRPr="00E5121E">
        <w:rPr>
          <w:i/>
        </w:rPr>
        <w:instrText>A10-0237/2025</w:instrText>
      </w:r>
      <w:bookmarkEnd w:id="2"/>
      <w:r w:rsidRPr="00E5121E">
        <w:rPr>
          <w:i/>
        </w:rPr>
        <w:instrText xml:space="preserve"> - Sprawozdawca: Victor Negrescu)"\l3 \n&gt; \* MERGEFORMAT </w:instrText>
      </w:r>
      <w:r w:rsidRPr="00E5121E">
        <w:rPr>
          <w:i/>
        </w:rPr>
        <w:fldChar w:fldCharType="end"/>
      </w:r>
    </w:p>
    <w:p w14:paraId="64CE2EF0" w14:textId="77777777" w:rsidR="00F550AD" w:rsidRPr="00E5121E" w:rsidRDefault="00F550AD" w:rsidP="00F550AD">
      <w:pPr>
        <w:rPr>
          <w:vanish/>
        </w:rPr>
      </w:pPr>
      <w:bookmarkStart w:id="3" w:name="Commission"/>
      <w:r w:rsidRPr="00E5121E">
        <w:rPr>
          <w:vanish/>
        </w:rPr>
        <w:t>Komisja Budżetowa</w:t>
      </w:r>
      <w:bookmarkEnd w:id="3"/>
    </w:p>
    <w:p w14:paraId="54EB8A2C" w14:textId="77777777" w:rsidR="00F550AD" w:rsidRPr="00E5121E" w:rsidRDefault="00F550AD" w:rsidP="00F550AD">
      <w:pPr>
        <w:rPr>
          <w:vanish/>
        </w:rPr>
      </w:pPr>
      <w:bookmarkStart w:id="4" w:name="PE"/>
      <w:r w:rsidRPr="00E5121E">
        <w:rPr>
          <w:vanish/>
        </w:rPr>
        <w:t>PE778.228</w:t>
      </w:r>
      <w:bookmarkEnd w:id="4"/>
    </w:p>
    <w:p w14:paraId="6B20A3C8" w14:textId="39931424" w:rsidR="00F550AD" w:rsidRPr="00E5121E" w:rsidRDefault="00F550AD" w:rsidP="00F550AD">
      <w:pPr>
        <w:pStyle w:val="ATHeading3"/>
      </w:pPr>
      <w:bookmarkStart w:id="5" w:name="Sujet"/>
      <w:r w:rsidRPr="00E5121E">
        <w:t xml:space="preserve">Rezolucja Parlamentu Europejskiego z dnia </w:t>
      </w:r>
      <w:r w:rsidR="004763FD">
        <w:t>26 listopada</w:t>
      </w:r>
      <w:r w:rsidRPr="00E5121E">
        <w:t xml:space="preserve"> 2025 r. w sprawie stanowiska Rady dotyczącego projektu budżetu korygującego </w:t>
      </w:r>
      <w:r w:rsidR="004763FD" w:rsidRPr="004763FD">
        <w:t>nr 3</w:t>
      </w:r>
      <w:r w:rsidR="002F129D">
        <w:t>/2025</w:t>
      </w:r>
      <w:r w:rsidR="004763FD" w:rsidRPr="004763FD">
        <w:t xml:space="preserve"> do budżetu ogólnego na rok 2025</w:t>
      </w:r>
      <w:r w:rsidRPr="00E5121E">
        <w:t xml:space="preserve"> – dostosowanie środków na płatności, aktualizacja dochodów i inne aktualizacje techniczne</w:t>
      </w:r>
      <w:bookmarkEnd w:id="5"/>
      <w:r w:rsidRPr="00E5121E">
        <w:t xml:space="preserve"> </w:t>
      </w:r>
      <w:bookmarkStart w:id="6" w:name="References"/>
      <w:r w:rsidRPr="00E5121E">
        <w:t>(14878/2025 – C10-0301/2025 – 2025/0319(BUD))</w:t>
      </w:r>
      <w:bookmarkEnd w:id="6"/>
    </w:p>
    <w:p w14:paraId="660E161B" w14:textId="77777777" w:rsidR="00A55E4B" w:rsidRPr="00E5121E" w:rsidRDefault="00A55E4B" w:rsidP="00A55E4B">
      <w:pPr>
        <w:pStyle w:val="EPComma"/>
      </w:pPr>
      <w:bookmarkStart w:id="7" w:name="TextBodyBegin"/>
      <w:bookmarkEnd w:id="7"/>
      <w:r w:rsidRPr="00E5121E">
        <w:rPr>
          <w:i/>
        </w:rPr>
        <w:t>Parlament Europejski,</w:t>
      </w:r>
    </w:p>
    <w:p w14:paraId="45730810" w14:textId="77777777" w:rsidR="00A55E4B" w:rsidRPr="00E5121E" w:rsidRDefault="00A55E4B" w:rsidP="00A55E4B">
      <w:pPr>
        <w:pStyle w:val="NormalHanging12a"/>
      </w:pPr>
      <w:r w:rsidRPr="00E5121E">
        <w:t>–</w:t>
      </w:r>
      <w:r w:rsidRPr="00E5121E">
        <w:tab/>
        <w:t>uwzględniając art. 314 Traktatu o funkcjonowaniu Unii Europejskiej,</w:t>
      </w:r>
    </w:p>
    <w:p w14:paraId="69092A1F" w14:textId="77777777" w:rsidR="00A55E4B" w:rsidRPr="00E5121E" w:rsidRDefault="00A55E4B" w:rsidP="00A55E4B">
      <w:pPr>
        <w:pStyle w:val="NormalHanging12a"/>
      </w:pPr>
      <w:r w:rsidRPr="00E5121E">
        <w:t>–</w:t>
      </w:r>
      <w:r w:rsidRPr="00E5121E">
        <w:tab/>
        <w:t>uwzględniając art. 106a Traktatu ustanawiającego Europejską Wspólnotę Energii Atomowej,</w:t>
      </w:r>
    </w:p>
    <w:p w14:paraId="1FA1DF13" w14:textId="77777777" w:rsidR="00A55E4B" w:rsidRPr="00E5121E" w:rsidRDefault="00A55E4B" w:rsidP="00A55E4B">
      <w:pPr>
        <w:pStyle w:val="NormalHanging12a"/>
      </w:pPr>
      <w:r w:rsidRPr="00E5121E">
        <w:t>–</w:t>
      </w:r>
      <w:r w:rsidRPr="00E5121E">
        <w:tab/>
        <w:t xml:space="preserve">uwzględniając rozporządzenie Parlamentu Europejskiego i Rady (UE, </w:t>
      </w:r>
      <w:proofErr w:type="spellStart"/>
      <w:r w:rsidRPr="00E5121E">
        <w:t>Euratom</w:t>
      </w:r>
      <w:proofErr w:type="spellEnd"/>
      <w:r w:rsidRPr="00E5121E">
        <w:t>) 2024/2509 z dnia 23 września 2024 r. w sprawie zasad finansowych mających zastosowanie do budżetu ogólnego Unii</w:t>
      </w:r>
      <w:r w:rsidRPr="00E5121E">
        <w:rPr>
          <w:rStyle w:val="FootnoteReference"/>
        </w:rPr>
        <w:footnoteReference w:id="1"/>
      </w:r>
      <w:r w:rsidRPr="00E5121E">
        <w:t>, w szczególności jego art. 44,</w:t>
      </w:r>
    </w:p>
    <w:p w14:paraId="1FF7A064" w14:textId="77777777" w:rsidR="00A55E4B" w:rsidRPr="00E5121E" w:rsidRDefault="00A55E4B" w:rsidP="00A55E4B">
      <w:pPr>
        <w:pStyle w:val="NormalHanging12a"/>
      </w:pPr>
      <w:r w:rsidRPr="00E5121E">
        <w:t>–</w:t>
      </w:r>
      <w:r w:rsidRPr="00E5121E">
        <w:tab/>
        <w:t>uwzględniając budżet ogólny Unii Europejskiej na rok budżetowy 2025, w formie przyjętej ostatecznie w dniu 27 listopada 2024 r.</w:t>
      </w:r>
      <w:r w:rsidRPr="00E5121E">
        <w:rPr>
          <w:rStyle w:val="FootnoteReference"/>
        </w:rPr>
        <w:footnoteReference w:id="2"/>
      </w:r>
      <w:r w:rsidRPr="00E5121E">
        <w:t>,</w:t>
      </w:r>
    </w:p>
    <w:p w14:paraId="79D0D08D" w14:textId="77777777" w:rsidR="00A55E4B" w:rsidRPr="00E5121E" w:rsidRDefault="00A55E4B" w:rsidP="00A55E4B">
      <w:pPr>
        <w:pStyle w:val="NormalHanging12a"/>
      </w:pPr>
      <w:r w:rsidRPr="00E5121E">
        <w:t>–</w:t>
      </w:r>
      <w:r w:rsidRPr="00E5121E">
        <w:tab/>
        <w:t xml:space="preserve">uwzględniając rozporządzenie Rady (UE, </w:t>
      </w:r>
      <w:proofErr w:type="spellStart"/>
      <w:r w:rsidRPr="00E5121E">
        <w:t>Euratom</w:t>
      </w:r>
      <w:proofErr w:type="spellEnd"/>
      <w:r w:rsidRPr="00E5121E">
        <w:t>) 2020/2093 z dnia 17 grudnia 2020 r. określające wieloletnie ramy finansowe na lata 2021–2027</w:t>
      </w:r>
      <w:r w:rsidRPr="00E5121E">
        <w:rPr>
          <w:rStyle w:val="FootnoteReference"/>
        </w:rPr>
        <w:footnoteReference w:id="3"/>
      </w:r>
      <w:r w:rsidRPr="00E5121E">
        <w:t>,</w:t>
      </w:r>
    </w:p>
    <w:p w14:paraId="5ADDA237" w14:textId="77777777" w:rsidR="00A55E4B" w:rsidRPr="00E5121E" w:rsidRDefault="00A55E4B" w:rsidP="00A55E4B">
      <w:pPr>
        <w:pStyle w:val="NormalHanging12a"/>
      </w:pPr>
      <w:r w:rsidRPr="00E5121E">
        <w:t>–</w:t>
      </w:r>
      <w:r w:rsidRPr="00E5121E">
        <w:tab/>
        <w:t>uwzględniając Porozumienie międzyinstytucjonalne z dnia 16 grudnia 2020 r. między Parlamentem Europejskim, Radą Unii Europejskiej i Komisją Europejską w sprawie dyscypliny budżetowej, współpracy w kwestiach budżetowych i należytego zarządzania finansami oraz w sprawie nowych zasobów własnych, w tym również harmonogramu wprowadzania nowych zasobów własnych</w:t>
      </w:r>
      <w:r w:rsidRPr="00E5121E">
        <w:rPr>
          <w:rStyle w:val="FootnoteReference"/>
        </w:rPr>
        <w:footnoteReference w:id="4"/>
      </w:r>
      <w:r w:rsidRPr="00E5121E">
        <w:t>,</w:t>
      </w:r>
    </w:p>
    <w:p w14:paraId="03A4EE87" w14:textId="77777777" w:rsidR="00A55E4B" w:rsidRPr="00E5121E" w:rsidRDefault="00A55E4B" w:rsidP="00A55E4B">
      <w:pPr>
        <w:pStyle w:val="NormalHanging12a"/>
      </w:pPr>
      <w:r w:rsidRPr="00E5121E">
        <w:t>–</w:t>
      </w:r>
      <w:r w:rsidRPr="00E5121E">
        <w:tab/>
        <w:t xml:space="preserve">uwzględniając decyzję Rady (UE, </w:t>
      </w:r>
      <w:proofErr w:type="spellStart"/>
      <w:r w:rsidRPr="00E5121E">
        <w:t>Euratom</w:t>
      </w:r>
      <w:proofErr w:type="spellEnd"/>
      <w:r w:rsidRPr="00E5121E">
        <w:t xml:space="preserve">) 2020/2053 z dnia 14 grudnia 2020 r. w sprawie systemu zasobów własnych Unii Europejskiej oraz uchylającą decyzję </w:t>
      </w:r>
      <w:r w:rsidRPr="00E5121E">
        <w:lastRenderedPageBreak/>
        <w:t xml:space="preserve">2014/335/UE, </w:t>
      </w:r>
      <w:proofErr w:type="spellStart"/>
      <w:r w:rsidRPr="00E5121E">
        <w:t>Euratom</w:t>
      </w:r>
      <w:proofErr w:type="spellEnd"/>
      <w:r w:rsidRPr="00E5121E">
        <w:rPr>
          <w:rStyle w:val="FootnoteReference"/>
        </w:rPr>
        <w:footnoteReference w:id="5"/>
      </w:r>
      <w:r w:rsidRPr="00E5121E">
        <w:t>,</w:t>
      </w:r>
    </w:p>
    <w:p w14:paraId="695F5CA6" w14:textId="77777777" w:rsidR="00A55E4B" w:rsidRPr="00E5121E" w:rsidRDefault="00A55E4B" w:rsidP="00A55E4B">
      <w:pPr>
        <w:pStyle w:val="NormalHanging12a"/>
      </w:pPr>
      <w:r w:rsidRPr="00E5121E">
        <w:t>–</w:t>
      </w:r>
      <w:r w:rsidRPr="00E5121E">
        <w:tab/>
        <w:t>uwzględniając projekt budżetu korygującego nr 3/2025 przyjęty przez Komisję 3 października 2025 r. (COM(2025)0850),</w:t>
      </w:r>
    </w:p>
    <w:p w14:paraId="0A724192" w14:textId="77777777" w:rsidR="00A55E4B" w:rsidRPr="00E5121E" w:rsidRDefault="00A55E4B" w:rsidP="00A55E4B">
      <w:pPr>
        <w:pStyle w:val="NormalHanging12a"/>
      </w:pPr>
      <w:r w:rsidRPr="00E5121E">
        <w:t>–</w:t>
      </w:r>
      <w:r w:rsidRPr="00E5121E">
        <w:tab/>
        <w:t>uwzględniając stanowisko dotyczące projektu budżetu korygującego nr 3/2025 przyjęte przez Radę dnia 17 listopada 2025 r. i przekazane Parlamentowi Europejskiemu tego samego dnia (14878/2025 – C10-0301/2025),</w:t>
      </w:r>
    </w:p>
    <w:p w14:paraId="5C4A3BC7" w14:textId="77777777" w:rsidR="00A55E4B" w:rsidRPr="00E5121E" w:rsidRDefault="00A55E4B" w:rsidP="00A55E4B">
      <w:pPr>
        <w:pStyle w:val="NormalHanging12a"/>
      </w:pPr>
      <w:r w:rsidRPr="00E5121E">
        <w:t>–</w:t>
      </w:r>
      <w:r w:rsidRPr="00E5121E">
        <w:tab/>
        <w:t>uwzględniając art. 96 i 98 Regulaminu,</w:t>
      </w:r>
    </w:p>
    <w:p w14:paraId="26E434E9" w14:textId="77777777" w:rsidR="00A55E4B" w:rsidRPr="00E5121E" w:rsidRDefault="00A55E4B" w:rsidP="00A55E4B">
      <w:pPr>
        <w:pStyle w:val="NormalHanging12a"/>
      </w:pPr>
      <w:r w:rsidRPr="00E5121E">
        <w:t>–</w:t>
      </w:r>
      <w:r w:rsidRPr="00E5121E">
        <w:tab/>
        <w:t>uwzględniając sprawozdanie Komisji Budżetowej (A10-0237/2025),</w:t>
      </w:r>
    </w:p>
    <w:p w14:paraId="1BCE8C8A" w14:textId="77777777" w:rsidR="00A55E4B" w:rsidRPr="00E5121E" w:rsidRDefault="00A55E4B" w:rsidP="00A55E4B">
      <w:pPr>
        <w:spacing w:after="240"/>
        <w:ind w:left="567" w:hanging="567"/>
        <w:rPr>
          <w:color w:val="000000"/>
        </w:rPr>
      </w:pPr>
      <w:r w:rsidRPr="00E5121E">
        <w:rPr>
          <w:color w:val="000000"/>
        </w:rPr>
        <w:t>A.</w:t>
      </w:r>
      <w:r w:rsidRPr="00E5121E">
        <w:rPr>
          <w:color w:val="000000"/>
        </w:rPr>
        <w:tab/>
        <w:t>mając na uwadze, że celem projektu budżetu korygującego nr 3/2025 jest aktualizacja budżetu po stronie dochodów w celu uwzględnienia najnowszych zmian, dostosowanie wydatków w budżecie do środków na płatności, a ponadto dostosowanie wydatków w budżecie w odniesieniu do kilku agencji zdecentralizowanych;</w:t>
      </w:r>
    </w:p>
    <w:p w14:paraId="5DF23EF5" w14:textId="77777777" w:rsidR="00A55E4B" w:rsidRPr="00E5121E" w:rsidRDefault="00A55E4B" w:rsidP="00A55E4B">
      <w:pPr>
        <w:spacing w:after="240"/>
        <w:ind w:left="567" w:hanging="567"/>
        <w:rPr>
          <w:color w:val="000000"/>
        </w:rPr>
      </w:pPr>
      <w:r w:rsidRPr="00E5121E">
        <w:rPr>
          <w:color w:val="000000"/>
        </w:rPr>
        <w:t>B.</w:t>
      </w:r>
      <w:r w:rsidRPr="00E5121E">
        <w:rPr>
          <w:color w:val="000000"/>
        </w:rPr>
        <w:tab/>
        <w:t>mając na uwadze, że jeżeli chodzi o wydatki, projekt budżetu korygującego nr 3/2025 skutkuje wzrostem netto w przypadku środków na zobowiązania o 123,7 mln EUR, a w przypadku środków na płatności – o 2,52 mld EUR;</w:t>
      </w:r>
    </w:p>
    <w:p w14:paraId="31661904" w14:textId="77777777" w:rsidR="00A55E4B" w:rsidRPr="00E5121E" w:rsidRDefault="00A55E4B" w:rsidP="00A55E4B">
      <w:pPr>
        <w:spacing w:after="240"/>
        <w:ind w:left="567" w:hanging="567"/>
        <w:rPr>
          <w:color w:val="000000"/>
        </w:rPr>
      </w:pPr>
      <w:r w:rsidRPr="00E5121E">
        <w:rPr>
          <w:color w:val="000000"/>
        </w:rPr>
        <w:t>C.</w:t>
      </w:r>
      <w:r w:rsidRPr="00E5121E">
        <w:rPr>
          <w:color w:val="000000"/>
        </w:rPr>
        <w:tab/>
        <w:t>mając na uwadze, że w projekcie budżetu korygującego nr 3/2025 w różnych działach zaproponowano szereg dostosowań w finansowaniu agencji zdecentralizowanych;</w:t>
      </w:r>
    </w:p>
    <w:p w14:paraId="34DA8A64" w14:textId="77777777" w:rsidR="00A55E4B" w:rsidRPr="00E5121E" w:rsidRDefault="00A55E4B" w:rsidP="00A55E4B">
      <w:pPr>
        <w:spacing w:after="240"/>
        <w:ind w:left="567" w:hanging="567"/>
        <w:rPr>
          <w:color w:val="000000"/>
        </w:rPr>
      </w:pPr>
      <w:r w:rsidRPr="00E5121E">
        <w:rPr>
          <w:color w:val="000000"/>
        </w:rPr>
        <w:t>D.</w:t>
      </w:r>
      <w:r w:rsidRPr="00E5121E">
        <w:rPr>
          <w:color w:val="000000"/>
        </w:rPr>
        <w:tab/>
        <w:t>mając na uwadze, że po stronie dochodów projekt budżetu korygującego nr 3/2025 wprowadza do budżetu na 2025 r. ostateczne grzywny i kary wpłacone do września 2025 r. w łącznej kwocie 1,19 mld EUR oraz dodatkowe tradycyjne zasoby własne w wysokości 1,3 mld EUR;</w:t>
      </w:r>
    </w:p>
    <w:p w14:paraId="3EFBF34C" w14:textId="77777777" w:rsidR="00A55E4B" w:rsidRPr="00E5121E" w:rsidRDefault="00A55E4B" w:rsidP="00A55E4B">
      <w:pPr>
        <w:spacing w:after="240"/>
        <w:ind w:left="567" w:hanging="567"/>
        <w:rPr>
          <w:color w:val="000000"/>
        </w:rPr>
      </w:pPr>
      <w:r w:rsidRPr="00E5121E">
        <w:rPr>
          <w:color w:val="000000"/>
        </w:rPr>
        <w:t>E.</w:t>
      </w:r>
      <w:r w:rsidRPr="00E5121E">
        <w:rPr>
          <w:color w:val="000000"/>
        </w:rPr>
        <w:tab/>
        <w:t>mając na uwadze, że w wyniku tych dostosowań konieczne są dodatkowe wkłady oparte na DNB w wysokości 31,9 mln EUR, aby zaspokoić potrzeby w zakresie płatności;</w:t>
      </w:r>
    </w:p>
    <w:p w14:paraId="62B183B3" w14:textId="77777777" w:rsidR="00A55E4B" w:rsidRPr="00E5121E" w:rsidRDefault="00A55E4B" w:rsidP="00A55E4B">
      <w:pPr>
        <w:spacing w:after="240"/>
        <w:ind w:left="567" w:hanging="567"/>
        <w:rPr>
          <w:color w:val="000000"/>
        </w:rPr>
      </w:pPr>
      <w:r w:rsidRPr="00E5121E">
        <w:rPr>
          <w:color w:val="000000"/>
        </w:rPr>
        <w:t>1.</w:t>
      </w:r>
      <w:r w:rsidRPr="00E5121E">
        <w:rPr>
          <w:color w:val="000000"/>
        </w:rPr>
        <w:tab/>
        <w:t>przyjmuje do wiadomości przedłożony przez Komisję projekt budżetu korygującego nr 3/2025, a w szczególności zwraca uwagę na ogólny bardzo niewielki wpływ na wkłady państw członkowskich oparte na DNB, co jest pochodną salda większych potrzeb w zakresie płatności i uzyskania dodatkowych dochodów;</w:t>
      </w:r>
    </w:p>
    <w:p w14:paraId="4F1642BE" w14:textId="05822680" w:rsidR="00A55E4B" w:rsidRPr="00E5121E" w:rsidRDefault="00A55E4B" w:rsidP="00A55E4B">
      <w:pPr>
        <w:spacing w:after="240"/>
        <w:ind w:left="567" w:hanging="567"/>
        <w:rPr>
          <w:color w:val="000000"/>
        </w:rPr>
      </w:pPr>
      <w:r w:rsidRPr="00E5121E">
        <w:rPr>
          <w:color w:val="000000"/>
        </w:rPr>
        <w:t>2.</w:t>
      </w:r>
      <w:r w:rsidRPr="00E5121E">
        <w:rPr>
          <w:color w:val="000000"/>
        </w:rPr>
        <w:tab/>
        <w:t>z zadowoleniem przyjmuje zwiększenie środków na płatności dla Europejskiego Funduszu Rozwoju Regionalnego (EFRR) o 2 mld EUR w połączeniu z podwyższeniem środków na wspólną politykę rolną</w:t>
      </w:r>
      <w:r w:rsidR="002F129D">
        <w:rPr>
          <w:color w:val="000000"/>
        </w:rPr>
        <w:t xml:space="preserve"> (WPR)</w:t>
      </w:r>
      <w:r w:rsidRPr="00E5121E">
        <w:rPr>
          <w:color w:val="000000"/>
        </w:rPr>
        <w:t xml:space="preserve"> w ramach tegorocznego przesunięcia zbiorczego (DEC 15/25), co świadczy o tym, że realizacja programu nabiera tempa po niepokojąco wolnym starcie w latach 2021–2027; podkreśla, że podwyższenie środków na fundusze strukturalne i wspólną politykę rolną odgrywa kluczową rolę, jeśli chodzi o utrzymanie ciągłości systemów wsparcia dla rolnictwa, zagwarantowanie bezpieczeństwa żywnościowego i promowanie zrównoważonego rozwoju obszarów wiejskich; zauważa, że środki te są szczególnie ważne dla wzmocnienia odporności sektora rolnego i zachowania równowagi społeczno-gospodarczej na obszarach wiejskich; przypomina o komplementarności tych posunięć z dostosowaniami środków na płatności w ramach przesunięcia zbiorczego (DEC </w:t>
      </w:r>
      <w:r w:rsidRPr="00E5121E">
        <w:rPr>
          <w:color w:val="000000"/>
        </w:rPr>
        <w:lastRenderedPageBreak/>
        <w:t>15/2025);</w:t>
      </w:r>
    </w:p>
    <w:p w14:paraId="240B4F43" w14:textId="77777777" w:rsidR="00A55E4B" w:rsidRPr="00E5121E" w:rsidRDefault="00A55E4B" w:rsidP="00A55E4B">
      <w:pPr>
        <w:spacing w:after="240"/>
        <w:ind w:left="567" w:hanging="567"/>
        <w:rPr>
          <w:color w:val="000000"/>
        </w:rPr>
      </w:pPr>
      <w:r w:rsidRPr="00E5121E">
        <w:rPr>
          <w:color w:val="000000"/>
        </w:rPr>
        <w:t>3.</w:t>
      </w:r>
      <w:r w:rsidRPr="00E5121E">
        <w:rPr>
          <w:color w:val="000000"/>
        </w:rPr>
        <w:tab/>
        <w:t xml:space="preserve">w dalszym ciągu apeluje o przyspieszone wdrażanie środków w ramach EFRR, EFS+ i Instrumentu Wsparcia Finansowego na rzecz Zarządzania Granicami i Polityki Wizowej; z zadowoleniem przyjmuje szybsze niż oczekiwano wdrożenie platformy na rzecz technologii strategicznych dla Europy (STEP); </w:t>
      </w:r>
      <w:r w:rsidRPr="00E5121E">
        <w:t xml:space="preserve">oczekuje, że szybko i skutecznie wykorzysta się ponad 3 mld EUR </w:t>
      </w:r>
      <w:sdt>
        <w:sdtPr>
          <w:tag w:val="goog_rdk_2"/>
          <w:id w:val="1285891827"/>
        </w:sdtPr>
        <w:sdtEndPr/>
        <w:sdtContent>
          <w:r w:rsidRPr="00E5121E">
            <w:t>dodatkowych</w:t>
          </w:r>
        </w:sdtContent>
      </w:sdt>
      <w:r w:rsidRPr="00E5121E">
        <w:t xml:space="preserve"> płatności z platformy STEP, przeznaczając je na cele szczegółowe określone w odpowiednich aktach podstawowych;</w:t>
      </w:r>
    </w:p>
    <w:p w14:paraId="60EC87D1" w14:textId="77777777" w:rsidR="00A55E4B" w:rsidRPr="00E5121E" w:rsidRDefault="00A55E4B" w:rsidP="00A55E4B">
      <w:pPr>
        <w:spacing w:after="240"/>
        <w:ind w:left="567" w:hanging="567"/>
        <w:rPr>
          <w:color w:val="000000"/>
        </w:rPr>
      </w:pPr>
      <w:r w:rsidRPr="00E5121E">
        <w:rPr>
          <w:color w:val="000000"/>
        </w:rPr>
        <w:t>4.</w:t>
      </w:r>
      <w:r w:rsidRPr="00E5121E">
        <w:rPr>
          <w:color w:val="000000"/>
        </w:rPr>
        <w:tab/>
        <w:t>przyjmuje do wiadomości dotychczasowe wyniki negocjacji w sprawie umów o partnerstwie w sprawie zrównoważonych połowów i wyraża zadowolenie, że zgodnie z odpowiednimi postanowieniami porozumienia międzyinstytucjonalnego władza budżetowa ma swój udział w uwalnianiu środków z rezerwy w związku z wchodzeniem w życie i stosowaniem odpowiednich międzynarodowych protokołów wykonawczych;</w:t>
      </w:r>
    </w:p>
    <w:p w14:paraId="6D234BE4" w14:textId="77777777" w:rsidR="00A55E4B" w:rsidRPr="00E5121E" w:rsidRDefault="00A55E4B" w:rsidP="00A55E4B">
      <w:pPr>
        <w:spacing w:after="240"/>
        <w:ind w:left="567" w:hanging="567"/>
        <w:rPr>
          <w:color w:val="000000"/>
        </w:rPr>
      </w:pPr>
      <w:r w:rsidRPr="00E5121E">
        <w:rPr>
          <w:color w:val="000000"/>
        </w:rPr>
        <w:t>5.</w:t>
      </w:r>
      <w:r w:rsidRPr="00E5121E">
        <w:rPr>
          <w:color w:val="000000"/>
        </w:rPr>
        <w:tab/>
        <w:t>wyraża ubolewanie z powodu obniżenia środków na zobowiązania (o 78 mln EUR) i płatności (o 48 mln EUR) przeznaczonych na instrument wsparcia finansowego na rzecz sprzętu do kontroli celnej ze względu na opóźnione wdrażanie w państwach członkowskich w okresie, gdy ze współpracą i inwestycjami w tej dziedzinie nie powinno być żadnych problemów;</w:t>
      </w:r>
    </w:p>
    <w:p w14:paraId="7E236A67" w14:textId="77777777" w:rsidR="00A55E4B" w:rsidRPr="00E5121E" w:rsidRDefault="00A55E4B" w:rsidP="00A55E4B">
      <w:pPr>
        <w:spacing w:after="240"/>
        <w:ind w:left="567" w:hanging="567"/>
        <w:rPr>
          <w:color w:val="000000"/>
        </w:rPr>
      </w:pPr>
      <w:r w:rsidRPr="00E5121E">
        <w:rPr>
          <w:color w:val="000000"/>
        </w:rPr>
        <w:t>6.</w:t>
      </w:r>
      <w:r w:rsidRPr="00E5121E">
        <w:rPr>
          <w:color w:val="000000"/>
        </w:rPr>
        <w:tab/>
        <w:t>wyraża zadowolenie z oszczędności w środkach na zobowiązania (5 mln EUR) przeznaczonych na Instrument Wsparcia Technicznego, a to dzięki przyrostowi wydajności wynikającemu z konkurencyjnych postępowań o udzielenie zamówienia;</w:t>
      </w:r>
    </w:p>
    <w:p w14:paraId="2FB5E5EF" w14:textId="77777777" w:rsidR="00A55E4B" w:rsidRPr="00E5121E" w:rsidRDefault="00A55E4B" w:rsidP="00A55E4B">
      <w:pPr>
        <w:spacing w:after="240"/>
        <w:ind w:left="567" w:hanging="567"/>
        <w:rPr>
          <w:color w:val="000000"/>
        </w:rPr>
      </w:pPr>
      <w:r w:rsidRPr="00E5121E">
        <w:rPr>
          <w:color w:val="000000"/>
        </w:rPr>
        <w:t>7.</w:t>
      </w:r>
      <w:r w:rsidRPr="00E5121E">
        <w:rPr>
          <w:color w:val="000000"/>
        </w:rPr>
        <w:tab/>
      </w:r>
      <w:sdt>
        <w:sdtPr>
          <w:tag w:val="goog_rdk_4"/>
          <w:id w:val="438155605"/>
        </w:sdtPr>
        <w:sdtEndPr/>
        <w:sdtContent>
          <w:sdt>
            <w:sdtPr>
              <w:tag w:val="goog_rdk_5"/>
              <w:id w:val="557417589"/>
            </w:sdtPr>
            <w:sdtEndPr/>
            <w:sdtContent>
              <w:r w:rsidRPr="00E5121E">
                <w:t>odnotowuje</w:t>
              </w:r>
            </w:sdtContent>
          </w:sdt>
        </w:sdtContent>
      </w:sdt>
      <w:r w:rsidRPr="00E5121E">
        <w:t xml:space="preserve"> tempo wdrażania reform i proporcjonalne spowolnienie absorpcji płatności w ramach Instrumentu na rzecz Ukrainy;</w:t>
      </w:r>
      <w:r w:rsidRPr="00E5121E">
        <w:rPr>
          <w:color w:val="000000"/>
        </w:rPr>
        <w:t xml:space="preserve"> </w:t>
      </w:r>
      <w:r w:rsidRPr="00E5121E">
        <w:t xml:space="preserve">zauważa, że część niewykorzystanych środków </w:t>
      </w:r>
      <w:sdt>
        <w:sdtPr>
          <w:tag w:val="goog_rdk_7"/>
          <w:id w:val="1769977353"/>
        </w:sdtPr>
        <w:sdtEndPr/>
        <w:sdtContent>
          <w:r w:rsidRPr="00E5121E">
            <w:t>można</w:t>
          </w:r>
        </w:sdtContent>
      </w:sdt>
      <w:r w:rsidRPr="00E5121E">
        <w:t xml:space="preserve"> przenieść na następny rok budżetowy;</w:t>
      </w:r>
      <w:r w:rsidRPr="00E5121E">
        <w:rPr>
          <w:color w:val="000000"/>
        </w:rPr>
        <w:t xml:space="preserve"> zachęca wszystkie zaangażowane podmioty do poczynienia postępów w zakresie środków związanych z reformami i inwestycjami, takich jak umowy łączone;</w:t>
      </w:r>
    </w:p>
    <w:p w14:paraId="7042C6AE" w14:textId="77777777" w:rsidR="00A55E4B" w:rsidRPr="00E5121E" w:rsidRDefault="00A55E4B" w:rsidP="00A55E4B">
      <w:pPr>
        <w:spacing w:after="240"/>
        <w:ind w:left="567" w:hanging="567"/>
        <w:rPr>
          <w:color w:val="000000"/>
        </w:rPr>
      </w:pPr>
      <w:r w:rsidRPr="00E5121E">
        <w:rPr>
          <w:color w:val="000000"/>
        </w:rPr>
        <w:t>8.</w:t>
      </w:r>
      <w:r w:rsidRPr="00E5121E">
        <w:rPr>
          <w:color w:val="000000"/>
        </w:rPr>
        <w:tab/>
        <w:t>odnotowuje dostosowanie wysokości wkładu Unii na rzecz różnych agencji zdecentralizowanych; uważa, że dostosowania te mają głównie charakter techniczny; z zadowoleniem przyjmuje je w zakresie, w jakim optymalizują one wykorzystanie zasobów w ramach linii operacyjnych takich jak program LIFE, Fundusz Azylu, Migracji i Integracji czy program na rzecz jednolitego rynku; ubolewa jednak, że powodem zwrotu środków na zobowiązania i środków na płatności z odpowiednich linii budżetowych dotyczących agencji do odpowiednich linii programowych są opóźnienia w rekrutacji pracowników lub we wdrażaniu nowych inicjatyw politycznych i ustawodawczych, takich jak strategia inwestycji detalicznych (dotyczy Europejskiego Urzędu Nadzoru Giełd i Papierów Wartościowych oraz Europejskiego Urzędu Nadzoru Ubezpieczeń i Pracowniczych Programów Emerytalnych), pakt o azylu i migracji (dotyczy Agencji Unii Europejskiej ds. Azylu), pakiet dotyczący bezpieczeństwa morskiego (dotyczy Europejskiej Agencji Bezpieczeństwa Morskiego) lub wniosek w sprawie nowych technik genomowych (dotyczy Europejskiego Urzędu ds. Bezpieczeństwa Żywności);</w:t>
      </w:r>
    </w:p>
    <w:p w14:paraId="4CCCFEA4" w14:textId="77777777" w:rsidR="00A55E4B" w:rsidRPr="00E5121E" w:rsidRDefault="00A55E4B" w:rsidP="00A55E4B">
      <w:pPr>
        <w:spacing w:after="240"/>
        <w:ind w:left="567" w:hanging="567"/>
        <w:rPr>
          <w:color w:val="000000"/>
        </w:rPr>
      </w:pPr>
      <w:r w:rsidRPr="00E5121E">
        <w:rPr>
          <w:color w:val="000000"/>
        </w:rPr>
        <w:t>9.</w:t>
      </w:r>
      <w:r w:rsidRPr="00E5121E">
        <w:rPr>
          <w:color w:val="000000"/>
        </w:rPr>
        <w:tab/>
        <w:t xml:space="preserve">w tym kontekście podkreśla i potwierdza swoje zdecydowane poparcie dla nowo utworzonego Urzędu ds. Przeciwdziałania Praniu Pieniędzy w zmienionych ramach przeciwdziałania praniu pieniędzy na szczeblu Unii; </w:t>
      </w:r>
      <w:r w:rsidRPr="00E5121E">
        <w:t xml:space="preserve">jest nadal głęboko zaniepokojony ciągłymi opóźnieniami w początkowej fazie organizacji, zwłaszcza jeśli chodzi o </w:t>
      </w:r>
      <w:r w:rsidRPr="00E5121E">
        <w:lastRenderedPageBreak/>
        <w:t xml:space="preserve">rekrutację, </w:t>
      </w:r>
      <w:sdt>
        <w:sdtPr>
          <w:tag w:val="goog_rdk_18"/>
          <w:id w:val="-1528576562"/>
        </w:sdtPr>
        <w:sdtEndPr/>
        <w:sdtContent>
          <w:r w:rsidRPr="00E5121E">
            <w:t>i wzywa do przyspieszenia procedur naboru pracowników</w:t>
          </w:r>
        </w:sdtContent>
      </w:sdt>
      <w:r w:rsidRPr="00E5121E">
        <w:t>;</w:t>
      </w:r>
    </w:p>
    <w:p w14:paraId="6F51B61D" w14:textId="583C7CF2" w:rsidR="00A55E4B" w:rsidRPr="00E5121E" w:rsidRDefault="002E471A" w:rsidP="00A55E4B">
      <w:pPr>
        <w:spacing w:after="240"/>
        <w:ind w:left="567" w:hanging="567"/>
        <w:rPr>
          <w:color w:val="000000"/>
        </w:rPr>
      </w:pPr>
      <w:sdt>
        <w:sdtPr>
          <w:tag w:val="goog_rdk_19"/>
          <w:id w:val="599988960"/>
        </w:sdtPr>
        <w:sdtEndPr/>
        <w:sdtContent/>
      </w:sdt>
      <w:r w:rsidR="00A55E4B" w:rsidRPr="00E5121E">
        <w:rPr>
          <w:color w:val="000000"/>
        </w:rPr>
        <w:t>10.</w:t>
      </w:r>
      <w:r w:rsidR="00A55E4B" w:rsidRPr="00E5121E">
        <w:rPr>
          <w:color w:val="000000"/>
        </w:rPr>
        <w:tab/>
        <w:t xml:space="preserve">z zadowoleniem przyjmuje ujęcie w budżecie dodatkowych dochodów pochodzących z ostatecznych grzywien i okresowych kar pieniężnych w wysokości 1185,1 mln EUR; uważa, że kwoty te stanowią rzeczywiste dochody Unii, które obniżają wkłady państw członkowskich oparte na DNB; w tym kontekście przypomina, że Komisja zaproponowała zmiany </w:t>
      </w:r>
      <w:r w:rsidR="00DD75EF">
        <w:rPr>
          <w:color w:val="000000"/>
        </w:rPr>
        <w:t>na</w:t>
      </w:r>
      <w:r w:rsidR="00A55E4B" w:rsidRPr="00E5121E">
        <w:rPr>
          <w:color w:val="000000"/>
        </w:rPr>
        <w:t xml:space="preserve"> okres obowiązywania </w:t>
      </w:r>
      <w:r w:rsidR="00DD75EF">
        <w:rPr>
          <w:color w:val="000000"/>
        </w:rPr>
        <w:t xml:space="preserve">kolejnych </w:t>
      </w:r>
      <w:r w:rsidR="00A55E4B" w:rsidRPr="00E5121E">
        <w:rPr>
          <w:color w:val="000000"/>
        </w:rPr>
        <w:t>wieloletnich ram finansowych, aby takie nadzwyczajne wpływy mogły skutkować dodatkowymi środkami na wydatki;</w:t>
      </w:r>
    </w:p>
    <w:p w14:paraId="2CC45CE4" w14:textId="77777777" w:rsidR="00A55E4B" w:rsidRPr="00E5121E" w:rsidRDefault="00A55E4B" w:rsidP="00A55E4B">
      <w:pPr>
        <w:spacing w:after="240"/>
        <w:ind w:left="567" w:hanging="567"/>
        <w:rPr>
          <w:color w:val="000000"/>
        </w:rPr>
      </w:pPr>
      <w:r w:rsidRPr="00E5121E">
        <w:rPr>
          <w:color w:val="000000"/>
        </w:rPr>
        <w:t>11.</w:t>
      </w:r>
      <w:r w:rsidRPr="00E5121E">
        <w:rPr>
          <w:color w:val="000000"/>
        </w:rPr>
        <w:tab/>
        <w:t>przyjmuje do wiadomości propozycję ujęcia w budżecie kwoty 1300 mln EUR stanowiącej szacunkową nadwyżkę tradycyjnych zasobów własnych; wątpi w zasadność ciągłego aktualizowania dochodów z ceł w ciągu roku budżetowego, zwłaszcza jeżeli nie dzieje się to w ramach rocznego specjalnego budżetu korygującego, w celu aktualizacji i uregulowania strony dochodów;</w:t>
      </w:r>
    </w:p>
    <w:p w14:paraId="042C4F1A" w14:textId="77777777" w:rsidR="00A55E4B" w:rsidRPr="00E5121E" w:rsidRDefault="00A55E4B" w:rsidP="00A55E4B">
      <w:pPr>
        <w:spacing w:after="240"/>
        <w:ind w:left="567" w:hanging="567"/>
        <w:rPr>
          <w:color w:val="000000"/>
        </w:rPr>
      </w:pPr>
      <w:r w:rsidRPr="00E5121E">
        <w:t>12.</w:t>
      </w:r>
      <w:r w:rsidRPr="00E5121E">
        <w:tab/>
        <w:t>odnotowuje aktualizację dostosowań wynagrodzeń za 2025 r. i zgadza się na uwzględnienie wpływu tych dostosowań na budżet jako poprawki technicznej w projekcie budżetu korygującego nr 3/2025; zauważa, że oznacza to obniżenie środków niezróżnicowanych o łączną kwotę 78,8 mln EUR w odpowiednich liniach budżetowych i sekcjach w dziale 7;</w:t>
      </w:r>
    </w:p>
    <w:p w14:paraId="32E35BBB" w14:textId="77777777" w:rsidR="00A55E4B" w:rsidRPr="00E5121E" w:rsidRDefault="00A55E4B" w:rsidP="00A55E4B">
      <w:pPr>
        <w:spacing w:after="240"/>
        <w:ind w:left="567" w:hanging="567"/>
        <w:rPr>
          <w:color w:val="000000"/>
        </w:rPr>
      </w:pPr>
      <w:r w:rsidRPr="00E5121E">
        <w:rPr>
          <w:color w:val="000000"/>
        </w:rPr>
        <w:t>13.</w:t>
      </w:r>
      <w:r w:rsidRPr="00E5121E">
        <w:rPr>
          <w:color w:val="000000"/>
        </w:rPr>
        <w:tab/>
        <w:t>zatwierdza stanowisko Rady dotyczące projektu budżetu korygującego nr 3/2025;</w:t>
      </w:r>
    </w:p>
    <w:p w14:paraId="5742F31E" w14:textId="77777777" w:rsidR="00A55E4B" w:rsidRPr="00E5121E" w:rsidRDefault="00A55E4B" w:rsidP="00A55E4B">
      <w:pPr>
        <w:spacing w:after="240"/>
        <w:ind w:left="567" w:hanging="567"/>
        <w:rPr>
          <w:color w:val="000000"/>
        </w:rPr>
      </w:pPr>
      <w:r w:rsidRPr="00E5121E">
        <w:rPr>
          <w:color w:val="000000"/>
        </w:rPr>
        <w:t>14.</w:t>
      </w:r>
      <w:r w:rsidRPr="00E5121E">
        <w:rPr>
          <w:color w:val="000000"/>
        </w:rPr>
        <w:tab/>
        <w:t>zobowiązuje swoją przewodniczącą do ogłoszenia, że budżet korygujący nr 3/2025 został ostatecznie przyjęty, i do zarządzenia jego publikacji w Dzienniku Urzędowym Unii Europejskiej;</w:t>
      </w:r>
    </w:p>
    <w:p w14:paraId="3E75AC1A" w14:textId="78C53997" w:rsidR="00E5121E" w:rsidRPr="00E5121E" w:rsidRDefault="00A55E4B" w:rsidP="00E5121E">
      <w:pPr>
        <w:spacing w:after="240"/>
        <w:ind w:left="567" w:hanging="567"/>
      </w:pPr>
      <w:r w:rsidRPr="00E5121E">
        <w:rPr>
          <w:color w:val="000000"/>
        </w:rPr>
        <w:t>15.</w:t>
      </w:r>
      <w:r w:rsidRPr="00E5121E">
        <w:rPr>
          <w:color w:val="000000"/>
        </w:rPr>
        <w:tab/>
        <w:t>zobowiązuje swoją przewodniczącą do przekazania niniejszej rezolucji Radzie, Komisji i parlamentom narodowym.</w:t>
      </w:r>
    </w:p>
    <w:p w14:paraId="5AB791C8" w14:textId="51807186" w:rsidR="00E365E1" w:rsidRPr="00E5121E" w:rsidRDefault="00E365E1" w:rsidP="00F550AD"/>
    <w:sectPr w:rsidR="00E365E1" w:rsidRPr="00E5121E" w:rsidSect="00E5121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025253" w14:textId="77777777" w:rsidR="00F550AD" w:rsidRPr="00E5121E" w:rsidRDefault="00F550AD">
      <w:r w:rsidRPr="00E5121E">
        <w:separator/>
      </w:r>
    </w:p>
  </w:endnote>
  <w:endnote w:type="continuationSeparator" w:id="0">
    <w:p w14:paraId="137B4122" w14:textId="77777777" w:rsidR="00F550AD" w:rsidRPr="00E5121E" w:rsidRDefault="00F550AD">
      <w:r w:rsidRPr="00E5121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5732D3" w14:textId="77777777" w:rsidR="00064002" w:rsidRPr="00E5121E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71CDB3" w14:textId="77777777" w:rsidR="00064002" w:rsidRPr="00E5121E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48AF9A" w14:textId="77777777" w:rsidR="00064002" w:rsidRPr="00E5121E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652D6C" w14:textId="77777777" w:rsidR="00F550AD" w:rsidRPr="00E5121E" w:rsidRDefault="00F550AD">
      <w:r w:rsidRPr="00E5121E">
        <w:separator/>
      </w:r>
    </w:p>
  </w:footnote>
  <w:footnote w:type="continuationSeparator" w:id="0">
    <w:p w14:paraId="6FBAB7A4" w14:textId="77777777" w:rsidR="00F550AD" w:rsidRPr="00E5121E" w:rsidRDefault="00F550AD">
      <w:r w:rsidRPr="00E5121E">
        <w:continuationSeparator/>
      </w:r>
    </w:p>
  </w:footnote>
  <w:footnote w:id="1">
    <w:p w14:paraId="2982C13B" w14:textId="0A825BB0" w:rsidR="00A55E4B" w:rsidRPr="00880CA2" w:rsidRDefault="00A55E4B" w:rsidP="00E5121E">
      <w:pPr>
        <w:pStyle w:val="FootnoteText"/>
        <w:ind w:left="567" w:hanging="567"/>
        <w:rPr>
          <w:sz w:val="24"/>
          <w:lang w:val="fi-FI"/>
        </w:rPr>
      </w:pPr>
      <w:r w:rsidRPr="00E5121E">
        <w:rPr>
          <w:rStyle w:val="FootnoteReference"/>
          <w:sz w:val="24"/>
          <w:lang w:val="pl-PL"/>
        </w:rPr>
        <w:footnoteRef/>
      </w:r>
      <w:r w:rsidR="00E5121E" w:rsidRPr="00880CA2">
        <w:rPr>
          <w:sz w:val="24"/>
          <w:lang w:val="fi-FI"/>
        </w:rPr>
        <w:t xml:space="preserve"> </w:t>
      </w:r>
      <w:r w:rsidR="00E5121E" w:rsidRPr="00880CA2">
        <w:rPr>
          <w:sz w:val="24"/>
          <w:lang w:val="fi-FI"/>
        </w:rPr>
        <w:tab/>
      </w:r>
      <w:r w:rsidRPr="00880CA2">
        <w:rPr>
          <w:sz w:val="24"/>
          <w:lang w:val="fi-FI"/>
        </w:rPr>
        <w:t>Dz.U. L</w:t>
      </w:r>
      <w:r w:rsidR="002E471A">
        <w:rPr>
          <w:sz w:val="24"/>
          <w:lang w:val="fi-FI"/>
        </w:rPr>
        <w:t>,</w:t>
      </w:r>
      <w:r w:rsidRPr="00880CA2">
        <w:rPr>
          <w:sz w:val="24"/>
          <w:lang w:val="fi-FI"/>
        </w:rPr>
        <w:t xml:space="preserve"> 2024/2509, 26.9.2024, ELI: </w:t>
      </w:r>
      <w:hyperlink r:id="rId1" w:history="1">
        <w:r w:rsidRPr="00880CA2">
          <w:rPr>
            <w:rStyle w:val="Hyperlink"/>
            <w:sz w:val="24"/>
            <w:lang w:val="fi-FI"/>
          </w:rPr>
          <w:t>http://data.europa.eu/eli/reg/2024/2509/oj</w:t>
        </w:r>
      </w:hyperlink>
      <w:r w:rsidRPr="00880CA2">
        <w:rPr>
          <w:sz w:val="24"/>
          <w:lang w:val="fi-FI"/>
        </w:rPr>
        <w:t>.</w:t>
      </w:r>
    </w:p>
  </w:footnote>
  <w:footnote w:id="2">
    <w:p w14:paraId="183BB3C0" w14:textId="4620F1F9" w:rsidR="00A55E4B" w:rsidRPr="00880CA2" w:rsidRDefault="00A55E4B" w:rsidP="00E5121E">
      <w:pPr>
        <w:pStyle w:val="FootnoteText"/>
        <w:ind w:left="567" w:hanging="567"/>
        <w:rPr>
          <w:sz w:val="24"/>
          <w:lang w:val="fi-FI"/>
        </w:rPr>
      </w:pPr>
      <w:r w:rsidRPr="00E5121E">
        <w:rPr>
          <w:rStyle w:val="FootnoteReference"/>
          <w:sz w:val="24"/>
          <w:lang w:val="pl-PL"/>
        </w:rPr>
        <w:footnoteRef/>
      </w:r>
      <w:r w:rsidR="00E5121E" w:rsidRPr="00880CA2">
        <w:rPr>
          <w:sz w:val="24"/>
          <w:lang w:val="fi-FI"/>
        </w:rPr>
        <w:t xml:space="preserve"> </w:t>
      </w:r>
      <w:r w:rsidR="00E5121E" w:rsidRPr="00880CA2">
        <w:rPr>
          <w:sz w:val="24"/>
          <w:lang w:val="fi-FI"/>
        </w:rPr>
        <w:tab/>
      </w:r>
      <w:r w:rsidRPr="00880CA2">
        <w:rPr>
          <w:sz w:val="24"/>
          <w:lang w:val="fi-FI"/>
        </w:rPr>
        <w:t xml:space="preserve">Dz.U. L, 2025/31, 27.2.2025, ELI: </w:t>
      </w:r>
      <w:r w:rsidR="002E471A">
        <w:fldChar w:fldCharType="begin"/>
      </w:r>
      <w:r w:rsidR="002E471A" w:rsidRPr="002E471A">
        <w:rPr>
          <w:lang w:val="fi-FI"/>
        </w:rPr>
        <w:instrText>HYPERLINK "http://data.europa.eu/eli/budget/2025/31/oj%20"</w:instrText>
      </w:r>
      <w:r w:rsidR="002E471A">
        <w:fldChar w:fldCharType="separate"/>
      </w:r>
      <w:r w:rsidRPr="00880CA2">
        <w:rPr>
          <w:rStyle w:val="Hyperlink"/>
          <w:sz w:val="24"/>
          <w:lang w:val="fi-FI"/>
        </w:rPr>
        <w:t>http://data.europa.eu/eli/budget/2025/31/oj</w:t>
      </w:r>
      <w:r w:rsidR="002E471A">
        <w:rPr>
          <w:rStyle w:val="Hyperlink"/>
          <w:sz w:val="24"/>
          <w:lang w:val="fi-FI"/>
        </w:rPr>
        <w:fldChar w:fldCharType="end"/>
      </w:r>
      <w:r w:rsidRPr="00880CA2">
        <w:rPr>
          <w:rStyle w:val="Hyperlink"/>
          <w:sz w:val="24"/>
          <w:lang w:val="fi-FI"/>
        </w:rPr>
        <w:t>.</w:t>
      </w:r>
    </w:p>
  </w:footnote>
  <w:footnote w:id="3">
    <w:p w14:paraId="456B92E2" w14:textId="20C79FBB" w:rsidR="00A55E4B" w:rsidRPr="00E5121E" w:rsidRDefault="00A55E4B" w:rsidP="00E5121E">
      <w:pPr>
        <w:pStyle w:val="FootnoteText"/>
        <w:ind w:left="567" w:hanging="567"/>
        <w:rPr>
          <w:sz w:val="24"/>
          <w:lang w:val="pl-PL"/>
        </w:rPr>
      </w:pPr>
      <w:r w:rsidRPr="00E5121E">
        <w:rPr>
          <w:rStyle w:val="FootnoteReference"/>
          <w:sz w:val="24"/>
          <w:lang w:val="pl-PL"/>
        </w:rPr>
        <w:footnoteRef/>
      </w:r>
      <w:r w:rsidR="00E5121E" w:rsidRPr="00E5121E">
        <w:rPr>
          <w:sz w:val="24"/>
          <w:lang w:val="pl-PL"/>
        </w:rPr>
        <w:t xml:space="preserve"> </w:t>
      </w:r>
      <w:r w:rsidR="00E5121E" w:rsidRPr="00E5121E">
        <w:rPr>
          <w:sz w:val="24"/>
          <w:lang w:val="pl-PL"/>
        </w:rPr>
        <w:tab/>
      </w:r>
      <w:r w:rsidRPr="00E5121E">
        <w:rPr>
          <w:sz w:val="24"/>
          <w:lang w:val="pl-PL"/>
        </w:rPr>
        <w:t xml:space="preserve">Dz.U. L 433 I z 22.12.2020, s. 11, ELI: </w:t>
      </w:r>
      <w:r w:rsidR="002E471A">
        <w:fldChar w:fldCharType="begin"/>
      </w:r>
      <w:r w:rsidR="002E471A" w:rsidRPr="002E471A">
        <w:rPr>
          <w:lang w:val="pl-PL"/>
        </w:rPr>
        <w:instrText>HYPERLINK "http://data.europa.eu/eli/reg/2020/433/oj"</w:instrText>
      </w:r>
      <w:r w:rsidR="002E471A">
        <w:fldChar w:fldCharType="separate"/>
      </w:r>
      <w:r w:rsidRPr="00E5121E">
        <w:rPr>
          <w:rStyle w:val="Hyperlink"/>
          <w:sz w:val="24"/>
          <w:lang w:val="pl-PL"/>
        </w:rPr>
        <w:t>http://data.europa.eu/eli/reg/2020/433/oj</w:t>
      </w:r>
      <w:r w:rsidR="002E471A">
        <w:rPr>
          <w:rStyle w:val="Hyperlink"/>
          <w:sz w:val="24"/>
          <w:lang w:val="pl-PL"/>
        </w:rPr>
        <w:fldChar w:fldCharType="end"/>
      </w:r>
      <w:r w:rsidRPr="00E5121E">
        <w:rPr>
          <w:sz w:val="24"/>
          <w:lang w:val="pl-PL"/>
        </w:rPr>
        <w:t>.</w:t>
      </w:r>
    </w:p>
  </w:footnote>
  <w:footnote w:id="4">
    <w:p w14:paraId="4AEEC28A" w14:textId="43E109C8" w:rsidR="00A55E4B" w:rsidRPr="00E5121E" w:rsidRDefault="00A55E4B" w:rsidP="00E5121E">
      <w:pPr>
        <w:pStyle w:val="FootnoteText"/>
        <w:ind w:left="567" w:hanging="567"/>
        <w:rPr>
          <w:sz w:val="24"/>
          <w:lang w:val="pl-PL"/>
        </w:rPr>
      </w:pPr>
      <w:r w:rsidRPr="00E5121E">
        <w:rPr>
          <w:rStyle w:val="FootnoteReference"/>
          <w:sz w:val="24"/>
          <w:lang w:val="pl-PL"/>
        </w:rPr>
        <w:footnoteRef/>
      </w:r>
      <w:r w:rsidR="00E5121E" w:rsidRPr="00E5121E">
        <w:rPr>
          <w:sz w:val="24"/>
          <w:lang w:val="pl-PL"/>
        </w:rPr>
        <w:t xml:space="preserve"> </w:t>
      </w:r>
      <w:r w:rsidR="00E5121E" w:rsidRPr="00E5121E">
        <w:rPr>
          <w:sz w:val="24"/>
          <w:lang w:val="pl-PL"/>
        </w:rPr>
        <w:tab/>
      </w:r>
      <w:r w:rsidRPr="00E5121E">
        <w:rPr>
          <w:sz w:val="24"/>
          <w:lang w:val="pl-PL"/>
        </w:rPr>
        <w:t xml:space="preserve">Dz.U. L 433 I z 22.12.2020, s. 28, ELI: </w:t>
      </w:r>
      <w:r w:rsidR="002E471A">
        <w:fldChar w:fldCharType="begin"/>
      </w:r>
      <w:r w:rsidR="002E471A" w:rsidRPr="002E471A">
        <w:rPr>
          <w:lang w:val="pl-PL"/>
        </w:rPr>
        <w:instrText>HYPERLINK "http://data.europa.eu/eli/agree_interinstit/2020/1222/oj"</w:instrText>
      </w:r>
      <w:r w:rsidR="002E471A">
        <w:fldChar w:fldCharType="separate"/>
      </w:r>
      <w:r w:rsidRPr="00E5121E">
        <w:rPr>
          <w:rStyle w:val="Hyperlink"/>
          <w:sz w:val="24"/>
          <w:lang w:val="pl-PL"/>
        </w:rPr>
        <w:t>http://data.europa.eu/eli/agree_interinstit/2020/1222/oj</w:t>
      </w:r>
      <w:r w:rsidR="002E471A">
        <w:rPr>
          <w:rStyle w:val="Hyperlink"/>
          <w:sz w:val="24"/>
          <w:lang w:val="pl-PL"/>
        </w:rPr>
        <w:fldChar w:fldCharType="end"/>
      </w:r>
      <w:r w:rsidRPr="00E5121E">
        <w:rPr>
          <w:sz w:val="24"/>
          <w:lang w:val="pl-PL"/>
        </w:rPr>
        <w:t>.</w:t>
      </w:r>
    </w:p>
  </w:footnote>
  <w:footnote w:id="5">
    <w:p w14:paraId="44AA0B30" w14:textId="79468ACA" w:rsidR="00A55E4B" w:rsidRPr="00E5121E" w:rsidRDefault="00A55E4B" w:rsidP="00E5121E">
      <w:pPr>
        <w:pStyle w:val="FootnoteText"/>
        <w:ind w:left="567" w:hanging="567"/>
        <w:rPr>
          <w:sz w:val="24"/>
          <w:lang w:val="pl-PL"/>
        </w:rPr>
      </w:pPr>
      <w:r w:rsidRPr="00E5121E">
        <w:rPr>
          <w:rStyle w:val="FootnoteReference"/>
          <w:sz w:val="24"/>
          <w:lang w:val="pl-PL"/>
        </w:rPr>
        <w:footnoteRef/>
      </w:r>
      <w:r w:rsidR="00E5121E" w:rsidRPr="00E5121E">
        <w:rPr>
          <w:sz w:val="24"/>
          <w:lang w:val="pl-PL"/>
        </w:rPr>
        <w:t xml:space="preserve"> </w:t>
      </w:r>
      <w:r w:rsidR="00E5121E" w:rsidRPr="00E5121E">
        <w:rPr>
          <w:sz w:val="24"/>
          <w:lang w:val="pl-PL"/>
        </w:rPr>
        <w:tab/>
      </w:r>
      <w:r w:rsidRPr="00E5121E">
        <w:rPr>
          <w:sz w:val="24"/>
          <w:lang w:val="pl-PL"/>
        </w:rPr>
        <w:t xml:space="preserve">Dz.U. L 424 z 15.12.2020, s. 1, ELI: </w:t>
      </w:r>
      <w:r w:rsidR="002E471A">
        <w:fldChar w:fldCharType="begin"/>
      </w:r>
      <w:r w:rsidR="002E471A" w:rsidRPr="002E471A">
        <w:rPr>
          <w:lang w:val="pl-PL"/>
        </w:rPr>
        <w:instrText>HYPERLINK "http://data.europa.eu/eli/dec/2020/2053/oj"</w:instrText>
      </w:r>
      <w:r w:rsidR="002E471A">
        <w:fldChar w:fldCharType="separate"/>
      </w:r>
      <w:r w:rsidRPr="00E5121E">
        <w:rPr>
          <w:rStyle w:val="Hyperlink"/>
          <w:sz w:val="24"/>
          <w:lang w:val="pl-PL"/>
        </w:rPr>
        <w:t>http://data.europa.eu/eli/dec/2020/2053/oj</w:t>
      </w:r>
      <w:r w:rsidR="002E471A">
        <w:rPr>
          <w:rStyle w:val="Hyperlink"/>
          <w:sz w:val="24"/>
          <w:lang w:val="pl-PL"/>
        </w:rPr>
        <w:fldChar w:fldCharType="end"/>
      </w:r>
      <w:r w:rsidRPr="00E5121E">
        <w:rPr>
          <w:sz w:val="24"/>
          <w:lang w:val="pl-PL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F879A4" w14:textId="77777777" w:rsidR="00064002" w:rsidRPr="00E5121E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E9FF85" w14:textId="77777777" w:rsidR="00064002" w:rsidRPr="00E5121E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BD37BC" w14:textId="77777777" w:rsidR="00064002" w:rsidRPr="00E5121E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033649892">
    <w:abstractNumId w:val="9"/>
  </w:num>
  <w:num w:numId="2" w16cid:durableId="464587465">
    <w:abstractNumId w:val="9"/>
  </w:num>
  <w:num w:numId="3" w16cid:durableId="394208931">
    <w:abstractNumId w:val="7"/>
  </w:num>
  <w:num w:numId="4" w16cid:durableId="1189754833">
    <w:abstractNumId w:val="7"/>
  </w:num>
  <w:num w:numId="5" w16cid:durableId="168762793">
    <w:abstractNumId w:val="6"/>
  </w:num>
  <w:num w:numId="6" w16cid:durableId="1533763194">
    <w:abstractNumId w:val="6"/>
  </w:num>
  <w:num w:numId="7" w16cid:durableId="2065641869">
    <w:abstractNumId w:val="5"/>
  </w:num>
  <w:num w:numId="8" w16cid:durableId="965162356">
    <w:abstractNumId w:val="5"/>
  </w:num>
  <w:num w:numId="9" w16cid:durableId="942031102">
    <w:abstractNumId w:val="4"/>
  </w:num>
  <w:num w:numId="10" w16cid:durableId="850723793">
    <w:abstractNumId w:val="4"/>
  </w:num>
  <w:num w:numId="11" w16cid:durableId="559444274">
    <w:abstractNumId w:val="8"/>
  </w:num>
  <w:num w:numId="12" w16cid:durableId="1456480292">
    <w:abstractNumId w:val="8"/>
  </w:num>
  <w:num w:numId="13" w16cid:durableId="30611769">
    <w:abstractNumId w:val="3"/>
  </w:num>
  <w:num w:numId="14" w16cid:durableId="340396202">
    <w:abstractNumId w:val="3"/>
  </w:num>
  <w:num w:numId="15" w16cid:durableId="1258637656">
    <w:abstractNumId w:val="2"/>
  </w:num>
  <w:num w:numId="16" w16cid:durableId="249848347">
    <w:abstractNumId w:val="2"/>
  </w:num>
  <w:num w:numId="17" w16cid:durableId="1847864047">
    <w:abstractNumId w:val="1"/>
  </w:num>
  <w:num w:numId="18" w16cid:durableId="142234661">
    <w:abstractNumId w:val="1"/>
  </w:num>
  <w:num w:numId="19" w16cid:durableId="1810827054">
    <w:abstractNumId w:val="0"/>
  </w:num>
  <w:num w:numId="20" w16cid:durableId="221991921">
    <w:abstractNumId w:val="0"/>
  </w:num>
  <w:num w:numId="21" w16cid:durableId="1690179233">
    <w:abstractNumId w:val="9"/>
  </w:num>
  <w:num w:numId="22" w16cid:durableId="678384767">
    <w:abstractNumId w:val="7"/>
  </w:num>
  <w:num w:numId="23" w16cid:durableId="1483885461">
    <w:abstractNumId w:val="6"/>
  </w:num>
  <w:num w:numId="24" w16cid:durableId="1920096917">
    <w:abstractNumId w:val="5"/>
  </w:num>
  <w:num w:numId="25" w16cid:durableId="502819023">
    <w:abstractNumId w:val="4"/>
  </w:num>
  <w:num w:numId="26" w16cid:durableId="997808990">
    <w:abstractNumId w:val="8"/>
  </w:num>
  <w:num w:numId="27" w16cid:durableId="254243412">
    <w:abstractNumId w:val="3"/>
  </w:num>
  <w:num w:numId="28" w16cid:durableId="145586976">
    <w:abstractNumId w:val="2"/>
  </w:num>
  <w:num w:numId="29" w16cid:durableId="199129462">
    <w:abstractNumId w:val="1"/>
  </w:num>
  <w:num w:numId="30" w16cid:durableId="292950661">
    <w:abstractNumId w:val="0"/>
  </w:num>
  <w:num w:numId="31" w16cid:durableId="734544797">
    <w:abstractNumId w:val="9"/>
  </w:num>
  <w:num w:numId="32" w16cid:durableId="2144425284">
    <w:abstractNumId w:val="7"/>
  </w:num>
  <w:num w:numId="33" w16cid:durableId="1795758350">
    <w:abstractNumId w:val="6"/>
  </w:num>
  <w:num w:numId="34" w16cid:durableId="886138572">
    <w:abstractNumId w:val="5"/>
  </w:num>
  <w:num w:numId="35" w16cid:durableId="1769688766">
    <w:abstractNumId w:val="4"/>
  </w:num>
  <w:num w:numId="36" w16cid:durableId="1148284399">
    <w:abstractNumId w:val="8"/>
  </w:num>
  <w:num w:numId="37" w16cid:durableId="350229195">
    <w:abstractNumId w:val="3"/>
  </w:num>
  <w:num w:numId="38" w16cid:durableId="763960286">
    <w:abstractNumId w:val="2"/>
  </w:num>
  <w:num w:numId="39" w16cid:durableId="1785536476">
    <w:abstractNumId w:val="1"/>
  </w:num>
  <w:num w:numId="40" w16cid:durableId="992370297">
    <w:abstractNumId w:val="0"/>
  </w:num>
  <w:num w:numId="41" w16cid:durableId="1242911384">
    <w:abstractNumId w:val="10"/>
  </w:num>
  <w:num w:numId="42" w16cid:durableId="213548731">
    <w:abstractNumId w:val="10"/>
  </w:num>
  <w:num w:numId="43" w16cid:durableId="624894571">
    <w:abstractNumId w:val="10"/>
  </w:num>
  <w:num w:numId="44" w16cid:durableId="70178225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37/2025"/>
    <w:docVar w:name="dvlangue" w:val="PL"/>
    <w:docVar w:name="dvnumam" w:val="0"/>
    <w:docVar w:name="dvpe" w:val="778.228"/>
    <w:docVar w:name="dvrapporteur" w:val="Sprawozdawca: "/>
    <w:docVar w:name="dvtitre" w:val="Rezolucja Parlamentu Europejskiego z dnia  2025 r. w sprawie stanowiska Rady dotyczącego projektu budżetu korygującego Unii Europejskiej nr 3/2025 na rok budżetowy 2025 – dostosowanie środków na płatności, aktualizacja dochodów i inne aktualizacje techniczne(14878/2025 – C10-0301/2025 – 2025/0319(BUD))"/>
  </w:docVars>
  <w:rsids>
    <w:rsidRoot w:val="00F550AD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0042"/>
    <w:rsid w:val="002767FF"/>
    <w:rsid w:val="002B18FE"/>
    <w:rsid w:val="002B5493"/>
    <w:rsid w:val="002E471A"/>
    <w:rsid w:val="002F129D"/>
    <w:rsid w:val="00343214"/>
    <w:rsid w:val="00361C00"/>
    <w:rsid w:val="00395FA1"/>
    <w:rsid w:val="003E15D4"/>
    <w:rsid w:val="00411CCE"/>
    <w:rsid w:val="0041666E"/>
    <w:rsid w:val="00421060"/>
    <w:rsid w:val="00471C19"/>
    <w:rsid w:val="004763FD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C12B6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0CA2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55E4B"/>
    <w:rsid w:val="00A57DFC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D75EF"/>
    <w:rsid w:val="00E365E1"/>
    <w:rsid w:val="00E5121E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550AD"/>
    <w:rsid w:val="00F74202"/>
    <w:rsid w:val="00F87713"/>
    <w:rsid w:val="00FB4360"/>
    <w:rsid w:val="00FD0C70"/>
    <w:rsid w:val="00FE2F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4CCC81A"/>
  <w15:chartTrackingRefBased/>
  <w15:docId w15:val="{15DA6745-A303-4012-B0A6-1FE91EA015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A55E4B"/>
    <w:pPr>
      <w:spacing w:before="480" w:after="240"/>
    </w:pPr>
  </w:style>
  <w:style w:type="paragraph" w:customStyle="1" w:styleId="NormalHanging12a">
    <w:name w:val="NormalHanging12a"/>
    <w:basedOn w:val="Normal"/>
    <w:rsid w:val="00A55E4B"/>
    <w:pPr>
      <w:spacing w:after="240"/>
      <w:ind w:left="567" w:hanging="567"/>
    </w:pPr>
  </w:style>
  <w:style w:type="character" w:styleId="Hyperlink">
    <w:name w:val="Hyperlink"/>
    <w:basedOn w:val="DefaultParagraphFont"/>
    <w:uiPriority w:val="99"/>
    <w:rsid w:val="00A55E4B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4763FD"/>
    <w:rPr>
      <w:sz w:val="24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reg/2024/2509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1239</Words>
  <Characters>8257</Characters>
  <Application>Microsoft Office Word</Application>
  <DocSecurity>0</DocSecurity>
  <Lines>68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9478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ZALESKI Tomasz</dc:creator>
  <cp:keywords/>
  <cp:lastModifiedBy>ZALESKI Tomasz</cp:lastModifiedBy>
  <cp:revision>2</cp:revision>
  <cp:lastPrinted>2004-11-19T15:42:00Z</cp:lastPrinted>
  <dcterms:created xsi:type="dcterms:W3CDTF">2026-02-06T16:30:00Z</dcterms:created>
  <dcterms:modified xsi:type="dcterms:W3CDTF">2026-02-06T16:30:00Z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P10_TA(2025)0293_</vt:lpwstr>
  </property>
  <property fmtid="{D5CDD505-2E9C-101B-9397-08002B2CF9AE}" pid="4" name="&lt;Type&gt;">
    <vt:lpwstr>RR</vt:lpwstr>
  </property>
</Properties>
</file>