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6227" w14:paraId="39B926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9FD969" w14:textId="77777777" w:rsidR="00751A4A" w:rsidRPr="00866227" w:rsidRDefault="003737F4" w:rsidP="0010095E">
            <w:pPr>
              <w:pStyle w:val="EPName"/>
            </w:pPr>
            <w:r w:rsidRPr="00866227">
              <w:t xml:space="preserve">Parlamento </w:t>
            </w:r>
            <w:proofErr w:type="gramStart"/>
            <w:r w:rsidRPr="00866227">
              <w:t>Europeu</w:t>
            </w:r>
            <w:proofErr w:type="gramEnd"/>
          </w:p>
          <w:p w14:paraId="4D6469A2" w14:textId="77777777" w:rsidR="00751A4A" w:rsidRPr="008662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6227">
              <w:t>2024</w:t>
            </w:r>
            <w:r w:rsidR="00817416" w:rsidRPr="00866227">
              <w:t>-202</w:t>
            </w:r>
            <w:r w:rsidRPr="00866227">
              <w:t>9</w:t>
            </w:r>
          </w:p>
        </w:tc>
        <w:tc>
          <w:tcPr>
            <w:tcW w:w="2268" w:type="dxa"/>
            <w:shd w:val="clear" w:color="auto" w:fill="auto"/>
          </w:tcPr>
          <w:p w14:paraId="2035598D" w14:textId="77777777" w:rsidR="00751A4A" w:rsidRPr="00866227" w:rsidRDefault="00187494" w:rsidP="0010095E">
            <w:pPr>
              <w:pStyle w:val="EPLogo"/>
            </w:pPr>
            <w:r w:rsidRPr="00866227">
              <w:rPr>
                <w:noProof/>
                <w:lang w:eastAsia="ja-JP"/>
              </w:rPr>
              <w:drawing>
                <wp:inline distT="0" distB="0" distL="0" distR="0" wp14:anchorId="2BE077DD" wp14:editId="5D6317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0E8EE0" w14:textId="77777777" w:rsidR="00D058B8" w:rsidRPr="00866227" w:rsidRDefault="00D058B8" w:rsidP="004C5D52">
      <w:pPr>
        <w:pStyle w:val="LineTop"/>
      </w:pPr>
    </w:p>
    <w:p w14:paraId="3C8BE5CA" w14:textId="77777777" w:rsidR="00680577" w:rsidRPr="00866227" w:rsidRDefault="003737F4" w:rsidP="00680577">
      <w:pPr>
        <w:pStyle w:val="EPBodyTA1"/>
      </w:pPr>
      <w:r w:rsidRPr="00866227">
        <w:t>TEXTOS APROVADOS</w:t>
      </w:r>
    </w:p>
    <w:p w14:paraId="5DFB5BFC" w14:textId="77777777" w:rsidR="00D058B8" w:rsidRPr="00866227" w:rsidRDefault="00D058B8" w:rsidP="00D058B8">
      <w:pPr>
        <w:pStyle w:val="LineBottom"/>
      </w:pPr>
    </w:p>
    <w:p w14:paraId="0F04B814" w14:textId="5A7398EA" w:rsidR="003737F4" w:rsidRPr="00866227" w:rsidRDefault="003737F4" w:rsidP="003737F4">
      <w:pPr>
        <w:pStyle w:val="ATHeading1"/>
      </w:pPr>
      <w:bookmarkStart w:id="0" w:name="TANumber"/>
      <w:r w:rsidRPr="00866227">
        <w:t>P10_TA(2025)0</w:t>
      </w:r>
      <w:r w:rsidR="00376560" w:rsidRPr="00866227">
        <w:t>293</w:t>
      </w:r>
      <w:bookmarkEnd w:id="0"/>
    </w:p>
    <w:p w14:paraId="43168F76" w14:textId="77777777" w:rsidR="003737F4" w:rsidRPr="00866227" w:rsidRDefault="003737F4" w:rsidP="003737F4">
      <w:pPr>
        <w:pStyle w:val="ATHeading2"/>
      </w:pPr>
      <w:bookmarkStart w:id="1" w:name="title"/>
      <w:r w:rsidRPr="00866227">
        <w:t>Projeto de orçamento retificativo n.º 3/2025: ajustamento das dotações de pagamento, atualização das receitas e outras atualizações técnicas</w:t>
      </w:r>
      <w:bookmarkEnd w:id="1"/>
    </w:p>
    <w:p w14:paraId="538A848C" w14:textId="77777777" w:rsidR="003737F4" w:rsidRPr="00866227" w:rsidRDefault="003737F4" w:rsidP="003737F4">
      <w:pPr>
        <w:rPr>
          <w:i/>
          <w:vanish/>
        </w:rPr>
      </w:pPr>
      <w:r w:rsidRPr="00866227">
        <w:rPr>
          <w:i/>
        </w:rPr>
        <w:fldChar w:fldCharType="begin"/>
      </w:r>
      <w:r w:rsidRPr="00866227">
        <w:rPr>
          <w:i/>
        </w:rPr>
        <w:instrText xml:space="preserve"> TC"(</w:instrText>
      </w:r>
      <w:bookmarkStart w:id="2" w:name="DocNumber"/>
      <w:r w:rsidRPr="00866227">
        <w:rPr>
          <w:i/>
        </w:rPr>
        <w:instrText>A10-0237/2025</w:instrText>
      </w:r>
      <w:bookmarkEnd w:id="2"/>
      <w:r w:rsidRPr="00866227">
        <w:rPr>
          <w:i/>
        </w:rPr>
        <w:instrText xml:space="preserve"> - Relator: Victor </w:instrText>
      </w:r>
      <w:proofErr w:type="spellStart"/>
      <w:r w:rsidRPr="00866227">
        <w:rPr>
          <w:i/>
        </w:rPr>
        <w:instrText>Negrescu</w:instrText>
      </w:r>
      <w:proofErr w:type="spellEnd"/>
      <w:r w:rsidRPr="00866227">
        <w:rPr>
          <w:i/>
        </w:rPr>
        <w:instrText xml:space="preserve">)"\l3 \n&gt; \* MERGEFORMAT </w:instrText>
      </w:r>
      <w:r w:rsidRPr="00866227">
        <w:rPr>
          <w:i/>
        </w:rPr>
        <w:fldChar w:fldCharType="end"/>
      </w:r>
    </w:p>
    <w:p w14:paraId="040BD12B" w14:textId="77777777" w:rsidR="003737F4" w:rsidRPr="00866227" w:rsidRDefault="003737F4" w:rsidP="003737F4">
      <w:pPr>
        <w:rPr>
          <w:vanish/>
        </w:rPr>
      </w:pPr>
      <w:bookmarkStart w:id="3" w:name="Commission"/>
      <w:r w:rsidRPr="00866227">
        <w:rPr>
          <w:vanish/>
        </w:rPr>
        <w:t>Comissão dos Orçamentos</w:t>
      </w:r>
      <w:bookmarkEnd w:id="3"/>
    </w:p>
    <w:p w14:paraId="54641E16" w14:textId="77777777" w:rsidR="003737F4" w:rsidRPr="00866227" w:rsidRDefault="003737F4" w:rsidP="003737F4">
      <w:pPr>
        <w:rPr>
          <w:vanish/>
        </w:rPr>
      </w:pPr>
      <w:bookmarkStart w:id="4" w:name="PE"/>
      <w:r w:rsidRPr="00866227">
        <w:rPr>
          <w:vanish/>
        </w:rPr>
        <w:t>PE778.228</w:t>
      </w:r>
      <w:bookmarkEnd w:id="4"/>
    </w:p>
    <w:p w14:paraId="636C6602" w14:textId="692B6494" w:rsidR="003737F4" w:rsidRPr="00866227" w:rsidRDefault="003737F4" w:rsidP="003737F4">
      <w:pPr>
        <w:pStyle w:val="ATHeading3"/>
      </w:pPr>
      <w:bookmarkStart w:id="5" w:name="Sujet"/>
      <w:r w:rsidRPr="00866227">
        <w:t xml:space="preserve">Resolução do Parlamento Europeu, de </w:t>
      </w:r>
      <w:r w:rsidR="0088173C" w:rsidRPr="00866227">
        <w:t>26</w:t>
      </w:r>
      <w:r w:rsidRPr="00866227">
        <w:t xml:space="preserve"> de </w:t>
      </w:r>
      <w:r w:rsidR="00866227">
        <w:t>novembro</w:t>
      </w:r>
      <w:r w:rsidRPr="00866227">
        <w:t xml:space="preserve"> de 2025, referente à posição do Conselho sobre o projeto de orçamento retificativo n.º 3</w:t>
      </w:r>
      <w:r w:rsidR="00A707BE" w:rsidRPr="00866227">
        <w:t xml:space="preserve"> do orçamento geral para </w:t>
      </w:r>
      <w:r w:rsidRPr="00866227">
        <w:t>2025</w:t>
      </w:r>
      <w:r w:rsidR="00A707BE" w:rsidRPr="00866227">
        <w:t>:</w:t>
      </w:r>
      <w:r w:rsidRPr="00866227">
        <w:t xml:space="preserve"> Ajustamento das dotações de pagamento, atualização das receitas e outras atualizações técnicas</w:t>
      </w:r>
      <w:bookmarkEnd w:id="5"/>
      <w:r w:rsidRPr="00866227">
        <w:t xml:space="preserve"> </w:t>
      </w:r>
      <w:bookmarkStart w:id="6" w:name="References"/>
      <w:r w:rsidRPr="00866227">
        <w:t>(14878/2025 – C10-0301/2025 – 2025/0319(BUD))</w:t>
      </w:r>
      <w:bookmarkEnd w:id="6"/>
    </w:p>
    <w:p w14:paraId="61749CE1" w14:textId="77777777" w:rsidR="00371552" w:rsidRPr="00866227" w:rsidRDefault="00371552" w:rsidP="00371552">
      <w:pPr>
        <w:pStyle w:val="EPComma"/>
      </w:pPr>
      <w:bookmarkStart w:id="7" w:name="TextBodyBegin"/>
      <w:bookmarkEnd w:id="7"/>
      <w:r w:rsidRPr="00866227">
        <w:rPr>
          <w:i/>
          <w:iCs/>
        </w:rPr>
        <w:t>O Parlamento Europeu</w:t>
      </w:r>
      <w:r w:rsidRPr="00866227">
        <w:t>,</w:t>
      </w:r>
    </w:p>
    <w:p w14:paraId="51B35015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artigo 314.º do Tratado sobre o Funcionamento da União Europeia,</w:t>
      </w:r>
    </w:p>
    <w:p w14:paraId="6714287E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artigo 106.º-A do Tratado que institui a Comunidade Europeia da Energia Atómica,</w:t>
      </w:r>
    </w:p>
    <w:p w14:paraId="0B625513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Regulamento (UE, Euratom) 2024/2509 do Parlamento Europeu e do Conselho, de 23 de setembro de 2024, relativo às regras financeiras aplicáveis ao orçamento geral da União</w:t>
      </w:r>
      <w:r w:rsidRPr="00866227">
        <w:rPr>
          <w:rStyle w:val="FootnoteReference"/>
        </w:rPr>
        <w:footnoteReference w:id="1"/>
      </w:r>
      <w:r w:rsidRPr="00866227">
        <w:t>, nomeadamente o artigo 44.º,</w:t>
      </w:r>
    </w:p>
    <w:p w14:paraId="56667193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orçamento geral da União Europeia para o exercício de 2025, que foi definitivamente aprovado em 27 de novembro de 2024</w:t>
      </w:r>
      <w:r w:rsidRPr="00866227">
        <w:rPr>
          <w:rStyle w:val="FootnoteReference"/>
        </w:rPr>
        <w:footnoteReference w:id="2"/>
      </w:r>
      <w:r w:rsidRPr="00866227">
        <w:t>,</w:t>
      </w:r>
    </w:p>
    <w:p w14:paraId="331FECAB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Regulamento (UE, Euratom) 2020/2093 do Conselho, de 17 de dezembro de 2020, que estabelece o quadro financeiro plurianual para o período de 2021 a 2027</w:t>
      </w:r>
      <w:r w:rsidRPr="00866227">
        <w:rPr>
          <w:rStyle w:val="FootnoteReference"/>
        </w:rPr>
        <w:footnoteReference w:id="3"/>
      </w:r>
      <w:r w:rsidRPr="00866227">
        <w:t>,</w:t>
      </w:r>
    </w:p>
    <w:p w14:paraId="6AC734E9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 xml:space="preserve"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866227">
        <w:lastRenderedPageBreak/>
        <w:t>novos recursos próprios</w:t>
      </w:r>
      <w:r w:rsidRPr="00866227">
        <w:rPr>
          <w:rStyle w:val="FootnoteReference"/>
        </w:rPr>
        <w:footnoteReference w:id="4"/>
      </w:r>
      <w:r w:rsidRPr="00866227">
        <w:t xml:space="preserve"> (a seguir designado por «AII»),</w:t>
      </w:r>
    </w:p>
    <w:p w14:paraId="7745B1D9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a Decisão (UE, Euratom) 2020/2053 do Conselho, de 14 de dezembro de 2020, relativa ao sistema de recursos próprios da União Europeia e que revoga a Decisão 2014/335/UE, Euratom</w:t>
      </w:r>
      <w:r w:rsidRPr="00866227">
        <w:rPr>
          <w:rStyle w:val="FootnoteReference"/>
        </w:rPr>
        <w:footnoteReference w:id="5"/>
      </w:r>
      <w:r w:rsidRPr="00866227">
        <w:t>,</w:t>
      </w:r>
    </w:p>
    <w:p w14:paraId="47C4BE8E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projeto de orçamento retificativo n.º 3/2025, aprovado pela Comissão em 3 de outubro de 2025 (COM(2025)0850),</w:t>
      </w:r>
    </w:p>
    <w:p w14:paraId="61CF16A4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a posição sobre o projeto de orçamento retificativo n.º 3/2025, adotada pelo Conselho em 17 de novembro de 2025 e transmitida ao Parlamento Europeu no próprio dia (14878/2025 – C10</w:t>
      </w:r>
      <w:r w:rsidRPr="00866227">
        <w:noBreakHyphen/>
        <w:t>0301/2025),</w:t>
      </w:r>
    </w:p>
    <w:p w14:paraId="60A46F3D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os artigos 96.º e 98.º do seu Regimento,</w:t>
      </w:r>
    </w:p>
    <w:p w14:paraId="1F4C52F3" w14:textId="77777777" w:rsidR="00371552" w:rsidRPr="00866227" w:rsidRDefault="00371552" w:rsidP="00371552">
      <w:pPr>
        <w:pStyle w:val="NormalHanging12a"/>
      </w:pPr>
      <w:r w:rsidRPr="00866227">
        <w:t>–</w:t>
      </w:r>
      <w:r w:rsidRPr="00866227">
        <w:tab/>
        <w:t>Tendo em conta o relatório da Comissão dos Orçamentos (A10-0237/2025),</w:t>
      </w:r>
    </w:p>
    <w:p w14:paraId="4E16FB4F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A.</w:t>
      </w:r>
      <w:r w:rsidRPr="00866227">
        <w:rPr>
          <w:color w:val="000000"/>
        </w:rPr>
        <w:tab/>
        <w:t>Considerando que o projeto de orçamento retificativo n.º 3/2025 tem por objetivo atualizar o lado das receitas do orçamento para ter em conta a evolução mais recente, ajustar o lado das despesas do orçamento no que respeita às dotações de pagamento e, ainda, ajustar o lado das despesas do orçamento no que respeita a algumas agências descentralizadas;</w:t>
      </w:r>
    </w:p>
    <w:p w14:paraId="62B3E707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B.</w:t>
      </w:r>
      <w:r w:rsidRPr="00866227">
        <w:rPr>
          <w:color w:val="000000"/>
        </w:rPr>
        <w:tab/>
        <w:t>Considerando que, no que concerne às despesas, o projeto de orçamento retificativo n.º 3/2025 inclui um aumento líquido de 123,7 milhões de EUR em dotações de autorização e de 2,52 mil milhões de EUR em dotações de pagamento;</w:t>
      </w:r>
    </w:p>
    <w:p w14:paraId="2AB2F5E0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C.</w:t>
      </w:r>
      <w:r w:rsidRPr="00866227">
        <w:rPr>
          <w:color w:val="000000"/>
        </w:rPr>
        <w:tab/>
        <w:t>Considerando que o projeto de orçamento retificativo n.º 3/2025 propõe vários ajustamentos do financiamento de agências descentralizadas, com transferências entre rubricas;</w:t>
      </w:r>
    </w:p>
    <w:p w14:paraId="2E8F4F4B" w14:textId="7F0909A3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D.</w:t>
      </w:r>
      <w:r w:rsidRPr="00866227">
        <w:rPr>
          <w:color w:val="000000"/>
        </w:rPr>
        <w:tab/>
        <w:t>Considerando que, no lado das receitas, o projeto de orçamento retificativo n.º 3/2025 inscreve no orçamento de 2025 as multas e sanções pecuniárias definitivas pagas até setembro de 2025, no montante total de 1,19 mil milhões de EUR, bem como 1,3 mil</w:t>
      </w:r>
      <w:r w:rsidR="00EE1BA4" w:rsidRPr="00866227">
        <w:rPr>
          <w:color w:val="000000"/>
        </w:rPr>
        <w:t> </w:t>
      </w:r>
      <w:r w:rsidRPr="00866227">
        <w:rPr>
          <w:color w:val="000000"/>
        </w:rPr>
        <w:t>milhões de EUR em recursos próprios tradicionais adicionais;</w:t>
      </w:r>
    </w:p>
    <w:p w14:paraId="4AE1BD92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E.</w:t>
      </w:r>
      <w:r w:rsidRPr="00866227">
        <w:rPr>
          <w:color w:val="000000"/>
        </w:rPr>
        <w:tab/>
        <w:t>Considerando que estes ajustamentos tornam necessário aumentar as contribuições baseadas no RNB em 31,9 milhões de EUR para cobrir as necessidades de pagamento;</w:t>
      </w:r>
    </w:p>
    <w:p w14:paraId="51327543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1.</w:t>
      </w:r>
      <w:r w:rsidRPr="00866227">
        <w:rPr>
          <w:color w:val="000000"/>
        </w:rPr>
        <w:tab/>
        <w:t>Toma nota do projeto de orçamento retificativo n.º 3/2025 apresentado pela Comissão e, em particular, do impacto global muito reduzido sobre as contribuições baseadas no RNB dos Estados-Membros, graças ao equilíbrio entre necessidades de pagamento adicionais e fluxos de receitas adicionais;</w:t>
      </w:r>
    </w:p>
    <w:p w14:paraId="17C96269" w14:textId="15FF76FC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2.</w:t>
      </w:r>
      <w:r w:rsidRPr="00866227">
        <w:rPr>
          <w:color w:val="000000"/>
        </w:rPr>
        <w:tab/>
        <w:t>Acolhe com satisfação o aumento das dotações de pagamento para o Fundo Europeu de Desenvolvimento Regional (FEDER), no montante de 2 mil milhões de EUR, em conjugação com os reforços da política agrícola comum</w:t>
      </w:r>
      <w:r w:rsidR="00EE1BA4" w:rsidRPr="00866227">
        <w:rPr>
          <w:color w:val="000000"/>
        </w:rPr>
        <w:t xml:space="preserve"> (PAC)</w:t>
      </w:r>
      <w:r w:rsidRPr="00866227">
        <w:rPr>
          <w:color w:val="000000"/>
        </w:rPr>
        <w:t xml:space="preserve"> na transferência global relativa ao ano em curso (DEC 15/2025), o que sinaliza um aceleramento da execução </w:t>
      </w:r>
      <w:r w:rsidRPr="00866227">
        <w:rPr>
          <w:color w:val="000000"/>
        </w:rPr>
        <w:lastRenderedPageBreak/>
        <w:t>dos programas após um arranque preocupantemente lento no período de 2021-2027; enfatiza que o robustecimento das dotações dos fundos estruturais e da PAC é crucial para a continuidade dos regimes de apoio à agricultura, a garantia da segurança alimentar e a promoção do desenvolvimento rural sustentável; observa que estas medidas são particularmente importantes para aumentar a resiliência do setor agrícola e preservar o equilíbrio socioeconómico nas zonas rurais; recorda a complementaridade destes aumentos e dos ajustamentos das dotações de pagamento na transferência global (DEC 15/2025);</w:t>
      </w:r>
    </w:p>
    <w:p w14:paraId="23D10C2B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3.</w:t>
      </w:r>
      <w:r w:rsidRPr="00866227">
        <w:rPr>
          <w:color w:val="000000"/>
        </w:rPr>
        <w:tab/>
        <w:t xml:space="preserve">Torna a instar ao aceleramento da execução das medidas ao abrigo do FEDER, do FSE+ e do Instrumento de Apoio Financeiro à Gestão das Fronteiras e à Política de Vistos (IGFV); aplaude a adoção mais célere do que o esperado da Plataforma de Tecnologias Estratégicas para a Europa (STEP); espera que os mais de 3 mil milhões de EUR em pagamentos </w:t>
      </w:r>
      <w:sdt>
        <w:sdtPr>
          <w:tag w:val="goog_rdk_2"/>
          <w:id w:val="1285891827"/>
        </w:sdtPr>
        <w:sdtEndPr/>
        <w:sdtContent>
          <w:r w:rsidRPr="00866227">
            <w:rPr>
              <w:color w:val="000000"/>
            </w:rPr>
            <w:t>adicionais</w:t>
          </w:r>
        </w:sdtContent>
      </w:sdt>
      <w:r w:rsidRPr="00866227">
        <w:rPr>
          <w:color w:val="000000"/>
        </w:rPr>
        <w:t xml:space="preserve"> da STEP sejam utilizados de forma rápida e eficaz para os objetivos específicos definidos nos respetivos atos de base;</w:t>
      </w:r>
    </w:p>
    <w:p w14:paraId="25CCA60A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4.</w:t>
      </w:r>
      <w:r w:rsidRPr="00866227">
        <w:rPr>
          <w:color w:val="000000"/>
        </w:rPr>
        <w:tab/>
        <w:t>Toma nota do mais recente ponto da situação no que concerne aos acordos de parceria no domínio da pesca sustentável (APPS), e louva o papel ativo da autoridade orçamental, em consonância com as disposições pertinentes do AII, na liberação das dotações em reserva em função da entrada em vigor e da aplicação dos protocolos de execução internacionais correspondentes;</w:t>
      </w:r>
    </w:p>
    <w:p w14:paraId="370A8DFF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5.</w:t>
      </w:r>
      <w:r w:rsidRPr="00866227">
        <w:rPr>
          <w:color w:val="000000"/>
        </w:rPr>
        <w:tab/>
        <w:t>Lamenta a redução das dotações de autorização (78 milhões de EUR) e de pagamento (48 milhões de EUR) para o Instrumento de Apoio Financeiro aos Equipamentos de Controlo Aduaneiro (IECA), devido a atrasos na execução nos Estados-Membros, num momento em que se esperaria dinamismo na cooperação e nos investimentos neste domínio;</w:t>
      </w:r>
    </w:p>
    <w:p w14:paraId="2AF64A9A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6.</w:t>
      </w:r>
      <w:r w:rsidRPr="00866227">
        <w:rPr>
          <w:color w:val="000000"/>
        </w:rPr>
        <w:tab/>
        <w:t>Regozija-se com as poupanças nas autorizações (5 milhões de EUR) para o instrumento de assistência técnica, graças aos ganhos de eficiência possibilitados por procedimentos de adjudicação de contratos competitivos;</w:t>
      </w:r>
    </w:p>
    <w:p w14:paraId="4598BD0D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7.</w:t>
      </w:r>
      <w:r w:rsidRPr="00866227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866227">
                <w:t xml:space="preserve">Toma nota </w:t>
              </w:r>
            </w:sdtContent>
          </w:sdt>
        </w:sdtContent>
      </w:sdt>
      <w:r w:rsidRPr="00866227">
        <w:rPr>
          <w:color w:val="000000"/>
        </w:rPr>
        <w:t xml:space="preserve">do ritmo de execução das reformas e do abrandamento proporcional da absorção dos pagamentos a título do Mecanismo para a Ucrânia; está ciente de que partes das dotações não absorvidas </w:t>
      </w:r>
      <w:sdt>
        <w:sdtPr>
          <w:tag w:val="goog_rdk_7"/>
          <w:id w:val="1769977353"/>
        </w:sdtPr>
        <w:sdtEndPr/>
        <w:sdtContent>
          <w:r w:rsidRPr="00866227">
            <w:rPr>
              <w:color w:val="000000"/>
            </w:rPr>
            <w:t>podem</w:t>
          </w:r>
        </w:sdtContent>
      </w:sdt>
      <w:r w:rsidRPr="00866227">
        <w:rPr>
          <w:color w:val="000000"/>
        </w:rPr>
        <w:t xml:space="preserve"> transitar para o exercício orçamental seguinte; incentiva todos os intervenientes a avançarem com medidas relacionadas com reformas e investimentos, como os acordos de financiamento misto;</w:t>
      </w:r>
    </w:p>
    <w:p w14:paraId="0F998407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8.</w:t>
      </w:r>
      <w:r w:rsidRPr="00866227">
        <w:rPr>
          <w:color w:val="000000"/>
        </w:rPr>
        <w:tab/>
        <w:t>Regista os ajustamentos à contribuição da União para várias agências descentralizadas; considera que estes ajustamentos são, na sua maioria, de natureza técnica; acolhe-os com agrado, visto que otimizam a utilização dos recursos ao abrigo das rubricas operacionais, como o LIFE, o FAMI ou o Programa a favor do Mercado Interno; lamenta, no entanto, que na base da «devolução» de dotações de autorização e de pagamento — transferidas das rubricas de agências para as rubricas de programas correspondentes — esteja um atraso no recrutamento de pessoal ou um atraso na adoção de novas iniciativas estratégicas ou legislativas, como a estratégia para o investimento de retalho (que diz respeito à ESMA e à EIOPA), o Pacto em matéria de Migração e Asilo (que diz respeito à AUEA), o pacote de segurança marítima (que diz respeito à EMSA) ou a proposta sobre novas técnicas genómicas (que diz respeito à EFSA);</w:t>
      </w:r>
    </w:p>
    <w:p w14:paraId="0F6AAE07" w14:textId="5F554875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9.</w:t>
      </w:r>
      <w:r w:rsidRPr="00866227">
        <w:rPr>
          <w:color w:val="000000"/>
        </w:rPr>
        <w:tab/>
        <w:t xml:space="preserve">Neste contexto, enfatiza e reitera o seu firme apoio à recém-criada Autoridade para o </w:t>
      </w:r>
      <w:r w:rsidRPr="00866227">
        <w:rPr>
          <w:color w:val="000000"/>
        </w:rPr>
        <w:lastRenderedPageBreak/>
        <w:t xml:space="preserve">Combate ao Branqueamento de Capitais no âmbito do </w:t>
      </w:r>
      <w:r w:rsidR="00464CFF" w:rsidRPr="00866227">
        <w:rPr>
          <w:color w:val="000000"/>
        </w:rPr>
        <w:t xml:space="preserve">regime </w:t>
      </w:r>
      <w:r w:rsidRPr="00866227">
        <w:rPr>
          <w:color w:val="000000"/>
        </w:rPr>
        <w:t xml:space="preserve">regulamentar revisto de luta contra o branqueamento de capitais a nível da União; continua profundamente preocupado com os contínuos atrasos na fase de arranque, </w:t>
      </w:r>
      <w:r w:rsidR="00464CFF" w:rsidRPr="00866227">
        <w:rPr>
          <w:color w:val="000000"/>
        </w:rPr>
        <w:t xml:space="preserve">nomeadamente </w:t>
      </w:r>
      <w:r w:rsidRPr="00866227">
        <w:rPr>
          <w:color w:val="000000"/>
        </w:rPr>
        <w:t xml:space="preserve">no que concerne ao recrutamento, </w:t>
      </w:r>
      <w:sdt>
        <w:sdtPr>
          <w:tag w:val="goog_rdk_18"/>
          <w:id w:val="-1528576562"/>
        </w:sdtPr>
        <w:sdtEndPr/>
        <w:sdtContent>
          <w:r w:rsidRPr="00866227">
            <w:rPr>
              <w:color w:val="000000"/>
            </w:rPr>
            <w:t>e solicita que se acelerem os processos de contratação pertinentes</w:t>
          </w:r>
        </w:sdtContent>
      </w:sdt>
      <w:r w:rsidRPr="00866227">
        <w:rPr>
          <w:color w:val="000000"/>
        </w:rPr>
        <w:t>;</w:t>
      </w:r>
    </w:p>
    <w:p w14:paraId="0AA2FFD7" w14:textId="0BEBB468" w:rsidR="00371552" w:rsidRPr="00866227" w:rsidRDefault="00866227" w:rsidP="00371552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371552" w:rsidRPr="00866227">
        <w:rPr>
          <w:color w:val="000000"/>
        </w:rPr>
        <w:t>10.</w:t>
      </w:r>
      <w:r w:rsidR="00371552" w:rsidRPr="00866227">
        <w:rPr>
          <w:color w:val="000000"/>
        </w:rPr>
        <w:tab/>
        <w:t xml:space="preserve">Saúda a incorporação no orçamento de receitas adicionais decorrentes de multas e sanções pecuniárias definitivas, no valor de 1 185,1 milhões de EUR; entende que estes montantes são verdadeiras fontes de receitas da União, que fazem baixar as contribuições baseadas no RNB dos Estados-Membros; recorda, neste contexto, que a Comissão propôs alterações para o </w:t>
      </w:r>
      <w:r w:rsidR="004A72DC" w:rsidRPr="00866227">
        <w:rPr>
          <w:color w:val="000000"/>
        </w:rPr>
        <w:t xml:space="preserve">período do </w:t>
      </w:r>
      <w:r w:rsidR="00371552" w:rsidRPr="00866227">
        <w:rPr>
          <w:color w:val="000000"/>
        </w:rPr>
        <w:t xml:space="preserve">próximo do </w:t>
      </w:r>
      <w:r w:rsidR="004A72DC" w:rsidRPr="00866227">
        <w:rPr>
          <w:color w:val="000000"/>
        </w:rPr>
        <w:t>quadro financeiro plurianual</w:t>
      </w:r>
      <w:r w:rsidR="00371552" w:rsidRPr="00866227">
        <w:rPr>
          <w:color w:val="000000"/>
        </w:rPr>
        <w:t>, no intuito de que tais receitas inesperadas possam dar azo a dotações de despesa adicionais;</w:t>
      </w:r>
    </w:p>
    <w:p w14:paraId="2A3D7E8C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11.</w:t>
      </w:r>
      <w:r w:rsidRPr="00866227">
        <w:rPr>
          <w:color w:val="000000"/>
        </w:rPr>
        <w:tab/>
        <w:t>Regista a proposta de incorporar no orçamento 1,3 mil milhões de EUR do «excedente de recursos próprios tradicionais» estimado; manifesta dúvidas quanto ao mérito de repetidas atualizações das receitas provenientes de direitos aduaneiros no decurso do exercício orçamental, particularmente à margem do orçamento retificativo anual específico para atualizar e regularizar o lado das receitas;</w:t>
      </w:r>
    </w:p>
    <w:p w14:paraId="142C977B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t>12.</w:t>
      </w:r>
      <w:r w:rsidRPr="00866227">
        <w:tab/>
        <w:t>Toma nota da atualização das adaptações salariais para 2025, e manifesta o seu acordo em integrar o impacto orçamental desses ajustamentos como alteração técnica no projeto de orçamento retificativo n.º 3/2025; observa que isto implica uma redução no montante total de 78,8 milhões de EUR em dotações não diferenciadas nas rubricas orçamentais e secções pertinentes no âmbito da rubrica 7;</w:t>
      </w:r>
    </w:p>
    <w:p w14:paraId="0DBBFC43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13.</w:t>
      </w:r>
      <w:r w:rsidRPr="00866227">
        <w:rPr>
          <w:color w:val="000000"/>
        </w:rPr>
        <w:tab/>
        <w:t>Aprova a posição do Conselho sobre o projeto de orçamento retificativo n.º 3/2025;</w:t>
      </w:r>
    </w:p>
    <w:p w14:paraId="7FC9611D" w14:textId="77777777" w:rsidR="00371552" w:rsidRPr="00866227" w:rsidRDefault="00371552" w:rsidP="00371552">
      <w:pPr>
        <w:spacing w:after="240"/>
        <w:ind w:left="567" w:hanging="567"/>
        <w:rPr>
          <w:color w:val="000000"/>
        </w:rPr>
      </w:pPr>
      <w:r w:rsidRPr="00866227">
        <w:rPr>
          <w:color w:val="000000"/>
        </w:rPr>
        <w:t>14.</w:t>
      </w:r>
      <w:r w:rsidRPr="00866227">
        <w:rPr>
          <w:color w:val="000000"/>
        </w:rPr>
        <w:tab/>
        <w:t xml:space="preserve">Encarrega a sua Presidente de declarar o orçamento retificativo n.º 3/2025 definitivamente aprovado e de prover à respetiva publicação no </w:t>
      </w:r>
      <w:r w:rsidRPr="00866227">
        <w:rPr>
          <w:i/>
          <w:iCs/>
          <w:color w:val="000000"/>
        </w:rPr>
        <w:t>Jornal Oficial da União Europeia</w:t>
      </w:r>
      <w:r w:rsidRPr="00866227">
        <w:rPr>
          <w:color w:val="000000"/>
        </w:rPr>
        <w:t>;</w:t>
      </w:r>
    </w:p>
    <w:p w14:paraId="6B9FA060" w14:textId="67764ED0" w:rsidR="006A7D0A" w:rsidRPr="00866227" w:rsidRDefault="00371552" w:rsidP="006A7D0A">
      <w:pPr>
        <w:spacing w:after="240"/>
        <w:ind w:left="567" w:hanging="567"/>
      </w:pPr>
      <w:r w:rsidRPr="00866227">
        <w:rPr>
          <w:color w:val="000000"/>
        </w:rPr>
        <w:t>15.</w:t>
      </w:r>
      <w:r w:rsidRPr="00866227">
        <w:rPr>
          <w:color w:val="000000"/>
        </w:rPr>
        <w:tab/>
        <w:t>Encarrega a sua Presidente de transmitir a presente resolução ao Conselho e à Comissão, bem como aos parlamentos nacionais.</w:t>
      </w:r>
    </w:p>
    <w:p w14:paraId="6132E32E" w14:textId="2CD5E6D8" w:rsidR="00E365E1" w:rsidRPr="00866227" w:rsidRDefault="00E365E1" w:rsidP="003737F4"/>
    <w:sectPr w:rsidR="00E365E1" w:rsidRPr="00866227" w:rsidSect="006A7D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CD89" w14:textId="77777777" w:rsidR="003737F4" w:rsidRPr="006A7D0A" w:rsidRDefault="003737F4">
      <w:r w:rsidRPr="006A7D0A">
        <w:separator/>
      </w:r>
    </w:p>
  </w:endnote>
  <w:endnote w:type="continuationSeparator" w:id="0">
    <w:p w14:paraId="7D2975D1" w14:textId="77777777" w:rsidR="003737F4" w:rsidRPr="006A7D0A" w:rsidRDefault="003737F4">
      <w:r w:rsidRPr="006A7D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D69F6" w14:textId="77777777" w:rsidR="00064002" w:rsidRPr="006A7D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D974" w14:textId="77777777" w:rsidR="00064002" w:rsidRPr="006A7D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88A6E" w14:textId="77777777" w:rsidR="00064002" w:rsidRPr="006A7D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193D" w14:textId="77777777" w:rsidR="003737F4" w:rsidRPr="006A7D0A" w:rsidRDefault="003737F4">
      <w:r w:rsidRPr="006A7D0A">
        <w:separator/>
      </w:r>
    </w:p>
  </w:footnote>
  <w:footnote w:type="continuationSeparator" w:id="0">
    <w:p w14:paraId="34AD5409" w14:textId="77777777" w:rsidR="003737F4" w:rsidRPr="006A7D0A" w:rsidRDefault="003737F4">
      <w:r w:rsidRPr="006A7D0A">
        <w:continuationSeparator/>
      </w:r>
    </w:p>
  </w:footnote>
  <w:footnote w:id="1">
    <w:p w14:paraId="26AB96D9" w14:textId="5D930470" w:rsidR="00371552" w:rsidRPr="00866227" w:rsidRDefault="00371552" w:rsidP="006A7D0A">
      <w:pPr>
        <w:pStyle w:val="FootnoteText"/>
        <w:ind w:left="567" w:hanging="567"/>
        <w:rPr>
          <w:sz w:val="24"/>
          <w:lang w:val="fi-FI"/>
        </w:rPr>
      </w:pPr>
      <w:r w:rsidRPr="006A7D0A">
        <w:rPr>
          <w:rStyle w:val="FootnoteReference"/>
          <w:sz w:val="24"/>
          <w:lang w:val="pt-PT"/>
        </w:rPr>
        <w:footnoteRef/>
      </w:r>
      <w:r w:rsidR="006A7D0A" w:rsidRPr="00866227">
        <w:rPr>
          <w:sz w:val="24"/>
          <w:lang w:val="fi-FI"/>
        </w:rPr>
        <w:t xml:space="preserve"> </w:t>
      </w:r>
      <w:r w:rsidR="006A7D0A" w:rsidRPr="00866227">
        <w:rPr>
          <w:sz w:val="24"/>
          <w:lang w:val="fi-FI"/>
        </w:rPr>
        <w:tab/>
      </w:r>
      <w:r w:rsidRPr="00866227">
        <w:rPr>
          <w:sz w:val="24"/>
          <w:lang w:val="fi-FI"/>
        </w:rPr>
        <w:t xml:space="preserve">JO L, 2024/2509, 26.9.2024, ELI: </w:t>
      </w:r>
      <w:hyperlink r:id="rId1" w:history="1">
        <w:r w:rsidRPr="00866227">
          <w:rPr>
            <w:rStyle w:val="Hyperlink"/>
            <w:sz w:val="24"/>
            <w:lang w:val="fi-FI"/>
          </w:rPr>
          <w:t>http://data.europa.eu/eli/reg/2024/2509/oj</w:t>
        </w:r>
      </w:hyperlink>
      <w:r w:rsidRPr="00866227">
        <w:rPr>
          <w:sz w:val="24"/>
          <w:lang w:val="fi-FI"/>
        </w:rPr>
        <w:t>.</w:t>
      </w:r>
    </w:p>
  </w:footnote>
  <w:footnote w:id="2">
    <w:p w14:paraId="1FC6C97E" w14:textId="5D0D5FC7" w:rsidR="00371552" w:rsidRPr="00866227" w:rsidRDefault="00371552" w:rsidP="006A7D0A">
      <w:pPr>
        <w:pStyle w:val="FootnoteText"/>
        <w:ind w:left="567" w:hanging="567"/>
        <w:rPr>
          <w:sz w:val="24"/>
          <w:lang w:val="fi-FI"/>
        </w:rPr>
      </w:pPr>
      <w:r w:rsidRPr="006A7D0A">
        <w:rPr>
          <w:rStyle w:val="FootnoteReference"/>
          <w:sz w:val="24"/>
          <w:lang w:val="pt-PT"/>
        </w:rPr>
        <w:footnoteRef/>
      </w:r>
      <w:r w:rsidR="006A7D0A" w:rsidRPr="00866227">
        <w:rPr>
          <w:sz w:val="24"/>
          <w:lang w:val="fi-FI"/>
        </w:rPr>
        <w:t xml:space="preserve"> </w:t>
      </w:r>
      <w:r w:rsidR="006A7D0A" w:rsidRPr="00866227">
        <w:rPr>
          <w:sz w:val="24"/>
          <w:lang w:val="fi-FI"/>
        </w:rPr>
        <w:tab/>
      </w:r>
      <w:r w:rsidRPr="00866227">
        <w:rPr>
          <w:sz w:val="24"/>
          <w:lang w:val="fi-FI"/>
        </w:rPr>
        <w:t xml:space="preserve">JO L, 2025/31, 27.2.2025, ELI: </w:t>
      </w:r>
      <w:hyperlink r:id="rId2" w:history="1">
        <w:r w:rsidRPr="00866227">
          <w:rPr>
            <w:rStyle w:val="Hyperlink"/>
            <w:sz w:val="24"/>
            <w:lang w:val="fi-FI"/>
          </w:rPr>
          <w:t>http://data.europa.eu/eli/budget/2025/31/oj</w:t>
        </w:r>
      </w:hyperlink>
      <w:r w:rsidRPr="00866227">
        <w:rPr>
          <w:sz w:val="24"/>
          <w:lang w:val="fi-FI"/>
        </w:rPr>
        <w:t>.</w:t>
      </w:r>
    </w:p>
  </w:footnote>
  <w:footnote w:id="3">
    <w:p w14:paraId="282CA544" w14:textId="53B18871" w:rsidR="00371552" w:rsidRPr="00866227" w:rsidRDefault="00371552" w:rsidP="006A7D0A">
      <w:pPr>
        <w:pStyle w:val="FootnoteText"/>
        <w:ind w:left="567" w:hanging="567"/>
        <w:rPr>
          <w:sz w:val="24"/>
          <w:lang w:val="da-DK"/>
        </w:rPr>
      </w:pPr>
      <w:r w:rsidRPr="006A7D0A">
        <w:rPr>
          <w:rStyle w:val="FootnoteReference"/>
          <w:sz w:val="24"/>
          <w:lang w:val="pt-PT"/>
        </w:rPr>
        <w:footnoteRef/>
      </w:r>
      <w:r w:rsidR="006A7D0A" w:rsidRPr="00866227">
        <w:rPr>
          <w:sz w:val="24"/>
          <w:lang w:val="da-DK"/>
        </w:rPr>
        <w:t xml:space="preserve"> </w:t>
      </w:r>
      <w:r w:rsidR="006A7D0A" w:rsidRPr="00866227">
        <w:rPr>
          <w:sz w:val="24"/>
          <w:lang w:val="da-DK"/>
        </w:rPr>
        <w:tab/>
      </w:r>
      <w:r w:rsidRPr="00866227">
        <w:rPr>
          <w:sz w:val="24"/>
          <w:lang w:val="da-DK"/>
        </w:rPr>
        <w:t>JO L 433 I de 22.12.2020, p. 11, ELI:</w:t>
      </w:r>
      <w:r w:rsidR="00EE1BA4" w:rsidRPr="00866227">
        <w:rPr>
          <w:sz w:val="24"/>
          <w:lang w:val="da-DK"/>
        </w:rPr>
        <w:t xml:space="preserve"> </w:t>
      </w:r>
      <w:hyperlink r:id="rId3" w:history="1">
        <w:r w:rsidR="00EE1BA4" w:rsidRPr="00866227">
          <w:rPr>
            <w:rStyle w:val="Hyperlink"/>
            <w:sz w:val="24"/>
            <w:lang w:val="da-DK"/>
          </w:rPr>
          <w:t>http://data.europa.eu/eli/reg/2020/2093/oj</w:t>
        </w:r>
      </w:hyperlink>
      <w:r w:rsidRPr="00866227">
        <w:rPr>
          <w:sz w:val="24"/>
          <w:lang w:val="da-DK"/>
        </w:rPr>
        <w:t>.</w:t>
      </w:r>
    </w:p>
  </w:footnote>
  <w:footnote w:id="4">
    <w:p w14:paraId="53CCE7E9" w14:textId="0FBB5955" w:rsidR="00371552" w:rsidRPr="00866227" w:rsidRDefault="00371552" w:rsidP="006A7D0A">
      <w:pPr>
        <w:pStyle w:val="FootnoteText"/>
        <w:ind w:left="567" w:hanging="567"/>
        <w:rPr>
          <w:sz w:val="24"/>
          <w:lang w:val="da-DK"/>
        </w:rPr>
      </w:pPr>
      <w:r w:rsidRPr="006A7D0A">
        <w:rPr>
          <w:rStyle w:val="FootnoteReference"/>
          <w:sz w:val="24"/>
          <w:lang w:val="pt-PT"/>
        </w:rPr>
        <w:footnoteRef/>
      </w:r>
      <w:r w:rsidR="006A7D0A" w:rsidRPr="00866227">
        <w:rPr>
          <w:sz w:val="24"/>
          <w:lang w:val="da-DK"/>
        </w:rPr>
        <w:t xml:space="preserve"> </w:t>
      </w:r>
      <w:r w:rsidR="006A7D0A" w:rsidRPr="00866227">
        <w:rPr>
          <w:sz w:val="24"/>
          <w:lang w:val="da-DK"/>
        </w:rPr>
        <w:tab/>
      </w:r>
      <w:r w:rsidRPr="00866227">
        <w:rPr>
          <w:sz w:val="24"/>
          <w:lang w:val="da-DK"/>
        </w:rPr>
        <w:t xml:space="preserve">JO L 433 I de 22.12.2020, p. 28, ELI: </w:t>
      </w:r>
      <w:hyperlink r:id="rId4" w:history="1">
        <w:r w:rsidRPr="00866227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866227">
        <w:rPr>
          <w:sz w:val="24"/>
          <w:lang w:val="da-DK"/>
        </w:rPr>
        <w:t>.</w:t>
      </w:r>
    </w:p>
  </w:footnote>
  <w:footnote w:id="5">
    <w:p w14:paraId="76E9B70C" w14:textId="4CFC77C3" w:rsidR="00371552" w:rsidRPr="006A7D0A" w:rsidRDefault="00371552" w:rsidP="006A7D0A">
      <w:pPr>
        <w:pStyle w:val="FootnoteText"/>
        <w:ind w:left="567" w:hanging="567"/>
        <w:rPr>
          <w:sz w:val="24"/>
          <w:lang w:val="pt-PT"/>
        </w:rPr>
      </w:pPr>
      <w:r w:rsidRPr="006A7D0A">
        <w:rPr>
          <w:rStyle w:val="FootnoteReference"/>
          <w:sz w:val="24"/>
          <w:lang w:val="pt-PT"/>
        </w:rPr>
        <w:footnoteRef/>
      </w:r>
      <w:r w:rsidR="006A7D0A" w:rsidRPr="006A7D0A">
        <w:rPr>
          <w:sz w:val="24"/>
          <w:lang w:val="pt-PT"/>
        </w:rPr>
        <w:t xml:space="preserve"> </w:t>
      </w:r>
      <w:r w:rsidR="006A7D0A" w:rsidRPr="006A7D0A">
        <w:rPr>
          <w:sz w:val="24"/>
          <w:lang w:val="pt-PT"/>
        </w:rPr>
        <w:tab/>
      </w:r>
      <w:r w:rsidRPr="006A7D0A">
        <w:rPr>
          <w:sz w:val="24"/>
          <w:lang w:val="pt-PT"/>
        </w:rPr>
        <w:t xml:space="preserve">JO L 424 de 15.12.2020, p. 1, ELI: </w:t>
      </w:r>
      <w:hyperlink r:id="rId5" w:history="1">
        <w:r w:rsidRPr="006A7D0A">
          <w:rPr>
            <w:rStyle w:val="Hyperlink"/>
            <w:sz w:val="24"/>
            <w:lang w:val="pt-PT"/>
          </w:rPr>
          <w:t>http://data.europa.eu/eli/dec/2020/2053/oj</w:t>
        </w:r>
      </w:hyperlink>
      <w:r w:rsidRPr="006A7D0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00FB" w14:textId="77777777" w:rsidR="00064002" w:rsidRPr="006A7D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AA42" w14:textId="77777777" w:rsidR="00064002" w:rsidRPr="006A7D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25F" w14:textId="77777777" w:rsidR="00064002" w:rsidRPr="006A7D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3037162">
    <w:abstractNumId w:val="9"/>
  </w:num>
  <w:num w:numId="2" w16cid:durableId="1039478573">
    <w:abstractNumId w:val="9"/>
  </w:num>
  <w:num w:numId="3" w16cid:durableId="740718708">
    <w:abstractNumId w:val="7"/>
  </w:num>
  <w:num w:numId="4" w16cid:durableId="322860194">
    <w:abstractNumId w:val="7"/>
  </w:num>
  <w:num w:numId="5" w16cid:durableId="1468814442">
    <w:abstractNumId w:val="6"/>
  </w:num>
  <w:num w:numId="6" w16cid:durableId="1604528378">
    <w:abstractNumId w:val="6"/>
  </w:num>
  <w:num w:numId="7" w16cid:durableId="2135444902">
    <w:abstractNumId w:val="5"/>
  </w:num>
  <w:num w:numId="8" w16cid:durableId="484130732">
    <w:abstractNumId w:val="5"/>
  </w:num>
  <w:num w:numId="9" w16cid:durableId="1115751112">
    <w:abstractNumId w:val="4"/>
  </w:num>
  <w:num w:numId="10" w16cid:durableId="36862260">
    <w:abstractNumId w:val="4"/>
  </w:num>
  <w:num w:numId="11" w16cid:durableId="482695340">
    <w:abstractNumId w:val="8"/>
  </w:num>
  <w:num w:numId="12" w16cid:durableId="1929583913">
    <w:abstractNumId w:val="8"/>
  </w:num>
  <w:num w:numId="13" w16cid:durableId="929194532">
    <w:abstractNumId w:val="3"/>
  </w:num>
  <w:num w:numId="14" w16cid:durableId="1041595714">
    <w:abstractNumId w:val="3"/>
  </w:num>
  <w:num w:numId="15" w16cid:durableId="1002201957">
    <w:abstractNumId w:val="2"/>
  </w:num>
  <w:num w:numId="16" w16cid:durableId="1340081906">
    <w:abstractNumId w:val="2"/>
  </w:num>
  <w:num w:numId="17" w16cid:durableId="501823236">
    <w:abstractNumId w:val="1"/>
  </w:num>
  <w:num w:numId="18" w16cid:durableId="149685528">
    <w:abstractNumId w:val="1"/>
  </w:num>
  <w:num w:numId="19" w16cid:durableId="2133161686">
    <w:abstractNumId w:val="0"/>
  </w:num>
  <w:num w:numId="20" w16cid:durableId="2071348289">
    <w:abstractNumId w:val="0"/>
  </w:num>
  <w:num w:numId="21" w16cid:durableId="828399545">
    <w:abstractNumId w:val="9"/>
  </w:num>
  <w:num w:numId="22" w16cid:durableId="361174562">
    <w:abstractNumId w:val="7"/>
  </w:num>
  <w:num w:numId="23" w16cid:durableId="1975404866">
    <w:abstractNumId w:val="6"/>
  </w:num>
  <w:num w:numId="24" w16cid:durableId="139809347">
    <w:abstractNumId w:val="5"/>
  </w:num>
  <w:num w:numId="25" w16cid:durableId="1191265199">
    <w:abstractNumId w:val="4"/>
  </w:num>
  <w:num w:numId="26" w16cid:durableId="1597010185">
    <w:abstractNumId w:val="8"/>
  </w:num>
  <w:num w:numId="27" w16cid:durableId="1913586318">
    <w:abstractNumId w:val="3"/>
  </w:num>
  <w:num w:numId="28" w16cid:durableId="963779389">
    <w:abstractNumId w:val="2"/>
  </w:num>
  <w:num w:numId="29" w16cid:durableId="1257322949">
    <w:abstractNumId w:val="1"/>
  </w:num>
  <w:num w:numId="30" w16cid:durableId="389307282">
    <w:abstractNumId w:val="0"/>
  </w:num>
  <w:num w:numId="31" w16cid:durableId="790438611">
    <w:abstractNumId w:val="9"/>
  </w:num>
  <w:num w:numId="32" w16cid:durableId="113403047">
    <w:abstractNumId w:val="7"/>
  </w:num>
  <w:num w:numId="33" w16cid:durableId="956762785">
    <w:abstractNumId w:val="6"/>
  </w:num>
  <w:num w:numId="34" w16cid:durableId="1006204031">
    <w:abstractNumId w:val="5"/>
  </w:num>
  <w:num w:numId="35" w16cid:durableId="1136723152">
    <w:abstractNumId w:val="4"/>
  </w:num>
  <w:num w:numId="36" w16cid:durableId="1569418097">
    <w:abstractNumId w:val="8"/>
  </w:num>
  <w:num w:numId="37" w16cid:durableId="547962115">
    <w:abstractNumId w:val="3"/>
  </w:num>
  <w:num w:numId="38" w16cid:durableId="1336226334">
    <w:abstractNumId w:val="2"/>
  </w:num>
  <w:num w:numId="39" w16cid:durableId="1066152382">
    <w:abstractNumId w:val="1"/>
  </w:num>
  <w:num w:numId="40" w16cid:durableId="1089892395">
    <w:abstractNumId w:val="0"/>
  </w:num>
  <w:num w:numId="41" w16cid:durableId="73674880">
    <w:abstractNumId w:val="10"/>
  </w:num>
  <w:num w:numId="42" w16cid:durableId="766583450">
    <w:abstractNumId w:val="10"/>
  </w:num>
  <w:num w:numId="43" w16cid:durableId="1072311364">
    <w:abstractNumId w:val="10"/>
  </w:num>
  <w:num w:numId="44" w16cid:durableId="9337855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PT"/>
    <w:docVar w:name="dvnumam" w:val="0"/>
    <w:docVar w:name="dvpe" w:val="778.228"/>
    <w:docVar w:name="dvrapporteur" w:val="Relator: "/>
    <w:docVar w:name="dvtitre" w:val="Resolução do Parlamento Europeu, de ... de ... de 2025,_x000d__x000a_ referente à posição do Conselho sobre o projeto de orçamento retificativo n.º 3/2025 da União Europeia para o exercício de 2025 — Ajustamento das dotações de pagamento, atualização das receitas e outras atualizações técnicas(14878/2025 – C10-0301/2025 – 2025/0319(BUD))"/>
  </w:docVars>
  <w:rsids>
    <w:rsidRoot w:val="003737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552"/>
    <w:rsid w:val="003737F4"/>
    <w:rsid w:val="00376560"/>
    <w:rsid w:val="00395FA1"/>
    <w:rsid w:val="003E15D4"/>
    <w:rsid w:val="00411CCE"/>
    <w:rsid w:val="0041666E"/>
    <w:rsid w:val="00421060"/>
    <w:rsid w:val="00464CFF"/>
    <w:rsid w:val="00471C19"/>
    <w:rsid w:val="004867E3"/>
    <w:rsid w:val="00494A28"/>
    <w:rsid w:val="004A72DC"/>
    <w:rsid w:val="004C0004"/>
    <w:rsid w:val="004C5D52"/>
    <w:rsid w:val="0050519A"/>
    <w:rsid w:val="005072A1"/>
    <w:rsid w:val="00514517"/>
    <w:rsid w:val="00532EF1"/>
    <w:rsid w:val="00545827"/>
    <w:rsid w:val="00560270"/>
    <w:rsid w:val="005C2568"/>
    <w:rsid w:val="005F1B17"/>
    <w:rsid w:val="006037C0"/>
    <w:rsid w:val="006631B6"/>
    <w:rsid w:val="00673A17"/>
    <w:rsid w:val="00680577"/>
    <w:rsid w:val="006A7D0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227"/>
    <w:rsid w:val="0088173C"/>
    <w:rsid w:val="00881A7B"/>
    <w:rsid w:val="008840E5"/>
    <w:rsid w:val="00887B3E"/>
    <w:rsid w:val="008C2AC6"/>
    <w:rsid w:val="009234E1"/>
    <w:rsid w:val="00930C23"/>
    <w:rsid w:val="0093193B"/>
    <w:rsid w:val="009509D8"/>
    <w:rsid w:val="00950B64"/>
    <w:rsid w:val="00981893"/>
    <w:rsid w:val="00A1687D"/>
    <w:rsid w:val="00A43E52"/>
    <w:rsid w:val="00A4678D"/>
    <w:rsid w:val="00A707BE"/>
    <w:rsid w:val="00A778C7"/>
    <w:rsid w:val="00AB441E"/>
    <w:rsid w:val="00AB6293"/>
    <w:rsid w:val="00AE0928"/>
    <w:rsid w:val="00AF3B82"/>
    <w:rsid w:val="00B12E95"/>
    <w:rsid w:val="00B22876"/>
    <w:rsid w:val="00B53F8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BA4"/>
    <w:rsid w:val="00F04346"/>
    <w:rsid w:val="00F075DC"/>
    <w:rsid w:val="00F149E9"/>
    <w:rsid w:val="00F5134D"/>
    <w:rsid w:val="00F74202"/>
    <w:rsid w:val="00F87713"/>
    <w:rsid w:val="00FA2C2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A7716"/>
  <w15:chartTrackingRefBased/>
  <w15:docId w15:val="{7C7B419D-3BF4-44F4-B3E7-64F252CF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1552"/>
    <w:pPr>
      <w:spacing w:before="480" w:after="240"/>
    </w:pPr>
  </w:style>
  <w:style w:type="paragraph" w:customStyle="1" w:styleId="NormalHanging12a">
    <w:name w:val="NormalHanging12a"/>
    <w:basedOn w:val="Normal"/>
    <w:rsid w:val="0037155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7155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8173C"/>
    <w:rPr>
      <w:sz w:val="24"/>
      <w:lang w:val="pt-PT"/>
    </w:rPr>
  </w:style>
  <w:style w:type="character" w:styleId="CommentReference">
    <w:name w:val="annotation reference"/>
    <w:basedOn w:val="DefaultParagraphFont"/>
    <w:rsid w:val="00A707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07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07B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70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07BE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A707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E1B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1476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2025-11-26T11:36:00Z</dcterms:created>
  <dcterms:modified xsi:type="dcterms:W3CDTF">2025-11-26T11:36:00Z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A10-0237/2025</vt:lpwstr>
  </property>
  <property fmtid="{D5CDD505-2E9C-101B-9397-08002B2CF9AE}" pid="4" name="&lt;Type&gt;">
    <vt:lpwstr>RR</vt:lpwstr>
  </property>
</Properties>
</file>