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F3A" w14:paraId="0F24A1CC" w14:textId="77777777" w:rsidTr="0010095E">
        <w:trPr>
          <w:trHeight w:hRule="exact" w:val="1418"/>
        </w:trPr>
        <w:tc>
          <w:tcPr>
            <w:tcW w:w="6804" w:type="dxa"/>
            <w:shd w:val="clear" w:color="auto" w:fill="auto"/>
            <w:vAlign w:val="center"/>
          </w:tcPr>
          <w:p w14:paraId="0BC9EB53" w14:textId="77777777" w:rsidR="00751A4A" w:rsidRPr="00070F3A" w:rsidRDefault="00E163A9" w:rsidP="0010095E">
            <w:pPr>
              <w:pStyle w:val="EPName"/>
            </w:pPr>
            <w:r w:rsidRPr="00070F3A">
              <w:t>Parlamentul European</w:t>
            </w:r>
          </w:p>
          <w:p w14:paraId="5C559369" w14:textId="77777777" w:rsidR="00751A4A" w:rsidRPr="00070F3A" w:rsidRDefault="005F1B17" w:rsidP="005F1B17">
            <w:pPr>
              <w:pStyle w:val="EPTerm"/>
              <w:rPr>
                <w:rStyle w:val="HideTWBExt"/>
                <w:noProof w:val="0"/>
                <w:vanish w:val="0"/>
                <w:color w:val="auto"/>
              </w:rPr>
            </w:pPr>
            <w:r w:rsidRPr="00070F3A">
              <w:t>2024</w:t>
            </w:r>
            <w:r w:rsidR="00817416" w:rsidRPr="00070F3A">
              <w:t>-202</w:t>
            </w:r>
            <w:r w:rsidRPr="00070F3A">
              <w:t>9</w:t>
            </w:r>
          </w:p>
        </w:tc>
        <w:tc>
          <w:tcPr>
            <w:tcW w:w="2268" w:type="dxa"/>
            <w:shd w:val="clear" w:color="auto" w:fill="auto"/>
          </w:tcPr>
          <w:p w14:paraId="5A050F31" w14:textId="77777777" w:rsidR="00751A4A" w:rsidRPr="00070F3A" w:rsidRDefault="00187494" w:rsidP="0010095E">
            <w:pPr>
              <w:pStyle w:val="EPLogo"/>
            </w:pPr>
            <w:r w:rsidRPr="00070F3A">
              <w:rPr>
                <w:noProof/>
                <w:lang w:eastAsia="ja-JP"/>
              </w:rPr>
              <w:drawing>
                <wp:inline distT="0" distB="0" distL="0" distR="0" wp14:anchorId="0405BB7B" wp14:editId="6AF60C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5FBE2B" w14:textId="77777777" w:rsidR="00D058B8" w:rsidRPr="00070F3A" w:rsidRDefault="00D058B8" w:rsidP="004C5D52">
      <w:pPr>
        <w:pStyle w:val="LineTop"/>
      </w:pPr>
    </w:p>
    <w:p w14:paraId="730F2DCB" w14:textId="77777777" w:rsidR="00680577" w:rsidRPr="00070F3A" w:rsidRDefault="00E163A9" w:rsidP="00680577">
      <w:pPr>
        <w:pStyle w:val="EPBodyTA1"/>
      </w:pPr>
      <w:r w:rsidRPr="00070F3A">
        <w:t>TEXTE ADOPTATE</w:t>
      </w:r>
    </w:p>
    <w:p w14:paraId="285CAB1A" w14:textId="77777777" w:rsidR="00D058B8" w:rsidRPr="00070F3A" w:rsidRDefault="00D058B8" w:rsidP="00D058B8">
      <w:pPr>
        <w:pStyle w:val="LineBottom"/>
      </w:pPr>
    </w:p>
    <w:p w14:paraId="061CBCB8" w14:textId="26464070" w:rsidR="00E163A9" w:rsidRPr="00070F3A" w:rsidRDefault="00E163A9" w:rsidP="00E163A9">
      <w:pPr>
        <w:pStyle w:val="ATHeading1"/>
      </w:pPr>
      <w:bookmarkStart w:id="0" w:name="TANumber"/>
      <w:r w:rsidRPr="00070F3A">
        <w:t>P10_TA(2025)0</w:t>
      </w:r>
      <w:bookmarkEnd w:id="0"/>
      <w:r w:rsidR="00070F3A" w:rsidRPr="00070F3A">
        <w:t>293</w:t>
      </w:r>
    </w:p>
    <w:p w14:paraId="1780A222" w14:textId="77777777" w:rsidR="00E163A9" w:rsidRPr="00070F3A" w:rsidRDefault="00E163A9" w:rsidP="00E163A9">
      <w:pPr>
        <w:pStyle w:val="ATHeading2"/>
      </w:pPr>
      <w:bookmarkStart w:id="1" w:name="title"/>
      <w:r w:rsidRPr="00070F3A">
        <w:t>Proiectul de buget rectificativ nr. 3/2025: ajustarea creditelor de plată, actualizarea veniturilor și alte actualizări tehnice</w:t>
      </w:r>
      <w:bookmarkEnd w:id="1"/>
    </w:p>
    <w:p w14:paraId="3CD8AA2C" w14:textId="77777777" w:rsidR="00E163A9" w:rsidRPr="00070F3A" w:rsidRDefault="00E163A9" w:rsidP="00E163A9">
      <w:pPr>
        <w:rPr>
          <w:i/>
          <w:vanish/>
        </w:rPr>
      </w:pPr>
      <w:r w:rsidRPr="00070F3A">
        <w:rPr>
          <w:i/>
        </w:rPr>
        <w:fldChar w:fldCharType="begin"/>
      </w:r>
      <w:r w:rsidRPr="00070F3A">
        <w:rPr>
          <w:i/>
        </w:rPr>
        <w:instrText xml:space="preserve"> TC"(</w:instrText>
      </w:r>
      <w:bookmarkStart w:id="2" w:name="DocNumber"/>
      <w:r w:rsidRPr="00070F3A">
        <w:rPr>
          <w:i/>
        </w:rPr>
        <w:instrText>A10-0237/2025</w:instrText>
      </w:r>
      <w:bookmarkEnd w:id="2"/>
      <w:r w:rsidRPr="00070F3A">
        <w:rPr>
          <w:i/>
        </w:rPr>
        <w:instrText xml:space="preserve"> - Raportor: Victor Negrescu)"\l3 \n&gt; \* MERGEFORMAT </w:instrText>
      </w:r>
      <w:r w:rsidRPr="00070F3A">
        <w:rPr>
          <w:i/>
        </w:rPr>
        <w:fldChar w:fldCharType="end"/>
      </w:r>
    </w:p>
    <w:p w14:paraId="5F05402F" w14:textId="77777777" w:rsidR="00E163A9" w:rsidRPr="00070F3A" w:rsidRDefault="00E163A9" w:rsidP="00E163A9">
      <w:pPr>
        <w:rPr>
          <w:vanish/>
        </w:rPr>
      </w:pPr>
      <w:bookmarkStart w:id="3" w:name="Commission"/>
      <w:r w:rsidRPr="00070F3A">
        <w:rPr>
          <w:vanish/>
        </w:rPr>
        <w:t>Comisia pentru bugete</w:t>
      </w:r>
      <w:bookmarkEnd w:id="3"/>
    </w:p>
    <w:p w14:paraId="677C41FC" w14:textId="77777777" w:rsidR="00E163A9" w:rsidRPr="00070F3A" w:rsidRDefault="00E163A9" w:rsidP="00E163A9">
      <w:pPr>
        <w:rPr>
          <w:vanish/>
        </w:rPr>
      </w:pPr>
      <w:bookmarkStart w:id="4" w:name="PE"/>
      <w:r w:rsidRPr="00070F3A">
        <w:rPr>
          <w:vanish/>
        </w:rPr>
        <w:t>PE778.228</w:t>
      </w:r>
      <w:bookmarkEnd w:id="4"/>
    </w:p>
    <w:p w14:paraId="24FC4481" w14:textId="3CB2E6FC" w:rsidR="00E163A9" w:rsidRPr="00070F3A" w:rsidRDefault="00E163A9" w:rsidP="00E163A9">
      <w:pPr>
        <w:pStyle w:val="ATHeading3"/>
      </w:pPr>
      <w:bookmarkStart w:id="5" w:name="Sujet"/>
      <w:r w:rsidRPr="00070F3A">
        <w:t>Rezoluția Parlamentului European din 26 noiembrie 2025 referitoare la poziția Consiliului privind proiectul de buget rectificativ nr. 3</w:t>
      </w:r>
      <w:r w:rsidR="00DF34FF" w:rsidRPr="00070F3A">
        <w:t>/2025</w:t>
      </w:r>
      <w:r w:rsidR="003F1E54" w:rsidRPr="00070F3A">
        <w:t xml:space="preserve"> la bugetul general</w:t>
      </w:r>
      <w:r w:rsidRPr="00070F3A">
        <w:t xml:space="preserve"> pentru 2025</w:t>
      </w:r>
      <w:r w:rsidR="003F1E54" w:rsidRPr="00070F3A">
        <w:t>:</w:t>
      </w:r>
      <w:r w:rsidRPr="00070F3A">
        <w:t xml:space="preserve"> ajustarea creditelor de plată, actualizarea veniturilor și alte actualizări tehnice</w:t>
      </w:r>
      <w:bookmarkEnd w:id="5"/>
      <w:r w:rsidRPr="00070F3A">
        <w:t xml:space="preserve"> </w:t>
      </w:r>
      <w:bookmarkStart w:id="6" w:name="References"/>
      <w:r w:rsidRPr="00070F3A">
        <w:t>(14878/2025 – C10-0301/2025 – 2025/0319(BUD))</w:t>
      </w:r>
      <w:bookmarkEnd w:id="6"/>
    </w:p>
    <w:p w14:paraId="486FFC8C" w14:textId="77777777" w:rsidR="00D151C6" w:rsidRPr="00070F3A" w:rsidRDefault="00D151C6" w:rsidP="00D151C6">
      <w:pPr>
        <w:pStyle w:val="EPComma"/>
      </w:pPr>
      <w:bookmarkStart w:id="7" w:name="TextBodyBegin"/>
      <w:bookmarkEnd w:id="7"/>
      <w:r w:rsidRPr="00070F3A">
        <w:rPr>
          <w:i/>
        </w:rPr>
        <w:t>Parlamentul European</w:t>
      </w:r>
      <w:r w:rsidRPr="00070F3A">
        <w:t>,</w:t>
      </w:r>
    </w:p>
    <w:p w14:paraId="0B386C64" w14:textId="77777777" w:rsidR="00D151C6" w:rsidRPr="00070F3A" w:rsidRDefault="00D151C6" w:rsidP="00D151C6">
      <w:pPr>
        <w:pStyle w:val="NormalHanging12a"/>
      </w:pPr>
      <w:r w:rsidRPr="00070F3A">
        <w:t>–</w:t>
      </w:r>
      <w:r w:rsidRPr="00070F3A">
        <w:tab/>
        <w:t>având în vedere articolul 314 din Tratatul privind funcționarea Uniunii Europene,</w:t>
      </w:r>
    </w:p>
    <w:p w14:paraId="0EA2F087" w14:textId="77777777" w:rsidR="00D151C6" w:rsidRPr="00070F3A" w:rsidRDefault="00D151C6" w:rsidP="00D151C6">
      <w:pPr>
        <w:pStyle w:val="NormalHanging12a"/>
      </w:pPr>
      <w:r w:rsidRPr="00070F3A">
        <w:t>–</w:t>
      </w:r>
      <w:r w:rsidRPr="00070F3A">
        <w:tab/>
        <w:t>având în vedere articolul 106a din Tratatul de instituire a Comunității Europene a Energiei Atomice,</w:t>
      </w:r>
    </w:p>
    <w:p w14:paraId="1BF2275D" w14:textId="77777777" w:rsidR="00D151C6" w:rsidRPr="00070F3A" w:rsidRDefault="00D151C6" w:rsidP="00D151C6">
      <w:pPr>
        <w:pStyle w:val="NormalHanging12a"/>
      </w:pPr>
      <w:r w:rsidRPr="00070F3A">
        <w:t>–</w:t>
      </w:r>
      <w:r w:rsidRPr="00070F3A">
        <w:tab/>
        <w:t>având în vedere Regulamentul (UE, Euratom) 2024/2509 al Parlamentului European și al Consiliului din 23 septembrie 2024 privind normele financiare aplicabile bugetului general al Uniunii</w:t>
      </w:r>
      <w:r w:rsidRPr="00070F3A">
        <w:rPr>
          <w:rStyle w:val="FootnoteReference"/>
        </w:rPr>
        <w:footnoteReference w:id="1"/>
      </w:r>
      <w:r w:rsidRPr="00070F3A">
        <w:t>, în special articolul 44,</w:t>
      </w:r>
    </w:p>
    <w:p w14:paraId="33DCD6BB" w14:textId="77777777" w:rsidR="00D151C6" w:rsidRPr="00070F3A" w:rsidRDefault="00D151C6" w:rsidP="00D151C6">
      <w:pPr>
        <w:pStyle w:val="NormalHanging12a"/>
      </w:pPr>
      <w:r w:rsidRPr="00070F3A">
        <w:t>–</w:t>
      </w:r>
      <w:r w:rsidRPr="00070F3A">
        <w:tab/>
        <w:t>având în vedere bugetul general al Uniunii Europene pentru exercițiul financiar 2025, adoptat definitiv la 27 noiembrie 2024</w:t>
      </w:r>
      <w:r w:rsidRPr="00070F3A">
        <w:rPr>
          <w:rStyle w:val="FootnoteReference"/>
        </w:rPr>
        <w:footnoteReference w:id="2"/>
      </w:r>
      <w:r w:rsidRPr="00070F3A">
        <w:t>,</w:t>
      </w:r>
    </w:p>
    <w:p w14:paraId="3A268366" w14:textId="77777777" w:rsidR="00D151C6" w:rsidRPr="00070F3A" w:rsidRDefault="00D151C6" w:rsidP="00D151C6">
      <w:pPr>
        <w:pStyle w:val="NormalHanging12a"/>
      </w:pPr>
      <w:r w:rsidRPr="00070F3A">
        <w:t>–</w:t>
      </w:r>
      <w:r w:rsidRPr="00070F3A">
        <w:tab/>
        <w:t>având în vedere Regulamentul (UE, Euratom) 2020/2093 al Consiliului din 17 decembrie 2020 de stabilire a cadrului financiar multianual pentru perioada 2021</w:t>
      </w:r>
      <w:r w:rsidRPr="00070F3A">
        <w:noBreakHyphen/>
        <w:t>2027</w:t>
      </w:r>
      <w:r w:rsidRPr="00070F3A">
        <w:rPr>
          <w:rStyle w:val="FootnoteReference"/>
        </w:rPr>
        <w:footnoteReference w:id="3"/>
      </w:r>
      <w:r w:rsidRPr="00070F3A">
        <w:t>,</w:t>
      </w:r>
    </w:p>
    <w:p w14:paraId="728BB41F" w14:textId="77777777" w:rsidR="00D151C6" w:rsidRPr="00070F3A" w:rsidRDefault="00D151C6" w:rsidP="00D151C6">
      <w:pPr>
        <w:pStyle w:val="NormalHanging12a"/>
      </w:pPr>
      <w:r w:rsidRPr="00070F3A">
        <w:t>–</w:t>
      </w:r>
      <w:r w:rsidRPr="00070F3A">
        <w:tab/>
        <w:t>având în vedere Acordul interinstituțional din 16 decembrie 2020 dintre Parlamentul European, Consiliu și Comisie privind disciplina bugetară, cooperarea în chestiuni bugetare și buna gestiune financiară, precum și privind noile resurse proprii, inclusiv o foaie de parcurs în vederea introducerii de noi resurse proprii</w:t>
      </w:r>
      <w:r w:rsidRPr="00070F3A">
        <w:rPr>
          <w:rStyle w:val="FootnoteReference"/>
        </w:rPr>
        <w:footnoteReference w:id="4"/>
      </w:r>
      <w:r w:rsidRPr="00070F3A">
        <w:t xml:space="preserve"> (AII),</w:t>
      </w:r>
    </w:p>
    <w:p w14:paraId="748A01D2" w14:textId="77777777" w:rsidR="00D151C6" w:rsidRPr="00070F3A" w:rsidRDefault="00D151C6" w:rsidP="00D151C6">
      <w:pPr>
        <w:pStyle w:val="NormalHanging12a"/>
      </w:pPr>
      <w:r w:rsidRPr="00070F3A">
        <w:lastRenderedPageBreak/>
        <w:t>–</w:t>
      </w:r>
      <w:r w:rsidRPr="00070F3A">
        <w:tab/>
        <w:t>având în vedere Decizia (UE, Euratom) 2020/2053 a Consiliului din 14 decembrie 2020 privind sistemul de resurse proprii ale Uniunii Europene și de abrogare a Deciziei 2014/335/UE, Euratom</w:t>
      </w:r>
      <w:r w:rsidRPr="00070F3A">
        <w:rPr>
          <w:rStyle w:val="FootnoteReference"/>
        </w:rPr>
        <w:footnoteReference w:id="5"/>
      </w:r>
      <w:r w:rsidRPr="00070F3A">
        <w:t>,</w:t>
      </w:r>
    </w:p>
    <w:p w14:paraId="6D74B92B" w14:textId="77777777" w:rsidR="00D151C6" w:rsidRPr="00070F3A" w:rsidRDefault="00D151C6" w:rsidP="00D151C6">
      <w:pPr>
        <w:pStyle w:val="NormalHanging12a"/>
      </w:pPr>
      <w:r w:rsidRPr="00070F3A">
        <w:t>–</w:t>
      </w:r>
      <w:r w:rsidRPr="00070F3A">
        <w:tab/>
        <w:t>având în vedere proiectul de buget rectificativ nr. 3/2025 adoptat de Comisie la 3 octombrie 2025 (COM(2025)0850),</w:t>
      </w:r>
    </w:p>
    <w:p w14:paraId="31F08568" w14:textId="77777777" w:rsidR="00D151C6" w:rsidRPr="00070F3A" w:rsidRDefault="00D151C6" w:rsidP="00D151C6">
      <w:pPr>
        <w:pStyle w:val="NormalHanging12a"/>
      </w:pPr>
      <w:r w:rsidRPr="00070F3A">
        <w:t>–</w:t>
      </w:r>
      <w:r w:rsidRPr="00070F3A">
        <w:tab/>
        <w:t>având în vedere poziția privind proiectul de buget rectificativ nr. 3/2025 adoptată de Consiliu la 17 noiembrie 2025 și transmisă Parlamentului European în aceeași zi (14878/2025 – C10</w:t>
      </w:r>
      <w:r w:rsidRPr="00070F3A">
        <w:noBreakHyphen/>
        <w:t>0301/2025),</w:t>
      </w:r>
    </w:p>
    <w:p w14:paraId="733AB813" w14:textId="77777777" w:rsidR="00D151C6" w:rsidRPr="00070F3A" w:rsidRDefault="00D151C6" w:rsidP="00D151C6">
      <w:pPr>
        <w:pStyle w:val="NormalHanging12a"/>
      </w:pPr>
      <w:r w:rsidRPr="00070F3A">
        <w:t>–</w:t>
      </w:r>
      <w:r w:rsidRPr="00070F3A">
        <w:tab/>
        <w:t>având în vedere articolele 96 și 98 din Regulamentul său de procedură,</w:t>
      </w:r>
    </w:p>
    <w:p w14:paraId="2EB4B42E" w14:textId="77777777" w:rsidR="00D151C6" w:rsidRPr="00070F3A" w:rsidRDefault="00D151C6" w:rsidP="00D151C6">
      <w:pPr>
        <w:pStyle w:val="NormalHanging12a"/>
      </w:pPr>
      <w:r w:rsidRPr="00070F3A">
        <w:t>–</w:t>
      </w:r>
      <w:r w:rsidRPr="00070F3A">
        <w:tab/>
        <w:t>având în vedere raportul Comisiei pentru bugete (A10-0237/2025),</w:t>
      </w:r>
    </w:p>
    <w:p w14:paraId="6571052D" w14:textId="77777777" w:rsidR="00D151C6" w:rsidRPr="00070F3A" w:rsidRDefault="00D151C6" w:rsidP="00D151C6">
      <w:pPr>
        <w:spacing w:after="240"/>
        <w:ind w:left="567" w:hanging="567"/>
        <w:rPr>
          <w:color w:val="000000"/>
        </w:rPr>
      </w:pPr>
      <w:r w:rsidRPr="00070F3A">
        <w:rPr>
          <w:color w:val="000000"/>
        </w:rPr>
        <w:t>A.</w:t>
      </w:r>
      <w:r w:rsidRPr="00070F3A">
        <w:rPr>
          <w:color w:val="000000"/>
        </w:rPr>
        <w:tab/>
        <w:t>întrucât scopul proiectului de buget rectificativ nr. 3/2025 este de a actualiza partea de venituri a bugetului pentru a ține seama de cele mai recente evoluții, de a ajusta partea de cheltuieli a bugetului în raport cu creditele de plată și, în plus, de a ajusta partea de cheltuieli a bugetului în raport cu o serie de agenții descentralizate;</w:t>
      </w:r>
    </w:p>
    <w:p w14:paraId="3BE07F97" w14:textId="77777777" w:rsidR="00D151C6" w:rsidRPr="00070F3A" w:rsidRDefault="00D151C6" w:rsidP="00D151C6">
      <w:pPr>
        <w:spacing w:after="240"/>
        <w:ind w:left="567" w:hanging="567"/>
        <w:rPr>
          <w:color w:val="000000"/>
        </w:rPr>
      </w:pPr>
      <w:r w:rsidRPr="00070F3A">
        <w:rPr>
          <w:color w:val="000000"/>
        </w:rPr>
        <w:t>B.</w:t>
      </w:r>
      <w:r w:rsidRPr="00070F3A">
        <w:rPr>
          <w:color w:val="000000"/>
        </w:rPr>
        <w:tab/>
        <w:t>întrucât, în ceea ce privește cheltuielile, proiectul de buget rectificativ nr. 3/2025 implică o creștere netă de 123,7 milioane EUR în credite de angajament și de 2,52 miliarde EUR în credite de plată;</w:t>
      </w:r>
    </w:p>
    <w:p w14:paraId="2E8BA171" w14:textId="77777777" w:rsidR="00D151C6" w:rsidRPr="00070F3A" w:rsidRDefault="00D151C6" w:rsidP="00D151C6">
      <w:pPr>
        <w:spacing w:after="240"/>
        <w:ind w:left="567" w:hanging="567"/>
        <w:rPr>
          <w:color w:val="000000"/>
        </w:rPr>
      </w:pPr>
      <w:r w:rsidRPr="00070F3A">
        <w:rPr>
          <w:color w:val="000000"/>
        </w:rPr>
        <w:t>C.</w:t>
      </w:r>
      <w:r w:rsidRPr="00070F3A">
        <w:rPr>
          <w:color w:val="000000"/>
        </w:rPr>
        <w:tab/>
        <w:t>întrucât proiectul de buget rectificativ nr. 3/2025 propune o serie de ajustări ale finanțării agențiilor descentralizate în cadrul diferitelor rubrici;</w:t>
      </w:r>
    </w:p>
    <w:p w14:paraId="3DBD40DF" w14:textId="77777777" w:rsidR="00D151C6" w:rsidRPr="00070F3A" w:rsidRDefault="00D151C6" w:rsidP="00D151C6">
      <w:pPr>
        <w:spacing w:after="240"/>
        <w:ind w:left="567" w:hanging="567"/>
        <w:rPr>
          <w:color w:val="000000"/>
        </w:rPr>
      </w:pPr>
      <w:r w:rsidRPr="00070F3A">
        <w:rPr>
          <w:color w:val="000000"/>
        </w:rPr>
        <w:t>D.</w:t>
      </w:r>
      <w:r w:rsidRPr="00070F3A">
        <w:rPr>
          <w:color w:val="000000"/>
        </w:rPr>
        <w:tab/>
        <w:t>întrucât, în ceea ce privește veniturile, proiectul de buget rectificativ nr. 3/2025 introduce în bugetul 2025 amenzile și penalitățile definitive plătite până în septembrie 2025, în valoare totală de 1,19 miliarde EUR, precum și resurse proprii tradiționale suplimentare în valoare de 1,3 miliarde EUR;</w:t>
      </w:r>
    </w:p>
    <w:p w14:paraId="206E762B" w14:textId="77777777" w:rsidR="00D151C6" w:rsidRPr="00070F3A" w:rsidRDefault="00D151C6" w:rsidP="00D151C6">
      <w:pPr>
        <w:spacing w:after="240"/>
        <w:ind w:left="567" w:hanging="567"/>
        <w:rPr>
          <w:color w:val="000000"/>
        </w:rPr>
      </w:pPr>
      <w:r w:rsidRPr="00070F3A">
        <w:rPr>
          <w:color w:val="000000"/>
        </w:rPr>
        <w:t>E.</w:t>
      </w:r>
      <w:r w:rsidRPr="00070F3A">
        <w:rPr>
          <w:color w:val="000000"/>
        </w:rPr>
        <w:tab/>
        <w:t>întrucât, ca urmare a acestor ajustări, sunt necesare contribuții suplimentare din VNB în valoare de 31,9 milioane EUR pentru a răspunde nevoilor de plată,</w:t>
      </w:r>
    </w:p>
    <w:p w14:paraId="48B80A37" w14:textId="77777777" w:rsidR="00D151C6" w:rsidRPr="00070F3A" w:rsidRDefault="00D151C6" w:rsidP="00D151C6">
      <w:pPr>
        <w:spacing w:after="240"/>
        <w:ind w:left="567" w:hanging="567"/>
        <w:rPr>
          <w:color w:val="000000"/>
        </w:rPr>
      </w:pPr>
      <w:r w:rsidRPr="00070F3A">
        <w:rPr>
          <w:color w:val="000000"/>
        </w:rPr>
        <w:t>1.</w:t>
      </w:r>
      <w:r w:rsidRPr="00070F3A">
        <w:rPr>
          <w:color w:val="000000"/>
        </w:rPr>
        <w:tab/>
        <w:t>ia act de proiectul de buget rectificativ nr. 3/2025, astfel cum a fost prezentat de Comisie, și, în special, de impactul global foarte scăzut asupra contribuțiilor bazate pe VNB ale statelor membre, ca urmare a echilibrului dintre nevoile de plată mai mari și fluxurile de venituri suplimentare;</w:t>
      </w:r>
    </w:p>
    <w:p w14:paraId="576CBB78" w14:textId="4D75FA59" w:rsidR="00D151C6" w:rsidRPr="00070F3A" w:rsidRDefault="00D151C6" w:rsidP="00D151C6">
      <w:pPr>
        <w:spacing w:after="240"/>
        <w:ind w:left="567" w:hanging="567"/>
        <w:rPr>
          <w:color w:val="000000"/>
        </w:rPr>
      </w:pPr>
      <w:r w:rsidRPr="00070F3A">
        <w:rPr>
          <w:color w:val="000000"/>
        </w:rPr>
        <w:t>2.</w:t>
      </w:r>
      <w:r w:rsidRPr="00070F3A">
        <w:rPr>
          <w:color w:val="000000"/>
        </w:rPr>
        <w:tab/>
        <w:t xml:space="preserve">salută majorarea creditelor de plată pentru Fondul european de dezvoltare regională (FEDR) cu 2 miliarde EUR, împreună cu majorările pentru politica agricolă comună </w:t>
      </w:r>
      <w:r w:rsidR="003F1E54" w:rsidRPr="00070F3A">
        <w:rPr>
          <w:color w:val="000000"/>
        </w:rPr>
        <w:t xml:space="preserve">(PAC) </w:t>
      </w:r>
      <w:r w:rsidRPr="00070F3A">
        <w:rPr>
          <w:color w:val="000000"/>
        </w:rPr>
        <w:t xml:space="preserve">în cadrul transferului global din acest an (DEC 15/25), ca semn că punerea în aplicare a programului se accelerează după un început îngrijorător de lent în perioada 2021-2027; subliniază că consolidarea fondurilor structurale și a creditelor PAC joacă un rol esențial în menținerea continuității schemelor de sprijin agricol, în asigurarea securității alimentare și în promovarea dezvoltării rurale durabile; constată că aceste măsuri sunt deosebit de importante pentru a consolida reziliența sectorului agricol și pentru a menține echilibrul socioeconomic în zonele rurale; reamintește complementaritatea acestor majorări cu ajustările creditelor de plată din transferul </w:t>
      </w:r>
      <w:r w:rsidRPr="00070F3A">
        <w:rPr>
          <w:color w:val="000000"/>
        </w:rPr>
        <w:lastRenderedPageBreak/>
        <w:t>global (DEC 15/2025);</w:t>
      </w:r>
    </w:p>
    <w:p w14:paraId="0160BC1F" w14:textId="77777777" w:rsidR="00D151C6" w:rsidRPr="00070F3A" w:rsidRDefault="00D151C6" w:rsidP="00D151C6">
      <w:pPr>
        <w:spacing w:after="240"/>
        <w:ind w:left="567" w:hanging="567"/>
        <w:rPr>
          <w:color w:val="000000"/>
        </w:rPr>
      </w:pPr>
      <w:r w:rsidRPr="00070F3A">
        <w:rPr>
          <w:color w:val="000000"/>
        </w:rPr>
        <w:t>3.</w:t>
      </w:r>
      <w:r w:rsidRPr="00070F3A">
        <w:rPr>
          <w:color w:val="000000"/>
        </w:rPr>
        <w:tab/>
        <w:t xml:space="preserve">îndeamnă în continuare să se accelereze punerea în aplicare a măsurilor din cadrul FEDR, FSE+ și al Instrumentului de sprijin financiar pentru managementul frontierelor și politica de vize (IMFV); salută adoptarea mai rapidă decât se preconizase a platformei Tehnologii strategice pentru Europa (STEP); </w:t>
      </w:r>
      <w:r w:rsidRPr="00070F3A">
        <w:t xml:space="preserve">se așteaptă ca plățile </w:t>
      </w:r>
      <w:sdt>
        <w:sdtPr>
          <w:tag w:val="goog_rdk_2"/>
          <w:id w:val="1285891827"/>
        </w:sdtPr>
        <w:sdtEndPr/>
        <w:sdtContent>
          <w:r w:rsidRPr="00070F3A">
            <w:t>suplimentare</w:t>
          </w:r>
        </w:sdtContent>
      </w:sdt>
      <w:r w:rsidRPr="00070F3A">
        <w:t xml:space="preserve"> de peste 3 miliarde EUR din STEP să fie utilizate rapid și eficace pentru obiectivele specifice prevăzute în actele de bază respective;</w:t>
      </w:r>
    </w:p>
    <w:p w14:paraId="771D9659" w14:textId="77777777" w:rsidR="00D151C6" w:rsidRPr="00070F3A" w:rsidRDefault="00D151C6" w:rsidP="00D151C6">
      <w:pPr>
        <w:spacing w:after="240"/>
        <w:ind w:left="567" w:hanging="567"/>
        <w:rPr>
          <w:color w:val="000000"/>
        </w:rPr>
      </w:pPr>
      <w:r w:rsidRPr="00070F3A">
        <w:rPr>
          <w:color w:val="000000"/>
        </w:rPr>
        <w:t>4.</w:t>
      </w:r>
      <w:r w:rsidRPr="00070F3A">
        <w:rPr>
          <w:color w:val="000000"/>
        </w:rPr>
        <w:tab/>
        <w:t>ia act de situația actuală a acordurilor de parteneriat în domeniul pescuitului sustenabil (APPS) și salută faptul că, în conformitate cu dispozițiile relevante din AII, autoritatea bugetară are un rol activ în eliberarea creditelor din rezervă în funcție de intrarea în vigoare și de aplicarea protocoalelor internaționale de punere în aplicare respective;</w:t>
      </w:r>
    </w:p>
    <w:p w14:paraId="451DD12A" w14:textId="77777777" w:rsidR="00D151C6" w:rsidRPr="00070F3A" w:rsidRDefault="00D151C6" w:rsidP="00D151C6">
      <w:pPr>
        <w:spacing w:after="240"/>
        <w:ind w:left="567" w:hanging="567"/>
        <w:rPr>
          <w:color w:val="000000"/>
        </w:rPr>
      </w:pPr>
      <w:r w:rsidRPr="00070F3A">
        <w:rPr>
          <w:color w:val="000000"/>
        </w:rPr>
        <w:t>5.</w:t>
      </w:r>
      <w:r w:rsidRPr="00070F3A">
        <w:rPr>
          <w:color w:val="000000"/>
        </w:rPr>
        <w:tab/>
        <w:t>regretă scăderea creditelor de angajament (78 de milioane EUR) și de plată (48 de milioane EUR) pentru Instrumentul pentru echipamente de control vamal (IECV) din cauza întârzierilor în punerea în aplicare în statele membre, într-o perioadă în care cooperarea și investițiile în acest domeniu ar trebui să prospere;</w:t>
      </w:r>
    </w:p>
    <w:p w14:paraId="23EE0ECD" w14:textId="77777777" w:rsidR="00D151C6" w:rsidRPr="00070F3A" w:rsidRDefault="00D151C6" w:rsidP="00D151C6">
      <w:pPr>
        <w:spacing w:after="240"/>
        <w:ind w:left="567" w:hanging="567"/>
        <w:rPr>
          <w:color w:val="000000"/>
        </w:rPr>
      </w:pPr>
      <w:r w:rsidRPr="00070F3A">
        <w:rPr>
          <w:color w:val="000000"/>
        </w:rPr>
        <w:t>6.</w:t>
      </w:r>
      <w:r w:rsidRPr="00070F3A">
        <w:rPr>
          <w:color w:val="000000"/>
        </w:rPr>
        <w:tab/>
        <w:t>salută economiile realizate în ceea ce privește angajamentele (5 milioane EUR) pentru Instrumentul de sprijin tehnic datorită creșterii eficienței în urma procedurilor de achiziții publice competitive;</w:t>
      </w:r>
    </w:p>
    <w:p w14:paraId="7EBAA071" w14:textId="77777777" w:rsidR="00D151C6" w:rsidRPr="00070F3A" w:rsidRDefault="00D151C6" w:rsidP="00D151C6">
      <w:pPr>
        <w:spacing w:after="240"/>
        <w:ind w:left="567" w:hanging="567"/>
        <w:rPr>
          <w:color w:val="000000"/>
        </w:rPr>
      </w:pPr>
      <w:r w:rsidRPr="00070F3A">
        <w:rPr>
          <w:color w:val="000000"/>
        </w:rPr>
        <w:t>7.</w:t>
      </w:r>
      <w:r w:rsidRPr="00070F3A">
        <w:rPr>
          <w:color w:val="000000"/>
        </w:rPr>
        <w:tab/>
      </w:r>
      <w:sdt>
        <w:sdtPr>
          <w:tag w:val="goog_rdk_4"/>
          <w:id w:val="438155605"/>
        </w:sdtPr>
        <w:sdtEndPr/>
        <w:sdtContent>
          <w:sdt>
            <w:sdtPr>
              <w:tag w:val="goog_rdk_5"/>
              <w:id w:val="557417589"/>
            </w:sdtPr>
            <w:sdtEndPr/>
            <w:sdtContent>
              <w:r w:rsidRPr="00070F3A">
                <w:t>ia act de</w:t>
              </w:r>
            </w:sdtContent>
          </w:sdt>
        </w:sdtContent>
      </w:sdt>
      <w:r w:rsidRPr="00070F3A">
        <w:t xml:space="preserve"> ritmul punerii în aplicare a reformelor și de încetinirea proporțională a absorbției plăților în cadrul Mecanismului pentru Ucraina;</w:t>
      </w:r>
      <w:r w:rsidRPr="00070F3A">
        <w:rPr>
          <w:color w:val="000000"/>
        </w:rPr>
        <w:t xml:space="preserve"> </w:t>
      </w:r>
      <w:r w:rsidRPr="00070F3A">
        <w:t xml:space="preserve">constată că o parte din creditele neabsorbite </w:t>
      </w:r>
      <w:sdt>
        <w:sdtPr>
          <w:tag w:val="goog_rdk_7"/>
          <w:id w:val="1769977353"/>
        </w:sdtPr>
        <w:sdtEndPr/>
        <w:sdtContent>
          <w:r w:rsidRPr="00070F3A">
            <w:t>pot</w:t>
          </w:r>
        </w:sdtContent>
      </w:sdt>
      <w:r w:rsidRPr="00070F3A">
        <w:t xml:space="preserve"> fi reportate în exercițiul bugetar următor;</w:t>
      </w:r>
      <w:r w:rsidRPr="00070F3A">
        <w:rPr>
          <w:color w:val="000000"/>
        </w:rPr>
        <w:t xml:space="preserve"> încurajează toți actorii implicați să facă progrese în ceea ce privește măsurile legate de reforme și investiții, cum ar fi acordurile de finanțare mixtă;</w:t>
      </w:r>
    </w:p>
    <w:p w14:paraId="58AA0450" w14:textId="77777777" w:rsidR="00D151C6" w:rsidRPr="00070F3A" w:rsidRDefault="00D151C6" w:rsidP="00D151C6">
      <w:pPr>
        <w:spacing w:after="240"/>
        <w:ind w:left="567" w:hanging="567"/>
        <w:rPr>
          <w:color w:val="000000"/>
        </w:rPr>
      </w:pPr>
      <w:r w:rsidRPr="00070F3A">
        <w:rPr>
          <w:color w:val="000000"/>
        </w:rPr>
        <w:t>8.</w:t>
      </w:r>
      <w:r w:rsidRPr="00070F3A">
        <w:rPr>
          <w:color w:val="000000"/>
        </w:rPr>
        <w:tab/>
        <w:t>ia act de ajustările contribuției Uniunii la diverse agenții descentralizate; consideră că aceste ajustări sunt, în principal, de natură tehnică; le salută în măsura în care optimizează utilizarea resurselor din cadrul liniilor operaționale, cum ar fi LIFE, FAMI sau Programul privind piața unică; regretă totuși că motivul care stă la baza „returnării” creditelor de angajament și de plată de la liniile corespunzătoare ale agenției la liniile aferente programelor este o întârziere în recrutarea personalului sau o întârziere în punerea în aplicare a unor noi inițiative politice și legislative, cum ar fi Strategia privind investițiile de retail (care vizează ESMA și EIOPA), Pactul privind azilul și migrația (care se referă la EUAA), pachetul privind siguranța maritimă (care privește EMSA) sau propunerea privind noile tehnici genomice (care se referă la EFSA);</w:t>
      </w:r>
    </w:p>
    <w:p w14:paraId="0D74553F" w14:textId="77777777" w:rsidR="00D151C6" w:rsidRPr="00070F3A" w:rsidRDefault="00D151C6" w:rsidP="00D151C6">
      <w:pPr>
        <w:spacing w:after="240"/>
        <w:ind w:left="567" w:hanging="567"/>
        <w:rPr>
          <w:color w:val="000000"/>
        </w:rPr>
      </w:pPr>
      <w:r w:rsidRPr="00070F3A">
        <w:rPr>
          <w:color w:val="000000"/>
        </w:rPr>
        <w:t>9.</w:t>
      </w:r>
      <w:r w:rsidRPr="00070F3A">
        <w:rPr>
          <w:color w:val="000000"/>
        </w:rPr>
        <w:tab/>
        <w:t xml:space="preserve">subliniază și reiterează, în acest context, sprijinul său ferm pentru nou-înființata Autoritate pentru Combaterea Spălării Banilor (ACSB) în cadrul revizuit de combatere a spălării banilor la nivelul Uniunii; </w:t>
      </w:r>
      <w:r w:rsidRPr="00070F3A">
        <w:t xml:space="preserve">rămâne profund îngrijorat de întârzierile continue în faza de înființare, în special în ceea ce privește recrutarea, </w:t>
      </w:r>
      <w:sdt>
        <w:sdtPr>
          <w:tag w:val="goog_rdk_18"/>
          <w:id w:val="-1528576562"/>
        </w:sdtPr>
        <w:sdtEndPr/>
        <w:sdtContent>
          <w:r w:rsidRPr="00070F3A">
            <w:t>și solicită să se accelereze procesele de angajare relevante</w:t>
          </w:r>
        </w:sdtContent>
      </w:sdt>
      <w:r w:rsidRPr="00070F3A">
        <w:t>;</w:t>
      </w:r>
    </w:p>
    <w:p w14:paraId="42F6FFBE" w14:textId="7C5A16A1" w:rsidR="00D151C6" w:rsidRPr="00070F3A" w:rsidRDefault="00070F3A" w:rsidP="00D151C6">
      <w:pPr>
        <w:spacing w:after="240"/>
        <w:ind w:left="567" w:hanging="567"/>
        <w:rPr>
          <w:color w:val="000000"/>
        </w:rPr>
      </w:pPr>
      <w:sdt>
        <w:sdtPr>
          <w:tag w:val="goog_rdk_19"/>
          <w:id w:val="599988960"/>
        </w:sdtPr>
        <w:sdtEndPr/>
        <w:sdtContent/>
      </w:sdt>
      <w:r w:rsidR="00D151C6" w:rsidRPr="00070F3A">
        <w:rPr>
          <w:color w:val="000000"/>
        </w:rPr>
        <w:t>10.</w:t>
      </w:r>
      <w:r w:rsidR="00D151C6" w:rsidRPr="00070F3A">
        <w:rPr>
          <w:color w:val="000000"/>
        </w:rPr>
        <w:tab/>
        <w:t>salută includerea în buget a unor venituri suplimentare provenite din amenzi definitive și penalități cu titlu cominatoriu în valoare de 1 185,1 milioane EUR; consideră că aceste sume reprezintă surse autentice de venituri ale Uniunii, care reduc contribuțiile bazate pe VNB ale statelor membre; reamintește, în acest context, că Comisia a propus modificări pentru perioad</w:t>
      </w:r>
      <w:r w:rsidR="003F1E54" w:rsidRPr="00070F3A">
        <w:rPr>
          <w:color w:val="000000"/>
        </w:rPr>
        <w:t>a</w:t>
      </w:r>
      <w:r w:rsidR="00D151C6" w:rsidRPr="00070F3A">
        <w:rPr>
          <w:color w:val="000000"/>
        </w:rPr>
        <w:t xml:space="preserve"> </w:t>
      </w:r>
      <w:r w:rsidR="003F1E54" w:rsidRPr="00070F3A">
        <w:rPr>
          <w:color w:val="000000"/>
        </w:rPr>
        <w:t>următorului</w:t>
      </w:r>
      <w:r w:rsidR="00D151C6" w:rsidRPr="00070F3A">
        <w:rPr>
          <w:color w:val="000000"/>
        </w:rPr>
        <w:t xml:space="preserve"> </w:t>
      </w:r>
      <w:r w:rsidR="003F1E54" w:rsidRPr="00070F3A">
        <w:rPr>
          <w:color w:val="000000"/>
        </w:rPr>
        <w:t>cadru financiar multianual</w:t>
      </w:r>
      <w:r w:rsidR="00D151C6" w:rsidRPr="00070F3A">
        <w:rPr>
          <w:color w:val="000000"/>
        </w:rPr>
        <w:t xml:space="preserve"> pentru a se asigura că </w:t>
      </w:r>
      <w:r w:rsidR="00D151C6" w:rsidRPr="00070F3A">
        <w:rPr>
          <w:color w:val="000000"/>
        </w:rPr>
        <w:lastRenderedPageBreak/>
        <w:t>aceste venituri excepționale pot conduce la credite pentru cheltuieli suplimentare;</w:t>
      </w:r>
    </w:p>
    <w:p w14:paraId="18BDFC29" w14:textId="77777777" w:rsidR="00D151C6" w:rsidRPr="00070F3A" w:rsidRDefault="00D151C6" w:rsidP="00D151C6">
      <w:pPr>
        <w:spacing w:after="240"/>
        <w:ind w:left="567" w:hanging="567"/>
        <w:rPr>
          <w:color w:val="000000"/>
        </w:rPr>
      </w:pPr>
      <w:r w:rsidRPr="00070F3A">
        <w:rPr>
          <w:color w:val="000000"/>
        </w:rPr>
        <w:t>11.</w:t>
      </w:r>
      <w:r w:rsidRPr="00070F3A">
        <w:rPr>
          <w:color w:val="000000"/>
        </w:rPr>
        <w:tab/>
        <w:t>ia act de propunerea de a aloca un buget de 1 300 de milioane EUR din „excedentul estimat de resurse proprii tradiționale”; își exprimă îndoiala cu privire la meritul actualizărilor repetate ale veniturilor provenite din taxele vamale în cursul exercițiului bugetar, în special în afara bugetului rectificativ anual dedicat actualizării și regularizării părții de venituri;</w:t>
      </w:r>
    </w:p>
    <w:p w14:paraId="4B7F6618" w14:textId="77777777" w:rsidR="00D151C6" w:rsidRPr="00070F3A" w:rsidRDefault="00D151C6" w:rsidP="00D151C6">
      <w:pPr>
        <w:spacing w:after="240"/>
        <w:ind w:left="567" w:hanging="567"/>
        <w:rPr>
          <w:color w:val="000000"/>
        </w:rPr>
      </w:pPr>
      <w:r w:rsidRPr="00070F3A">
        <w:t>12.</w:t>
      </w:r>
      <w:r w:rsidRPr="00070F3A">
        <w:tab/>
        <w:t>ia act de actualizarea ajustărilor salariale pentru 2025 și este de acord să integreze impactul bugetar al acestor ajustări sub formă de modificare tehnică în proiectul de buget rectificativ nr. 3/2025; constată că acest lucru implică o reducere totală de 78,8 milioane EUR sub formă de credite nediferențiate la liniile bugetare relevante și secțiunile de la rubrica 7;</w:t>
      </w:r>
    </w:p>
    <w:p w14:paraId="717C7F35" w14:textId="77777777" w:rsidR="00D151C6" w:rsidRPr="00070F3A" w:rsidRDefault="00D151C6" w:rsidP="00D151C6">
      <w:pPr>
        <w:spacing w:after="240"/>
        <w:ind w:left="567" w:hanging="567"/>
        <w:rPr>
          <w:color w:val="000000"/>
        </w:rPr>
      </w:pPr>
      <w:r w:rsidRPr="00070F3A">
        <w:rPr>
          <w:color w:val="000000"/>
        </w:rPr>
        <w:t>13.</w:t>
      </w:r>
      <w:r w:rsidRPr="00070F3A">
        <w:rPr>
          <w:color w:val="000000"/>
        </w:rPr>
        <w:tab/>
        <w:t>aprobă poziția Consiliului privind proiectul de buget rectificativ nr. 3/2025;</w:t>
      </w:r>
    </w:p>
    <w:p w14:paraId="502901F3" w14:textId="77777777" w:rsidR="00D151C6" w:rsidRPr="00070F3A" w:rsidRDefault="00D151C6" w:rsidP="00D151C6">
      <w:pPr>
        <w:spacing w:after="240"/>
        <w:ind w:left="567" w:hanging="567"/>
        <w:rPr>
          <w:color w:val="000000"/>
        </w:rPr>
      </w:pPr>
      <w:r w:rsidRPr="00070F3A">
        <w:rPr>
          <w:color w:val="000000"/>
        </w:rPr>
        <w:t>14.</w:t>
      </w:r>
      <w:r w:rsidRPr="00070F3A">
        <w:rPr>
          <w:color w:val="000000"/>
        </w:rPr>
        <w:tab/>
        <w:t>încredințează Președintei sarcina de a constata adoptarea definitivă a bugetului rectificativ nr. 3/2025 și de a asigura publicarea acestuia în</w:t>
      </w:r>
      <w:r w:rsidRPr="00070F3A">
        <w:rPr>
          <w:i/>
          <w:color w:val="000000"/>
        </w:rPr>
        <w:t xml:space="preserve"> Jurnalul Oficial al Uniunii Europene</w:t>
      </w:r>
      <w:r w:rsidRPr="00070F3A">
        <w:rPr>
          <w:color w:val="000000"/>
        </w:rPr>
        <w:t>;</w:t>
      </w:r>
    </w:p>
    <w:p w14:paraId="503C9E1E" w14:textId="77777777" w:rsidR="00D151C6" w:rsidRPr="00070F3A" w:rsidRDefault="00D151C6" w:rsidP="00D151C6">
      <w:pPr>
        <w:spacing w:after="240"/>
        <w:ind w:left="567" w:hanging="567"/>
        <w:rPr>
          <w:color w:val="000000"/>
        </w:rPr>
      </w:pPr>
      <w:r w:rsidRPr="00070F3A">
        <w:rPr>
          <w:color w:val="000000"/>
        </w:rPr>
        <w:t>15.</w:t>
      </w:r>
      <w:r w:rsidRPr="00070F3A">
        <w:rPr>
          <w:color w:val="000000"/>
        </w:rPr>
        <w:tab/>
        <w:t>încredințează Președintei sarcina de a transmite prezenta rezoluție Consiliului și Comisiei, precum și parlamentelor naționale.</w:t>
      </w:r>
    </w:p>
    <w:p w14:paraId="408AD2BE" w14:textId="77777777" w:rsidR="00D151C6" w:rsidRPr="00070F3A" w:rsidRDefault="00D151C6" w:rsidP="00D151C6"/>
    <w:sectPr w:rsidR="00D151C6" w:rsidRPr="00070F3A" w:rsidSect="00A26A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FBAAA" w14:textId="77777777" w:rsidR="00E163A9" w:rsidRPr="00A26A3E" w:rsidRDefault="00E163A9">
      <w:r w:rsidRPr="00A26A3E">
        <w:separator/>
      </w:r>
    </w:p>
  </w:endnote>
  <w:endnote w:type="continuationSeparator" w:id="0">
    <w:p w14:paraId="4EE9AEF6" w14:textId="77777777" w:rsidR="00E163A9" w:rsidRPr="00A26A3E" w:rsidRDefault="00E163A9">
      <w:r w:rsidRPr="00A26A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9B99" w14:textId="77777777" w:rsidR="00064002" w:rsidRPr="00A26A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ECAF2" w14:textId="77777777" w:rsidR="00064002" w:rsidRPr="00A26A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4C3E5" w14:textId="77777777" w:rsidR="00064002" w:rsidRPr="00A26A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979C7" w14:textId="77777777" w:rsidR="00E163A9" w:rsidRPr="00A26A3E" w:rsidRDefault="00E163A9">
      <w:r w:rsidRPr="00A26A3E">
        <w:separator/>
      </w:r>
    </w:p>
  </w:footnote>
  <w:footnote w:type="continuationSeparator" w:id="0">
    <w:p w14:paraId="549D09AF" w14:textId="77777777" w:rsidR="00E163A9" w:rsidRPr="00A26A3E" w:rsidRDefault="00E163A9">
      <w:r w:rsidRPr="00A26A3E">
        <w:continuationSeparator/>
      </w:r>
    </w:p>
  </w:footnote>
  <w:footnote w:id="1">
    <w:p w14:paraId="15ACAD1E" w14:textId="089CEF72" w:rsidR="00D151C6" w:rsidRPr="00A26A3E" w:rsidRDefault="00D151C6" w:rsidP="00A26A3E">
      <w:pPr>
        <w:pStyle w:val="FootnoteText"/>
        <w:ind w:left="567" w:hanging="567"/>
        <w:rPr>
          <w:sz w:val="24"/>
          <w:lang w:val="ro-RO"/>
        </w:rPr>
      </w:pPr>
      <w:r w:rsidRPr="00A26A3E">
        <w:rPr>
          <w:rStyle w:val="FootnoteReference"/>
          <w:sz w:val="24"/>
          <w:lang w:val="ro-RO"/>
        </w:rPr>
        <w:footnoteRef/>
      </w:r>
      <w:r w:rsidR="00A26A3E" w:rsidRPr="00A26A3E">
        <w:rPr>
          <w:sz w:val="24"/>
          <w:lang w:val="ro-RO"/>
        </w:rPr>
        <w:t xml:space="preserve"> </w:t>
      </w:r>
      <w:r w:rsidR="00A26A3E" w:rsidRPr="00A26A3E">
        <w:rPr>
          <w:sz w:val="24"/>
          <w:lang w:val="ro-RO"/>
        </w:rPr>
        <w:tab/>
      </w:r>
      <w:r w:rsidRPr="00A26A3E">
        <w:rPr>
          <w:sz w:val="24"/>
          <w:lang w:val="ro-RO"/>
        </w:rPr>
        <w:t xml:space="preserve">JO L, 2024/2509, 26.9.2024, ELI: </w:t>
      </w:r>
      <w:hyperlink r:id="rId1" w:history="1">
        <w:r w:rsidRPr="00A26A3E">
          <w:rPr>
            <w:rStyle w:val="Hyperlink"/>
            <w:sz w:val="24"/>
            <w:lang w:val="ro-RO"/>
          </w:rPr>
          <w:t>http://data.europa.eu/eli/reg/2024/2509/oj</w:t>
        </w:r>
      </w:hyperlink>
      <w:r w:rsidRPr="00A26A3E">
        <w:rPr>
          <w:sz w:val="24"/>
          <w:lang w:val="ro-RO"/>
        </w:rPr>
        <w:t>.</w:t>
      </w:r>
    </w:p>
  </w:footnote>
  <w:footnote w:id="2">
    <w:p w14:paraId="1C7A230E" w14:textId="541B8BD0" w:rsidR="00D151C6" w:rsidRPr="00A26A3E" w:rsidRDefault="00D151C6" w:rsidP="00A26A3E">
      <w:pPr>
        <w:pStyle w:val="FootnoteText"/>
        <w:ind w:left="567" w:hanging="567"/>
        <w:rPr>
          <w:sz w:val="24"/>
          <w:lang w:val="ro-RO"/>
        </w:rPr>
      </w:pPr>
      <w:r w:rsidRPr="00A26A3E">
        <w:rPr>
          <w:rStyle w:val="FootnoteReference"/>
          <w:sz w:val="24"/>
          <w:lang w:val="ro-RO"/>
        </w:rPr>
        <w:footnoteRef/>
      </w:r>
      <w:r w:rsidR="00A26A3E" w:rsidRPr="00A26A3E">
        <w:rPr>
          <w:sz w:val="24"/>
          <w:lang w:val="ro-RO"/>
        </w:rPr>
        <w:t xml:space="preserve"> </w:t>
      </w:r>
      <w:r w:rsidR="00A26A3E" w:rsidRPr="00A26A3E">
        <w:rPr>
          <w:sz w:val="24"/>
          <w:lang w:val="ro-RO"/>
        </w:rPr>
        <w:tab/>
      </w:r>
      <w:r w:rsidRPr="00A26A3E">
        <w:rPr>
          <w:sz w:val="24"/>
          <w:lang w:val="ro-RO"/>
        </w:rPr>
        <w:t xml:space="preserve">JO L, 2025/31, 27.2.2025, ELI: </w:t>
      </w:r>
      <w:hyperlink r:id="rId2" w:history="1">
        <w:r w:rsidRPr="00A26A3E">
          <w:rPr>
            <w:rStyle w:val="Hyperlink"/>
            <w:sz w:val="24"/>
            <w:lang w:val="ro-RO"/>
          </w:rPr>
          <w:t>http://data.europa.eu/eli/budget/2025/31/oj</w:t>
        </w:r>
      </w:hyperlink>
      <w:r w:rsidRPr="00A26A3E">
        <w:rPr>
          <w:rStyle w:val="Hyperlink"/>
          <w:sz w:val="24"/>
          <w:lang w:val="ro-RO"/>
        </w:rPr>
        <w:t>.</w:t>
      </w:r>
    </w:p>
  </w:footnote>
  <w:footnote w:id="3">
    <w:p w14:paraId="149F8AAF" w14:textId="1AF128BC" w:rsidR="00D151C6" w:rsidRPr="00A26A3E" w:rsidRDefault="00D151C6" w:rsidP="00A26A3E">
      <w:pPr>
        <w:pStyle w:val="FootnoteText"/>
        <w:ind w:left="567" w:hanging="567"/>
        <w:rPr>
          <w:sz w:val="24"/>
          <w:lang w:val="ro-RO"/>
        </w:rPr>
      </w:pPr>
      <w:r w:rsidRPr="00A26A3E">
        <w:rPr>
          <w:rStyle w:val="FootnoteReference"/>
          <w:sz w:val="24"/>
          <w:lang w:val="ro-RO"/>
        </w:rPr>
        <w:footnoteRef/>
      </w:r>
      <w:r w:rsidR="00A26A3E" w:rsidRPr="00A26A3E">
        <w:rPr>
          <w:sz w:val="24"/>
          <w:lang w:val="ro-RO"/>
        </w:rPr>
        <w:t xml:space="preserve"> </w:t>
      </w:r>
      <w:r w:rsidR="00A26A3E" w:rsidRPr="00A26A3E">
        <w:rPr>
          <w:sz w:val="24"/>
          <w:lang w:val="ro-RO"/>
        </w:rPr>
        <w:tab/>
      </w:r>
      <w:r w:rsidRPr="00A26A3E">
        <w:rPr>
          <w:sz w:val="24"/>
          <w:lang w:val="ro-RO"/>
        </w:rPr>
        <w:t>JO L 433 I, 22.12.2020, p. </w:t>
      </w:r>
      <w:r w:rsidRPr="00A26A3E">
        <w:rPr>
          <w:sz w:val="24"/>
          <w:lang w:val="ro-RO"/>
        </w:rPr>
        <w:t xml:space="preserve">11, ELI: </w:t>
      </w:r>
      <w:hyperlink r:id="rId3" w:history="1">
        <w:r w:rsidRPr="00A26A3E">
          <w:rPr>
            <w:rStyle w:val="Hyperlink"/>
            <w:sz w:val="24"/>
            <w:lang w:val="ro-RO"/>
          </w:rPr>
          <w:t>http://data.europa.eu/eli/reg/2020/433/oj</w:t>
        </w:r>
      </w:hyperlink>
      <w:r w:rsidRPr="00A26A3E">
        <w:rPr>
          <w:sz w:val="24"/>
          <w:lang w:val="ro-RO"/>
        </w:rPr>
        <w:t>.</w:t>
      </w:r>
    </w:p>
  </w:footnote>
  <w:footnote w:id="4">
    <w:p w14:paraId="479810B3" w14:textId="14CFBF2A" w:rsidR="00D151C6" w:rsidRPr="00A26A3E" w:rsidRDefault="00D151C6" w:rsidP="00A26A3E">
      <w:pPr>
        <w:pStyle w:val="FootnoteText"/>
        <w:ind w:left="567" w:hanging="567"/>
        <w:rPr>
          <w:sz w:val="24"/>
          <w:lang w:val="ro-RO"/>
        </w:rPr>
      </w:pPr>
      <w:r w:rsidRPr="00A26A3E">
        <w:rPr>
          <w:rStyle w:val="FootnoteReference"/>
          <w:sz w:val="24"/>
          <w:lang w:val="ro-RO"/>
        </w:rPr>
        <w:footnoteRef/>
      </w:r>
      <w:r w:rsidR="00A26A3E" w:rsidRPr="00A26A3E">
        <w:rPr>
          <w:sz w:val="24"/>
          <w:lang w:val="ro-RO"/>
        </w:rPr>
        <w:t xml:space="preserve"> </w:t>
      </w:r>
      <w:r w:rsidR="00A26A3E" w:rsidRPr="00A26A3E">
        <w:rPr>
          <w:sz w:val="24"/>
          <w:lang w:val="ro-RO"/>
        </w:rPr>
        <w:tab/>
      </w:r>
      <w:r w:rsidRPr="00A26A3E">
        <w:rPr>
          <w:sz w:val="24"/>
          <w:lang w:val="ro-RO"/>
        </w:rPr>
        <w:t>JO L 433 I, 22.12.2020, p. </w:t>
      </w:r>
      <w:r w:rsidRPr="00A26A3E">
        <w:rPr>
          <w:sz w:val="24"/>
          <w:lang w:val="ro-RO"/>
        </w:rPr>
        <w:t xml:space="preserve">28, ELI: </w:t>
      </w:r>
      <w:hyperlink r:id="rId4" w:history="1">
        <w:r w:rsidRPr="00A26A3E">
          <w:rPr>
            <w:rStyle w:val="Hyperlink"/>
            <w:sz w:val="24"/>
            <w:lang w:val="ro-RO"/>
          </w:rPr>
          <w:t>http://data.europa.eu/eli/agree_interinstit/2020/1222/oj</w:t>
        </w:r>
      </w:hyperlink>
      <w:r w:rsidRPr="00A26A3E">
        <w:rPr>
          <w:sz w:val="24"/>
          <w:lang w:val="ro-RO"/>
        </w:rPr>
        <w:t>.</w:t>
      </w:r>
    </w:p>
  </w:footnote>
  <w:footnote w:id="5">
    <w:p w14:paraId="2FC5748D" w14:textId="7BBAD144" w:rsidR="00D151C6" w:rsidRPr="00A26A3E" w:rsidRDefault="00D151C6" w:rsidP="00A26A3E">
      <w:pPr>
        <w:pStyle w:val="FootnoteText"/>
        <w:ind w:left="567" w:hanging="567"/>
        <w:rPr>
          <w:sz w:val="24"/>
          <w:lang w:val="ro-RO"/>
        </w:rPr>
      </w:pPr>
      <w:r w:rsidRPr="00A26A3E">
        <w:rPr>
          <w:rStyle w:val="FootnoteReference"/>
          <w:sz w:val="24"/>
          <w:lang w:val="ro-RO"/>
        </w:rPr>
        <w:footnoteRef/>
      </w:r>
      <w:r w:rsidR="00A26A3E" w:rsidRPr="00A26A3E">
        <w:rPr>
          <w:sz w:val="24"/>
          <w:lang w:val="ro-RO"/>
        </w:rPr>
        <w:t xml:space="preserve"> </w:t>
      </w:r>
      <w:r w:rsidR="00A26A3E" w:rsidRPr="00A26A3E">
        <w:rPr>
          <w:sz w:val="24"/>
          <w:lang w:val="ro-RO"/>
        </w:rPr>
        <w:tab/>
      </w:r>
      <w:r w:rsidRPr="00A26A3E">
        <w:rPr>
          <w:sz w:val="24"/>
          <w:lang w:val="ro-RO"/>
        </w:rPr>
        <w:t>JO L 424, 15.12.2020, p. </w:t>
      </w:r>
      <w:r w:rsidRPr="00A26A3E">
        <w:rPr>
          <w:sz w:val="24"/>
          <w:lang w:val="ro-RO"/>
        </w:rPr>
        <w:t xml:space="preserve">1, ELI: </w:t>
      </w:r>
      <w:hyperlink r:id="rId5" w:history="1">
        <w:r w:rsidRPr="00A26A3E">
          <w:rPr>
            <w:rStyle w:val="Hyperlink"/>
            <w:sz w:val="24"/>
            <w:lang w:val="ro-RO"/>
          </w:rPr>
          <w:t>http://data.europa.eu/eli/dec/2020/2053/oj</w:t>
        </w:r>
      </w:hyperlink>
      <w:r w:rsidRPr="00A26A3E">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F619E" w14:textId="77777777" w:rsidR="00064002" w:rsidRPr="00A26A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73C74" w14:textId="77777777" w:rsidR="00064002" w:rsidRPr="00A26A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DD48E" w14:textId="77777777" w:rsidR="00064002" w:rsidRPr="00A26A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4239506">
    <w:abstractNumId w:val="9"/>
  </w:num>
  <w:num w:numId="2" w16cid:durableId="1945336830">
    <w:abstractNumId w:val="9"/>
  </w:num>
  <w:num w:numId="3" w16cid:durableId="1864397505">
    <w:abstractNumId w:val="7"/>
  </w:num>
  <w:num w:numId="4" w16cid:durableId="20403107">
    <w:abstractNumId w:val="7"/>
  </w:num>
  <w:num w:numId="5" w16cid:durableId="672995016">
    <w:abstractNumId w:val="6"/>
  </w:num>
  <w:num w:numId="6" w16cid:durableId="1493522796">
    <w:abstractNumId w:val="6"/>
  </w:num>
  <w:num w:numId="7" w16cid:durableId="85925176">
    <w:abstractNumId w:val="5"/>
  </w:num>
  <w:num w:numId="8" w16cid:durableId="368380588">
    <w:abstractNumId w:val="5"/>
  </w:num>
  <w:num w:numId="9" w16cid:durableId="1635335157">
    <w:abstractNumId w:val="4"/>
  </w:num>
  <w:num w:numId="10" w16cid:durableId="913202931">
    <w:abstractNumId w:val="4"/>
  </w:num>
  <w:num w:numId="11" w16cid:durableId="400448291">
    <w:abstractNumId w:val="8"/>
  </w:num>
  <w:num w:numId="12" w16cid:durableId="1292056119">
    <w:abstractNumId w:val="8"/>
  </w:num>
  <w:num w:numId="13" w16cid:durableId="998341692">
    <w:abstractNumId w:val="3"/>
  </w:num>
  <w:num w:numId="14" w16cid:durableId="881553652">
    <w:abstractNumId w:val="3"/>
  </w:num>
  <w:num w:numId="15" w16cid:durableId="695544225">
    <w:abstractNumId w:val="2"/>
  </w:num>
  <w:num w:numId="16" w16cid:durableId="1185250197">
    <w:abstractNumId w:val="2"/>
  </w:num>
  <w:num w:numId="17" w16cid:durableId="658461709">
    <w:abstractNumId w:val="1"/>
  </w:num>
  <w:num w:numId="18" w16cid:durableId="449125679">
    <w:abstractNumId w:val="1"/>
  </w:num>
  <w:num w:numId="19" w16cid:durableId="398671627">
    <w:abstractNumId w:val="0"/>
  </w:num>
  <w:num w:numId="20" w16cid:durableId="82842757">
    <w:abstractNumId w:val="0"/>
  </w:num>
  <w:num w:numId="21" w16cid:durableId="1852722311">
    <w:abstractNumId w:val="9"/>
  </w:num>
  <w:num w:numId="22" w16cid:durableId="1777166099">
    <w:abstractNumId w:val="7"/>
  </w:num>
  <w:num w:numId="23" w16cid:durableId="1624115122">
    <w:abstractNumId w:val="6"/>
  </w:num>
  <w:num w:numId="24" w16cid:durableId="922958118">
    <w:abstractNumId w:val="5"/>
  </w:num>
  <w:num w:numId="25" w16cid:durableId="1226136544">
    <w:abstractNumId w:val="4"/>
  </w:num>
  <w:num w:numId="26" w16cid:durableId="989987721">
    <w:abstractNumId w:val="8"/>
  </w:num>
  <w:num w:numId="27" w16cid:durableId="349452863">
    <w:abstractNumId w:val="3"/>
  </w:num>
  <w:num w:numId="28" w16cid:durableId="1709796759">
    <w:abstractNumId w:val="2"/>
  </w:num>
  <w:num w:numId="29" w16cid:durableId="1711957757">
    <w:abstractNumId w:val="1"/>
  </w:num>
  <w:num w:numId="30" w16cid:durableId="560364567">
    <w:abstractNumId w:val="0"/>
  </w:num>
  <w:num w:numId="31" w16cid:durableId="204634">
    <w:abstractNumId w:val="9"/>
  </w:num>
  <w:num w:numId="32" w16cid:durableId="372079465">
    <w:abstractNumId w:val="7"/>
  </w:num>
  <w:num w:numId="33" w16cid:durableId="296378223">
    <w:abstractNumId w:val="6"/>
  </w:num>
  <w:num w:numId="34" w16cid:durableId="1192957022">
    <w:abstractNumId w:val="5"/>
  </w:num>
  <w:num w:numId="35" w16cid:durableId="114715126">
    <w:abstractNumId w:val="4"/>
  </w:num>
  <w:num w:numId="36" w16cid:durableId="205217873">
    <w:abstractNumId w:val="8"/>
  </w:num>
  <w:num w:numId="37" w16cid:durableId="1169909117">
    <w:abstractNumId w:val="3"/>
  </w:num>
  <w:num w:numId="38" w16cid:durableId="504246876">
    <w:abstractNumId w:val="2"/>
  </w:num>
  <w:num w:numId="39" w16cid:durableId="423770975">
    <w:abstractNumId w:val="1"/>
  </w:num>
  <w:num w:numId="40" w16cid:durableId="1153109228">
    <w:abstractNumId w:val="0"/>
  </w:num>
  <w:num w:numId="41" w16cid:durableId="345597228">
    <w:abstractNumId w:val="10"/>
  </w:num>
  <w:num w:numId="42" w16cid:durableId="1566800928">
    <w:abstractNumId w:val="10"/>
  </w:num>
  <w:num w:numId="43" w16cid:durableId="489635505">
    <w:abstractNumId w:val="10"/>
  </w:num>
  <w:num w:numId="44" w16cid:durableId="363288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RO"/>
    <w:docVar w:name="dvnumam" w:val="0"/>
    <w:docVar w:name="dvpe" w:val="778.228"/>
    <w:docVar w:name="dvrapporteur" w:val="Raportor: "/>
    <w:docVar w:name="dvtitre" w:val="Rezoluția Parlamentului European din 26 noiembrie 2025 referitoare la poziția Consiliului privind proiectul de buget rectificativ nr. 3/2025 al Uniunii Europene pentru exercițiul financiar 2025 – ajustarea creditelor de plată, actualizarea veniturilor și alte actualizări tehnice(14878/2025 – C10-0301/2025 – 2025/0319(BUD))"/>
  </w:docVars>
  <w:rsids>
    <w:rsidRoot w:val="00E163A9"/>
    <w:rsid w:val="00002272"/>
    <w:rsid w:val="00064002"/>
    <w:rsid w:val="000677B9"/>
    <w:rsid w:val="00070F3A"/>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1E5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5B"/>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A3E"/>
    <w:rsid w:val="00A43E52"/>
    <w:rsid w:val="00A4678D"/>
    <w:rsid w:val="00A778C7"/>
    <w:rsid w:val="00AB441E"/>
    <w:rsid w:val="00AB6293"/>
    <w:rsid w:val="00AE0928"/>
    <w:rsid w:val="00AE34B9"/>
    <w:rsid w:val="00AF3B82"/>
    <w:rsid w:val="00B12E95"/>
    <w:rsid w:val="00B22876"/>
    <w:rsid w:val="00B558F0"/>
    <w:rsid w:val="00BD48FE"/>
    <w:rsid w:val="00BD7BD8"/>
    <w:rsid w:val="00BE6ADC"/>
    <w:rsid w:val="00C05BFE"/>
    <w:rsid w:val="00C23CD4"/>
    <w:rsid w:val="00C61C0C"/>
    <w:rsid w:val="00C941CB"/>
    <w:rsid w:val="00CB4CCD"/>
    <w:rsid w:val="00CC2357"/>
    <w:rsid w:val="00CF071A"/>
    <w:rsid w:val="00D058B8"/>
    <w:rsid w:val="00D151C6"/>
    <w:rsid w:val="00D56C11"/>
    <w:rsid w:val="00D834A0"/>
    <w:rsid w:val="00D872DF"/>
    <w:rsid w:val="00D91E21"/>
    <w:rsid w:val="00DA7FCD"/>
    <w:rsid w:val="00DF34FF"/>
    <w:rsid w:val="00E163A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515D1"/>
  <w15:chartTrackingRefBased/>
  <w15:docId w15:val="{A1638E2A-3C74-4D10-BF64-56D1E985C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151C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151C6"/>
    <w:pPr>
      <w:spacing w:before="480" w:after="240"/>
    </w:pPr>
  </w:style>
  <w:style w:type="paragraph" w:customStyle="1" w:styleId="PageHeading">
    <w:name w:val="PageHeading"/>
    <w:basedOn w:val="Normal"/>
    <w:rsid w:val="00D151C6"/>
    <w:pPr>
      <w:keepNext/>
      <w:spacing w:after="480"/>
      <w:jc w:val="center"/>
    </w:pPr>
    <w:rPr>
      <w:rFonts w:ascii="Arial" w:hAnsi="Arial" w:cs="Arial"/>
      <w:b/>
    </w:rPr>
  </w:style>
  <w:style w:type="paragraph" w:customStyle="1" w:styleId="NormalHanging12a">
    <w:name w:val="NormalHanging12a"/>
    <w:basedOn w:val="Normal"/>
    <w:rsid w:val="00D151C6"/>
    <w:pPr>
      <w:spacing w:after="240"/>
      <w:ind w:left="567" w:hanging="567"/>
    </w:pPr>
  </w:style>
  <w:style w:type="paragraph" w:styleId="Header">
    <w:name w:val="header"/>
    <w:basedOn w:val="Normal"/>
    <w:link w:val="HeaderChar"/>
    <w:rsid w:val="00D151C6"/>
    <w:pPr>
      <w:tabs>
        <w:tab w:val="center" w:pos="4513"/>
        <w:tab w:val="right" w:pos="9026"/>
      </w:tabs>
    </w:pPr>
  </w:style>
  <w:style w:type="character" w:customStyle="1" w:styleId="HeaderChar">
    <w:name w:val="Header Char"/>
    <w:basedOn w:val="DefaultParagraphFont"/>
    <w:link w:val="Header"/>
    <w:rsid w:val="00D151C6"/>
    <w:rPr>
      <w:sz w:val="24"/>
      <w:lang w:val="ro-RO"/>
    </w:rPr>
  </w:style>
  <w:style w:type="paragraph" w:customStyle="1" w:styleId="EPFooter">
    <w:name w:val="EPFooter"/>
    <w:basedOn w:val="Normal"/>
    <w:rsid w:val="00D151C6"/>
    <w:pPr>
      <w:tabs>
        <w:tab w:val="center" w:pos="4535"/>
        <w:tab w:val="right" w:pos="9071"/>
      </w:tabs>
      <w:spacing w:before="240" w:after="240"/>
    </w:pPr>
    <w:rPr>
      <w:color w:val="010000"/>
      <w:sz w:val="22"/>
    </w:rPr>
  </w:style>
  <w:style w:type="character" w:styleId="Hyperlink">
    <w:name w:val="Hyperlink"/>
    <w:basedOn w:val="DefaultParagraphFont"/>
    <w:uiPriority w:val="99"/>
    <w:rsid w:val="00D151C6"/>
    <w:rPr>
      <w:color w:val="0563C1" w:themeColor="hyperlink"/>
      <w:u w:val="single"/>
    </w:rPr>
  </w:style>
  <w:style w:type="paragraph" w:customStyle="1" w:styleId="Normal24a">
    <w:name w:val="Normal24a"/>
    <w:basedOn w:val="Normal"/>
    <w:rsid w:val="00D151C6"/>
    <w:pPr>
      <w:spacing w:after="480"/>
    </w:pPr>
  </w:style>
  <w:style w:type="paragraph" w:customStyle="1" w:styleId="Footprint12b">
    <w:name w:val="Footprint12b"/>
    <w:basedOn w:val="Normal"/>
    <w:rsid w:val="00D151C6"/>
    <w:pPr>
      <w:spacing w:before="240"/>
    </w:pPr>
    <w:rPr>
      <w:szCs w:val="24"/>
    </w:rPr>
  </w:style>
  <w:style w:type="paragraph" w:customStyle="1" w:styleId="Normal12a">
    <w:name w:val="Normal12a"/>
    <w:basedOn w:val="Normal"/>
    <w:rsid w:val="00D151C6"/>
    <w:pPr>
      <w:spacing w:after="240"/>
    </w:pPr>
  </w:style>
  <w:style w:type="paragraph" w:customStyle="1" w:styleId="RollCallVotes">
    <w:name w:val="RollCallVotes"/>
    <w:basedOn w:val="Normal"/>
    <w:rsid w:val="00D151C6"/>
    <w:pPr>
      <w:spacing w:before="120" w:after="120"/>
      <w:jc w:val="center"/>
    </w:pPr>
    <w:rPr>
      <w:b/>
      <w:bCs/>
      <w:snapToGrid w:val="0"/>
      <w:sz w:val="16"/>
      <w:lang w:eastAsia="en-US"/>
    </w:rPr>
  </w:style>
  <w:style w:type="paragraph" w:customStyle="1" w:styleId="RollCallSymbols14pt">
    <w:name w:val="RollCallSymbols14pt"/>
    <w:basedOn w:val="Normal"/>
    <w:rsid w:val="00D151C6"/>
    <w:pPr>
      <w:spacing w:before="120" w:after="120"/>
      <w:jc w:val="center"/>
    </w:pPr>
    <w:rPr>
      <w:rFonts w:ascii="Arial" w:hAnsi="Arial"/>
      <w:b/>
      <w:bCs/>
      <w:snapToGrid w:val="0"/>
      <w:sz w:val="28"/>
      <w:lang w:eastAsia="en-US"/>
    </w:rPr>
  </w:style>
  <w:style w:type="paragraph" w:customStyle="1" w:styleId="RollCallTable">
    <w:name w:val="RollCallTable"/>
    <w:basedOn w:val="Normal"/>
    <w:rsid w:val="00D151C6"/>
    <w:pPr>
      <w:spacing w:before="120" w:after="120"/>
    </w:pPr>
    <w:rPr>
      <w:snapToGrid w:val="0"/>
      <w:sz w:val="16"/>
      <w:lang w:eastAsia="en-US"/>
    </w:rPr>
  </w:style>
  <w:style w:type="paragraph" w:customStyle="1" w:styleId="Normal12">
    <w:name w:val="Normal12"/>
    <w:basedOn w:val="Normal"/>
    <w:next w:val="Normal"/>
    <w:rsid w:val="00D151C6"/>
    <w:pPr>
      <w:spacing w:after="240"/>
    </w:pPr>
    <w:rPr>
      <w:snapToGrid w:val="0"/>
      <w:lang w:eastAsia="en-US"/>
    </w:rPr>
  </w:style>
  <w:style w:type="paragraph" w:styleId="Revision">
    <w:name w:val="Revision"/>
    <w:hidden/>
    <w:uiPriority w:val="99"/>
    <w:semiHidden/>
    <w:rsid w:val="003F1E5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1337</Words>
  <Characters>8022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2025-11-26T14:02:00Z</dcterms:created>
  <dcterms:modified xsi:type="dcterms:W3CDTF">2025-11-26T14:02:00Z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A10-0237/2025</vt:lpwstr>
  </property>
  <property fmtid="{D5CDD505-2E9C-101B-9397-08002B2CF9AE}" pid="4" name="&lt;Type&gt;">
    <vt:lpwstr>RR</vt:lpwstr>
  </property>
</Properties>
</file>