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436D" w14:paraId="2D0128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DBB8D8" w14:textId="77777777" w:rsidR="00751A4A" w:rsidRPr="00F0436D" w:rsidRDefault="000A4568" w:rsidP="0010095E">
            <w:pPr>
              <w:pStyle w:val="EPName"/>
            </w:pPr>
            <w:r w:rsidRPr="00F0436D">
              <w:t>Evropski parlament</w:t>
            </w:r>
          </w:p>
          <w:p w14:paraId="0D4F0273" w14:textId="77777777" w:rsidR="00751A4A" w:rsidRPr="00F043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436D">
              <w:t>2024</w:t>
            </w:r>
            <w:r w:rsidR="00817416" w:rsidRPr="00F0436D">
              <w:t>-202</w:t>
            </w:r>
            <w:r w:rsidRPr="00F0436D">
              <w:t>9</w:t>
            </w:r>
          </w:p>
        </w:tc>
        <w:tc>
          <w:tcPr>
            <w:tcW w:w="2268" w:type="dxa"/>
            <w:shd w:val="clear" w:color="auto" w:fill="auto"/>
          </w:tcPr>
          <w:p w14:paraId="2B1DB04C" w14:textId="77777777" w:rsidR="00751A4A" w:rsidRPr="00F0436D" w:rsidRDefault="00187494" w:rsidP="0010095E">
            <w:pPr>
              <w:pStyle w:val="EPLogo"/>
            </w:pPr>
            <w:r w:rsidRPr="00F0436D">
              <w:rPr>
                <w:noProof/>
                <w:lang w:eastAsia="ja-JP"/>
              </w:rPr>
              <w:drawing>
                <wp:inline distT="0" distB="0" distL="0" distR="0" wp14:anchorId="6C4767BF" wp14:editId="0A63F3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D4FA2" w14:textId="77777777" w:rsidR="00D058B8" w:rsidRPr="00F0436D" w:rsidRDefault="00D058B8" w:rsidP="004C5D52">
      <w:pPr>
        <w:pStyle w:val="LineTop"/>
      </w:pPr>
    </w:p>
    <w:p w14:paraId="1C94C4EF" w14:textId="77777777" w:rsidR="00680577" w:rsidRPr="00F0436D" w:rsidRDefault="000A4568" w:rsidP="00680577">
      <w:pPr>
        <w:pStyle w:val="EPBodyTA1"/>
      </w:pPr>
      <w:r w:rsidRPr="00F0436D">
        <w:t>SPREJETA BESEDILA</w:t>
      </w:r>
    </w:p>
    <w:p w14:paraId="1253B874" w14:textId="77777777" w:rsidR="00D058B8" w:rsidRPr="00F0436D" w:rsidRDefault="00D058B8" w:rsidP="00D058B8">
      <w:pPr>
        <w:pStyle w:val="LineBottom"/>
      </w:pPr>
    </w:p>
    <w:p w14:paraId="30D7F363" w14:textId="1A225B7C" w:rsidR="000A4568" w:rsidRPr="00F0436D" w:rsidRDefault="000A4568" w:rsidP="000A4568">
      <w:pPr>
        <w:pStyle w:val="ATHeading1"/>
      </w:pPr>
      <w:bookmarkStart w:id="0" w:name="TANumber"/>
      <w:r w:rsidRPr="00F0436D">
        <w:t>P10_TA(2025)</w:t>
      </w:r>
      <w:bookmarkEnd w:id="0"/>
      <w:r w:rsidR="00D77AF7">
        <w:t>0293</w:t>
      </w:r>
    </w:p>
    <w:p w14:paraId="67A0EE1C" w14:textId="5062A958" w:rsidR="000A4568" w:rsidRPr="00F0436D" w:rsidRDefault="0005135B" w:rsidP="0005135B">
      <w:pPr>
        <w:pStyle w:val="ATHeading2"/>
      </w:pPr>
      <w:bookmarkStart w:id="1" w:name="title"/>
      <w:r>
        <w:t>Predlog spremembe proračuna št. 3/2025: prilagoditev odobritev plačil, posodobitev prihodkov in druge tehnične posodobitve</w:t>
      </w:r>
      <w:bookmarkEnd w:id="1"/>
    </w:p>
    <w:p w14:paraId="23DB9D83" w14:textId="77777777" w:rsidR="000A4568" w:rsidRPr="00F0436D" w:rsidRDefault="000A4568" w:rsidP="000A4568">
      <w:pPr>
        <w:rPr>
          <w:i/>
          <w:vanish/>
        </w:rPr>
      </w:pPr>
      <w:r w:rsidRPr="00F0436D">
        <w:rPr>
          <w:i/>
        </w:rPr>
        <w:fldChar w:fldCharType="begin"/>
      </w:r>
      <w:r w:rsidRPr="00F0436D">
        <w:rPr>
          <w:i/>
        </w:rPr>
        <w:instrText xml:space="preserve"> TC"(</w:instrText>
      </w:r>
      <w:bookmarkStart w:id="2" w:name="DocNumber"/>
      <w:r w:rsidRPr="00F0436D">
        <w:rPr>
          <w:i/>
        </w:rPr>
        <w:instrText>A10-0237/2025</w:instrText>
      </w:r>
      <w:bookmarkEnd w:id="2"/>
      <w:r w:rsidRPr="00F0436D">
        <w:rPr>
          <w:i/>
        </w:rPr>
        <w:instrText xml:space="preserve"> - Poročevalec: Victor </w:instrText>
      </w:r>
      <w:proofErr w:type="spellStart"/>
      <w:r w:rsidRPr="00F0436D">
        <w:rPr>
          <w:i/>
        </w:rPr>
        <w:instrText>Negrescu</w:instrText>
      </w:r>
      <w:proofErr w:type="spellEnd"/>
      <w:r w:rsidRPr="00F0436D">
        <w:rPr>
          <w:i/>
        </w:rPr>
        <w:instrText xml:space="preserve">)"\l3 \n&gt; \* MERGEFORMAT </w:instrText>
      </w:r>
      <w:r w:rsidRPr="00F0436D">
        <w:rPr>
          <w:i/>
        </w:rPr>
        <w:fldChar w:fldCharType="end"/>
      </w:r>
    </w:p>
    <w:p w14:paraId="3B366F4D" w14:textId="77777777" w:rsidR="000A4568" w:rsidRPr="00F0436D" w:rsidRDefault="000A4568" w:rsidP="000A4568">
      <w:pPr>
        <w:rPr>
          <w:vanish/>
        </w:rPr>
      </w:pPr>
      <w:bookmarkStart w:id="3" w:name="Commission"/>
      <w:r w:rsidRPr="00F0436D">
        <w:rPr>
          <w:vanish/>
        </w:rPr>
        <w:t>Odbor za proračun</w:t>
      </w:r>
      <w:bookmarkEnd w:id="3"/>
    </w:p>
    <w:p w14:paraId="3258A61B" w14:textId="77777777" w:rsidR="000A4568" w:rsidRPr="00F0436D" w:rsidRDefault="000A4568" w:rsidP="000A4568">
      <w:pPr>
        <w:rPr>
          <w:vanish/>
        </w:rPr>
      </w:pPr>
      <w:bookmarkStart w:id="4" w:name="PE"/>
      <w:r w:rsidRPr="00F0436D">
        <w:rPr>
          <w:vanish/>
        </w:rPr>
        <w:t>PE778.228</w:t>
      </w:r>
      <w:bookmarkEnd w:id="4"/>
    </w:p>
    <w:p w14:paraId="0DE91814" w14:textId="40E63722" w:rsidR="000A4568" w:rsidRPr="00F0436D" w:rsidRDefault="000A4568" w:rsidP="000A4568">
      <w:pPr>
        <w:pStyle w:val="ATHeading3"/>
      </w:pPr>
      <w:bookmarkStart w:id="5" w:name="Sujet"/>
      <w:r w:rsidRPr="00F0436D">
        <w:t xml:space="preserve">Resolucija Evropskega parlamenta z dne </w:t>
      </w:r>
      <w:r w:rsidR="0064009E">
        <w:t xml:space="preserve">26. </w:t>
      </w:r>
      <w:r w:rsidR="00364FB0">
        <w:t>novembra</w:t>
      </w:r>
      <w:r w:rsidRPr="00F0436D">
        <w:t xml:space="preserve"> 2025 o stališču Sveta o predlogu spremembe proračuna št. 3 </w:t>
      </w:r>
      <w:r w:rsidR="00364FB0">
        <w:t xml:space="preserve">k splošnemu proračunu </w:t>
      </w:r>
      <w:r w:rsidRPr="00F0436D">
        <w:t xml:space="preserve">za leto 2025: prilagoditev </w:t>
      </w:r>
      <w:r w:rsidR="0009427C">
        <w:t xml:space="preserve">pri odobritvah </w:t>
      </w:r>
      <w:r w:rsidRPr="00F0436D">
        <w:t>plačil, posodobitev prihodkov in druge tehnične posodobitve</w:t>
      </w:r>
      <w:bookmarkEnd w:id="5"/>
      <w:r w:rsidRPr="00F0436D">
        <w:t xml:space="preserve"> </w:t>
      </w:r>
      <w:bookmarkStart w:id="6" w:name="References"/>
      <w:r w:rsidRPr="00F0436D">
        <w:t>(14878/2025 – C10-0301/2025 – 2025/0319(BUD))</w:t>
      </w:r>
      <w:bookmarkEnd w:id="6"/>
    </w:p>
    <w:p w14:paraId="46D46261" w14:textId="77777777" w:rsidR="001113C9" w:rsidRPr="00F0436D" w:rsidRDefault="001113C9" w:rsidP="001113C9">
      <w:pPr>
        <w:pStyle w:val="EPComma"/>
      </w:pPr>
      <w:bookmarkStart w:id="7" w:name="TextBodyBegin"/>
      <w:bookmarkEnd w:id="7"/>
      <w:r w:rsidRPr="00F0436D">
        <w:rPr>
          <w:i/>
        </w:rPr>
        <w:t>Evropski parlament,</w:t>
      </w:r>
    </w:p>
    <w:p w14:paraId="5CCEEEB1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>ob upoštevanju člena 314 Pogodbe o delovanju Evropske unije,</w:t>
      </w:r>
    </w:p>
    <w:p w14:paraId="09A7D2C6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>ob upoštevanju člena 106a Pogodbe o ustanovitvi Evropske skupnosti za atomsko energijo,</w:t>
      </w:r>
    </w:p>
    <w:p w14:paraId="064D9A93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 xml:space="preserve">ob upoštevanju Uredbe (EU, </w:t>
      </w:r>
      <w:proofErr w:type="spellStart"/>
      <w:r w:rsidRPr="00F0436D">
        <w:t>Euratom</w:t>
      </w:r>
      <w:proofErr w:type="spellEnd"/>
      <w:r w:rsidRPr="00F0436D">
        <w:t>) 2024/2509 Evropskega parlamenta in Sveta z dne 23. septembra 2024 o finančnih pravilih, ki se uporabljajo za splošni proračun Unije</w:t>
      </w:r>
      <w:r w:rsidRPr="00F0436D">
        <w:rPr>
          <w:rStyle w:val="FootnoteReference"/>
        </w:rPr>
        <w:footnoteReference w:id="1"/>
      </w:r>
      <w:r w:rsidRPr="00F0436D">
        <w:t>, zlasti člena 44,</w:t>
      </w:r>
    </w:p>
    <w:p w14:paraId="6A2FA60F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>ob upoštevanju splošnega proračuna Evropske unije za proračunsko leto 2025, ki je bil dokončno sprejet 27. novembra 2024</w:t>
      </w:r>
      <w:r w:rsidRPr="00F0436D">
        <w:rPr>
          <w:rStyle w:val="FootnoteReference"/>
        </w:rPr>
        <w:footnoteReference w:id="2"/>
      </w:r>
      <w:r w:rsidRPr="00F0436D">
        <w:t>,</w:t>
      </w:r>
    </w:p>
    <w:p w14:paraId="4102712E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 xml:space="preserve">ob upoštevanju Uredbe Sveta (EU, </w:t>
      </w:r>
      <w:proofErr w:type="spellStart"/>
      <w:r w:rsidRPr="00F0436D">
        <w:t>Euratom</w:t>
      </w:r>
      <w:proofErr w:type="spellEnd"/>
      <w:r w:rsidRPr="00F0436D">
        <w:t>) 2020/2093 z dne 17. decembra 2020 o določitvi večletnega finančnega okvira za obdobje 2021–2027</w:t>
      </w:r>
      <w:r w:rsidRPr="00F0436D">
        <w:rPr>
          <w:rStyle w:val="FootnoteReference"/>
        </w:rPr>
        <w:footnoteReference w:id="3"/>
      </w:r>
      <w:r w:rsidRPr="00F0436D">
        <w:t>,</w:t>
      </w:r>
    </w:p>
    <w:p w14:paraId="15BCC27D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 xml:space="preserve">ob upoštevanju Medinstitucionalnega sporazuma z dne 16. decembra 2020 med Evropskim parlamentom, Svetom in Komisijo o proračunski disciplini, sodelovanju v proračunskih zadevah in dobrem finančnem </w:t>
      </w:r>
      <w:proofErr w:type="spellStart"/>
      <w:r w:rsidRPr="00F0436D">
        <w:t>poslovodenju</w:t>
      </w:r>
      <w:proofErr w:type="spellEnd"/>
      <w:r w:rsidRPr="00F0436D">
        <w:t xml:space="preserve"> ter novih virih lastnih sredstev, vključno s časovnim načrtom za njihovo uvedbo</w:t>
      </w:r>
      <w:r w:rsidRPr="00F0436D">
        <w:rPr>
          <w:rStyle w:val="FootnoteReference"/>
        </w:rPr>
        <w:footnoteReference w:id="4"/>
      </w:r>
      <w:r w:rsidRPr="00F0436D">
        <w:t>,</w:t>
      </w:r>
    </w:p>
    <w:p w14:paraId="057DE18C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 xml:space="preserve">ob upoštevanju Sklepa Sveta (EU, </w:t>
      </w:r>
      <w:proofErr w:type="spellStart"/>
      <w:r w:rsidRPr="00F0436D">
        <w:t>Euratom</w:t>
      </w:r>
      <w:proofErr w:type="spellEnd"/>
      <w:r w:rsidRPr="00F0436D">
        <w:t xml:space="preserve">) 2020/2053 z dne 14. decembra 2020 o </w:t>
      </w:r>
      <w:r w:rsidRPr="00F0436D">
        <w:lastRenderedPageBreak/>
        <w:t xml:space="preserve">sistemu virov lastnih sredstev Evropske unije in razveljavitvi Sklepa 2014/335/EU, </w:t>
      </w:r>
      <w:proofErr w:type="spellStart"/>
      <w:r w:rsidRPr="00F0436D">
        <w:t>Euratom</w:t>
      </w:r>
      <w:proofErr w:type="spellEnd"/>
      <w:r w:rsidRPr="00F0436D">
        <w:rPr>
          <w:rStyle w:val="FootnoteReference"/>
        </w:rPr>
        <w:footnoteReference w:id="5"/>
      </w:r>
      <w:r w:rsidRPr="00F0436D">
        <w:t>,</w:t>
      </w:r>
    </w:p>
    <w:p w14:paraId="49426ACF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>ob upoštevanju predloga spremembe proračuna št. 3/2025, ki ga je Komisija sprejela 3. oktobra 2025 (COM(2025)0850),</w:t>
      </w:r>
    </w:p>
    <w:p w14:paraId="140874D3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>ob upoštevanju stališča o predlogu spremembe proračuna št. 3/2025, ki ga je Svet sprejel 17. novembra 2025 in ga istega dne posredoval Evropskemu parlamentu (14878/2025 – C10</w:t>
      </w:r>
      <w:r w:rsidRPr="00F0436D">
        <w:noBreakHyphen/>
        <w:t>0301/2025),</w:t>
      </w:r>
    </w:p>
    <w:p w14:paraId="23766C2A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>ob upoštevanju členov 96 in 98 Poslovnika,</w:t>
      </w:r>
    </w:p>
    <w:p w14:paraId="112052DD" w14:textId="77777777" w:rsidR="001113C9" w:rsidRPr="00F0436D" w:rsidRDefault="001113C9" w:rsidP="001113C9">
      <w:pPr>
        <w:pStyle w:val="NormalHanging12a"/>
      </w:pPr>
      <w:r w:rsidRPr="00F0436D">
        <w:t>–</w:t>
      </w:r>
      <w:r w:rsidRPr="00F0436D">
        <w:tab/>
        <w:t>ob upoštevanju poročila Odbora za proračun (A10</w:t>
      </w:r>
      <w:r w:rsidRPr="00F0436D">
        <w:noBreakHyphen/>
        <w:t>0237/2025),</w:t>
      </w:r>
    </w:p>
    <w:p w14:paraId="2017A654" w14:textId="5C072BF3" w:rsidR="001113C9" w:rsidRPr="00F0436D" w:rsidRDefault="001113C9" w:rsidP="001113C9">
      <w:pPr>
        <w:spacing w:after="240"/>
        <w:ind w:left="567" w:hanging="567"/>
        <w:rPr>
          <w:color w:val="000000"/>
        </w:rPr>
      </w:pPr>
      <w:bookmarkStart w:id="8" w:name="_Hlk215044098"/>
      <w:r w:rsidRPr="00F0436D">
        <w:rPr>
          <w:color w:val="000000"/>
        </w:rPr>
        <w:t>A.</w:t>
      </w:r>
      <w:r w:rsidRPr="00F0436D">
        <w:rPr>
          <w:color w:val="000000"/>
        </w:rPr>
        <w:tab/>
        <w:t xml:space="preserve">ker je namen predloga spremembe proračuna št. 3/2025 posodobiti prihodkovno stran proračuna, da se upošteva najnovejše dogajanje, prilagoditi odhodkovno stran proračuna v zvezi z </w:t>
      </w:r>
      <w:r w:rsidR="003E1F60">
        <w:rPr>
          <w:color w:val="000000"/>
        </w:rPr>
        <w:t>odobritvami</w:t>
      </w:r>
      <w:r w:rsidR="003E1F60" w:rsidRPr="00F0436D">
        <w:rPr>
          <w:color w:val="000000"/>
        </w:rPr>
        <w:t xml:space="preserve"> </w:t>
      </w:r>
      <w:r w:rsidRPr="00F0436D">
        <w:rPr>
          <w:color w:val="000000"/>
        </w:rPr>
        <w:t xml:space="preserve">plačil in </w:t>
      </w:r>
      <w:r w:rsidR="00B234F4">
        <w:rPr>
          <w:color w:val="000000"/>
        </w:rPr>
        <w:t xml:space="preserve">poleg tega </w:t>
      </w:r>
      <w:r w:rsidR="00B234F4" w:rsidRPr="00B234F4">
        <w:rPr>
          <w:color w:val="000000"/>
        </w:rPr>
        <w:t xml:space="preserve">prilagoditi odhodkovno stran proračuna v zvezi z </w:t>
      </w:r>
      <w:r w:rsidR="00B234F4">
        <w:rPr>
          <w:color w:val="000000"/>
        </w:rPr>
        <w:t>več</w:t>
      </w:r>
      <w:r w:rsidRPr="00F0436D">
        <w:rPr>
          <w:color w:val="000000"/>
        </w:rPr>
        <w:t xml:space="preserve"> decentraliziranimi agencijami;</w:t>
      </w:r>
    </w:p>
    <w:bookmarkEnd w:id="8"/>
    <w:p w14:paraId="4654A747" w14:textId="1069C99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B.</w:t>
      </w:r>
      <w:r w:rsidRPr="00F0436D">
        <w:rPr>
          <w:color w:val="000000"/>
        </w:rPr>
        <w:tab/>
        <w:t xml:space="preserve">ker predlog spremembe proračuna št. 3/2025 </w:t>
      </w:r>
      <w:r w:rsidR="00051116">
        <w:rPr>
          <w:color w:val="000000"/>
        </w:rPr>
        <w:t>v zvezi z odhodki</w:t>
      </w:r>
      <w:r w:rsidRPr="00F0436D">
        <w:rPr>
          <w:color w:val="000000"/>
        </w:rPr>
        <w:t xml:space="preserve"> predvideva neto povečanje </w:t>
      </w:r>
      <w:r w:rsidR="00051116">
        <w:rPr>
          <w:color w:val="000000"/>
        </w:rPr>
        <w:t xml:space="preserve">odobritev za prevzem </w:t>
      </w:r>
      <w:r w:rsidRPr="00F0436D">
        <w:rPr>
          <w:color w:val="000000"/>
        </w:rPr>
        <w:t xml:space="preserve">obveznosti za 123,7 milijona EUR in </w:t>
      </w:r>
      <w:r w:rsidR="00051116">
        <w:rPr>
          <w:color w:val="000000"/>
        </w:rPr>
        <w:t xml:space="preserve">odobritev </w:t>
      </w:r>
      <w:r w:rsidRPr="00F0436D">
        <w:rPr>
          <w:color w:val="000000"/>
        </w:rPr>
        <w:t>plačil za 2,52 milijarde EUR;</w:t>
      </w:r>
    </w:p>
    <w:p w14:paraId="38A22290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C.</w:t>
      </w:r>
      <w:r w:rsidRPr="00F0436D">
        <w:rPr>
          <w:color w:val="000000"/>
        </w:rPr>
        <w:tab/>
        <w:t>ker predlog spremembe proračuna št. 3/2025 predvideva številne prilagoditve financiranja decentraliziranih agencij v več razdelkih;</w:t>
      </w:r>
    </w:p>
    <w:p w14:paraId="3F14CB00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D.</w:t>
      </w:r>
      <w:r w:rsidRPr="00F0436D">
        <w:rPr>
          <w:color w:val="000000"/>
        </w:rPr>
        <w:tab/>
        <w:t>ker predlog spremembe proračuna št. 3/2025 na strani proračunskih prihodkov za leto 2025 vnaša dokončne globe in kazni, plačane do septembra 2025, v skupni višini 1,19 milijarde EUR, pa tudi 1,3 milijarde EUR dodatnih tradicionalnih lastnih sredstev;</w:t>
      </w:r>
    </w:p>
    <w:p w14:paraId="1BBC8CEE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E.</w:t>
      </w:r>
      <w:r w:rsidRPr="00F0436D">
        <w:rPr>
          <w:color w:val="000000"/>
        </w:rPr>
        <w:tab/>
        <w:t>ker so zaradi teh prilagoditev potrebni dodatni prispevki iz naslova BND v višini 31,9 milijona EUR za kritje plačil;</w:t>
      </w:r>
    </w:p>
    <w:p w14:paraId="2B773657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1.</w:t>
      </w:r>
      <w:r w:rsidRPr="00F0436D">
        <w:rPr>
          <w:color w:val="000000"/>
        </w:rPr>
        <w:tab/>
        <w:t>je seznanjen s predlogom spremembe proračuna št. 3/2025, kot ga je predložila Komisija, zlasti z zelo majhnim učinkom na prispevke držav članic iz naslova BND zaradi uravnoteženosti večjih potreb po plačilih in dodatnih prihodkov;</w:t>
      </w:r>
    </w:p>
    <w:p w14:paraId="176C8412" w14:textId="3766794F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2.</w:t>
      </w:r>
      <w:r w:rsidRPr="00F0436D">
        <w:rPr>
          <w:color w:val="000000"/>
        </w:rPr>
        <w:tab/>
        <w:t xml:space="preserve">pozdravlja povečanje </w:t>
      </w:r>
      <w:r w:rsidR="004E3F75">
        <w:rPr>
          <w:color w:val="000000"/>
        </w:rPr>
        <w:t xml:space="preserve">odobritev </w:t>
      </w:r>
      <w:r w:rsidRPr="00F0436D">
        <w:rPr>
          <w:color w:val="000000"/>
        </w:rPr>
        <w:t>plačil za Evropski sklad za regionalni razvoj (ESRR) v višini 2 milijard EUR v povezavi s povečanjem sredstev za skupno kmetijsko politiko</w:t>
      </w:r>
      <w:r w:rsidR="00C00C65">
        <w:rPr>
          <w:color w:val="000000"/>
        </w:rPr>
        <w:t xml:space="preserve"> (SKP)</w:t>
      </w:r>
      <w:r w:rsidRPr="00F0436D">
        <w:rPr>
          <w:color w:val="000000"/>
        </w:rPr>
        <w:t xml:space="preserve"> v letošnji globalni prerazporeditvi (DEC 15/25)</w:t>
      </w:r>
      <w:r w:rsidR="009F09E2">
        <w:rPr>
          <w:color w:val="000000"/>
        </w:rPr>
        <w:t xml:space="preserve"> </w:t>
      </w:r>
      <w:r w:rsidR="00563018">
        <w:rPr>
          <w:color w:val="000000"/>
        </w:rPr>
        <w:t xml:space="preserve">kot </w:t>
      </w:r>
      <w:r w:rsidRPr="00F0436D">
        <w:rPr>
          <w:color w:val="000000"/>
        </w:rPr>
        <w:t xml:space="preserve">znamenje, da se je izvajanje programa po zaskrbljujočem počasnem začetku v obdobju 2021–2027 pospešilo; poudarja, da je </w:t>
      </w:r>
      <w:r w:rsidR="00563018">
        <w:rPr>
          <w:color w:val="000000"/>
        </w:rPr>
        <w:t>okrepitev</w:t>
      </w:r>
      <w:r w:rsidR="00563018" w:rsidRPr="00F0436D">
        <w:rPr>
          <w:color w:val="000000"/>
        </w:rPr>
        <w:t xml:space="preserve"> </w:t>
      </w:r>
      <w:r w:rsidRPr="00F0436D">
        <w:rPr>
          <w:color w:val="000000"/>
        </w:rPr>
        <w:t xml:space="preserve">strukturnih skladov in </w:t>
      </w:r>
      <w:r w:rsidR="00563018">
        <w:rPr>
          <w:color w:val="000000"/>
        </w:rPr>
        <w:t>odobritev za</w:t>
      </w:r>
      <w:r w:rsidR="00563018" w:rsidRPr="00F0436D">
        <w:rPr>
          <w:color w:val="000000"/>
        </w:rPr>
        <w:t xml:space="preserve"> </w:t>
      </w:r>
      <w:r w:rsidR="00C00C65">
        <w:rPr>
          <w:color w:val="000000"/>
        </w:rPr>
        <w:t>SKP</w:t>
      </w:r>
      <w:r w:rsidRPr="00F0436D">
        <w:rPr>
          <w:color w:val="000000"/>
        </w:rPr>
        <w:t xml:space="preserve"> ključn</w:t>
      </w:r>
      <w:r w:rsidR="00563018">
        <w:rPr>
          <w:color w:val="000000"/>
        </w:rPr>
        <w:t>a</w:t>
      </w:r>
      <w:r w:rsidRPr="00F0436D">
        <w:rPr>
          <w:color w:val="000000"/>
        </w:rPr>
        <w:t xml:space="preserve"> za kontinuiteto </w:t>
      </w:r>
      <w:r w:rsidR="003A5FC5">
        <w:rPr>
          <w:color w:val="000000"/>
        </w:rPr>
        <w:t xml:space="preserve">shem </w:t>
      </w:r>
      <w:r w:rsidRPr="00F0436D">
        <w:rPr>
          <w:color w:val="000000"/>
        </w:rPr>
        <w:t>kmetijsk</w:t>
      </w:r>
      <w:r w:rsidR="003A5FC5">
        <w:rPr>
          <w:color w:val="000000"/>
        </w:rPr>
        <w:t>ih</w:t>
      </w:r>
      <w:r w:rsidRPr="00F0436D">
        <w:rPr>
          <w:color w:val="000000"/>
        </w:rPr>
        <w:t xml:space="preserve"> podpor, </w:t>
      </w:r>
      <w:r w:rsidR="00563018">
        <w:rPr>
          <w:color w:val="000000"/>
        </w:rPr>
        <w:t xml:space="preserve">zagotavljanje </w:t>
      </w:r>
      <w:r w:rsidRPr="00F0436D">
        <w:rPr>
          <w:color w:val="000000"/>
        </w:rPr>
        <w:t>prehransk</w:t>
      </w:r>
      <w:r w:rsidR="00563018">
        <w:rPr>
          <w:color w:val="000000"/>
        </w:rPr>
        <w:t>e</w:t>
      </w:r>
      <w:r w:rsidRPr="00F0436D">
        <w:rPr>
          <w:color w:val="000000"/>
        </w:rPr>
        <w:t xml:space="preserve"> varnost</w:t>
      </w:r>
      <w:r w:rsidR="00563018">
        <w:rPr>
          <w:color w:val="000000"/>
        </w:rPr>
        <w:t>i</w:t>
      </w:r>
      <w:r w:rsidRPr="00F0436D">
        <w:rPr>
          <w:color w:val="000000"/>
        </w:rPr>
        <w:t xml:space="preserve"> in </w:t>
      </w:r>
      <w:r w:rsidR="00563018">
        <w:rPr>
          <w:color w:val="000000"/>
        </w:rPr>
        <w:t xml:space="preserve">spodbujanje </w:t>
      </w:r>
      <w:r w:rsidRPr="00F0436D">
        <w:rPr>
          <w:color w:val="000000"/>
        </w:rPr>
        <w:t>trajnostn</w:t>
      </w:r>
      <w:r w:rsidR="00563018">
        <w:rPr>
          <w:color w:val="000000"/>
        </w:rPr>
        <w:t>ega</w:t>
      </w:r>
      <w:r w:rsidRPr="00F0436D">
        <w:rPr>
          <w:color w:val="000000"/>
        </w:rPr>
        <w:t xml:space="preserve"> razvoj</w:t>
      </w:r>
      <w:r w:rsidR="00563018">
        <w:rPr>
          <w:color w:val="000000"/>
        </w:rPr>
        <w:t>a</w:t>
      </w:r>
      <w:r w:rsidRPr="00F0436D">
        <w:rPr>
          <w:color w:val="000000"/>
        </w:rPr>
        <w:t xml:space="preserve"> podeželja; ugotavlja, da so ti ukrepi še posebej pomembni za </w:t>
      </w:r>
      <w:r w:rsidR="003A5FC5">
        <w:rPr>
          <w:color w:val="000000"/>
        </w:rPr>
        <w:t xml:space="preserve">krepitev </w:t>
      </w:r>
      <w:r w:rsidRPr="00F0436D">
        <w:rPr>
          <w:color w:val="000000"/>
        </w:rPr>
        <w:t>odpornost</w:t>
      </w:r>
      <w:r w:rsidR="003A5FC5">
        <w:rPr>
          <w:color w:val="000000"/>
        </w:rPr>
        <w:t>i</w:t>
      </w:r>
      <w:r w:rsidRPr="00F0436D">
        <w:rPr>
          <w:color w:val="000000"/>
        </w:rPr>
        <w:t xml:space="preserve"> kmetijskega sektorja in </w:t>
      </w:r>
      <w:r w:rsidR="003A5FC5">
        <w:rPr>
          <w:color w:val="000000"/>
        </w:rPr>
        <w:t xml:space="preserve">ohranitev </w:t>
      </w:r>
      <w:r w:rsidRPr="00F0436D">
        <w:rPr>
          <w:color w:val="000000"/>
        </w:rPr>
        <w:t>socialno-ekonomsk</w:t>
      </w:r>
      <w:r w:rsidR="003A5FC5">
        <w:rPr>
          <w:color w:val="000000"/>
        </w:rPr>
        <w:t>ega</w:t>
      </w:r>
      <w:r w:rsidRPr="00F0436D">
        <w:rPr>
          <w:color w:val="000000"/>
        </w:rPr>
        <w:t xml:space="preserve"> ravnovesj</w:t>
      </w:r>
      <w:r w:rsidR="003A5FC5">
        <w:rPr>
          <w:color w:val="000000"/>
        </w:rPr>
        <w:t>a</w:t>
      </w:r>
      <w:r w:rsidRPr="00F0436D">
        <w:rPr>
          <w:color w:val="000000"/>
        </w:rPr>
        <w:t xml:space="preserve"> na podeželju; opozarja, da je to povečanje v globalni prerazporeditvi (DEC 15/2025) pospremljeno s prilagoditvijo </w:t>
      </w:r>
      <w:r w:rsidR="003A5FC5" w:rsidRPr="00F0436D">
        <w:rPr>
          <w:color w:val="000000"/>
        </w:rPr>
        <w:t>odobr</w:t>
      </w:r>
      <w:r w:rsidR="003A5FC5">
        <w:rPr>
          <w:color w:val="000000"/>
        </w:rPr>
        <w:t>itev</w:t>
      </w:r>
      <w:r w:rsidR="003A5FC5" w:rsidRPr="00F0436D">
        <w:rPr>
          <w:color w:val="000000"/>
        </w:rPr>
        <w:t xml:space="preserve"> </w:t>
      </w:r>
      <w:r w:rsidRPr="00F0436D">
        <w:rPr>
          <w:color w:val="000000"/>
        </w:rPr>
        <w:t>plačil;</w:t>
      </w:r>
    </w:p>
    <w:p w14:paraId="39135F8F" w14:textId="63F98A68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3.</w:t>
      </w:r>
      <w:r w:rsidRPr="00F0436D">
        <w:rPr>
          <w:color w:val="000000"/>
        </w:rPr>
        <w:tab/>
        <w:t xml:space="preserve">znova poziva k pospešenemu izvajanju ukrepov v okviru ESRR, ESS+ in </w:t>
      </w:r>
      <w:r w:rsidR="003A5FC5">
        <w:rPr>
          <w:color w:val="000000"/>
        </w:rPr>
        <w:t>I</w:t>
      </w:r>
      <w:r w:rsidRPr="00F0436D">
        <w:rPr>
          <w:color w:val="000000"/>
        </w:rPr>
        <w:t xml:space="preserve">nstrumenta za finančno podporo za upravljanje meja in vizumsko politiko; pozdravlja, da je bila </w:t>
      </w:r>
      <w:r w:rsidRPr="00F0436D">
        <w:rPr>
          <w:color w:val="000000"/>
        </w:rPr>
        <w:lastRenderedPageBreak/>
        <w:t xml:space="preserve">platforma za strateške tehnologije za Evropo (STEP) uvedena prej, kot je bilo predvideno; </w:t>
      </w:r>
      <w:r w:rsidRPr="00F0436D">
        <w:t xml:space="preserve">pričakuje, da bodo </w:t>
      </w:r>
      <w:sdt>
        <w:sdtPr>
          <w:tag w:val="goog_rdk_2"/>
          <w:id w:val="1285891827"/>
        </w:sdtPr>
        <w:sdtEndPr/>
        <w:sdtContent>
          <w:r w:rsidRPr="00F0436D">
            <w:t>dodatna plačila</w:t>
          </w:r>
        </w:sdtContent>
      </w:sdt>
      <w:r w:rsidRPr="00F0436D">
        <w:t xml:space="preserve"> iz platforme STEP v višini več kot 3 milijarde EUR hitro in učinkovito porabljena za specifične cilje iz zadevnih temeljnih aktov;</w:t>
      </w:r>
    </w:p>
    <w:p w14:paraId="3745D38E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4.</w:t>
      </w:r>
      <w:r w:rsidRPr="00F0436D">
        <w:rPr>
          <w:color w:val="000000"/>
        </w:rPr>
        <w:tab/>
        <w:t>je seznanjen z najnovejšim stanjem v zvezi s sporazumi o partnerstvu o trajnostnem ribištvu in pozdravlja dejstvo, da ima proračunski organ v skladu z ustreznimi določbami medinstitucionalnega sporazuma dejavno vlogo pri sprostitvi proračunskih sredstev iz rezerve, glede na to, da bodo ustrezni mednarodni izvedbeni protokoli začeli veljati in se uporabljati;</w:t>
      </w:r>
    </w:p>
    <w:p w14:paraId="0CD1C9ED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5.</w:t>
      </w:r>
      <w:r w:rsidRPr="00F0436D">
        <w:rPr>
          <w:color w:val="000000"/>
        </w:rPr>
        <w:tab/>
        <w:t>obžaluje, da so bile zmanjšane obveznosti (78 milijonov EUR) in plačila (48 milijonov EUR) za instrument za opremo za carinske kontrole (CCEI) zaradi zamud pri izvajanju v državah članicah v časih, ko bi morali sodelovanje in naložbe na tem področju cveteti;</w:t>
      </w:r>
    </w:p>
    <w:p w14:paraId="673C4CAE" w14:textId="20D2B706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6.</w:t>
      </w:r>
      <w:r w:rsidRPr="00F0436D">
        <w:rPr>
          <w:color w:val="000000"/>
        </w:rPr>
        <w:tab/>
        <w:t xml:space="preserve">pozdravlja prihranke pri obveznostih </w:t>
      </w:r>
      <w:r w:rsidR="00B03B4D">
        <w:rPr>
          <w:color w:val="000000"/>
        </w:rPr>
        <w:t>(</w:t>
      </w:r>
      <w:r w:rsidR="00B03B4D" w:rsidRPr="00F0436D">
        <w:rPr>
          <w:color w:val="000000"/>
        </w:rPr>
        <w:t>5 milijonov EUR</w:t>
      </w:r>
      <w:r w:rsidR="00B03B4D">
        <w:rPr>
          <w:color w:val="000000"/>
        </w:rPr>
        <w:t>)</w:t>
      </w:r>
      <w:r w:rsidR="00B03B4D" w:rsidRPr="00F0436D">
        <w:rPr>
          <w:color w:val="000000"/>
        </w:rPr>
        <w:t xml:space="preserve"> </w:t>
      </w:r>
      <w:r w:rsidRPr="00F0436D">
        <w:rPr>
          <w:color w:val="000000"/>
        </w:rPr>
        <w:t xml:space="preserve">za </w:t>
      </w:r>
      <w:r w:rsidR="00B03B4D">
        <w:rPr>
          <w:color w:val="000000"/>
        </w:rPr>
        <w:t>I</w:t>
      </w:r>
      <w:r w:rsidRPr="00F0436D">
        <w:rPr>
          <w:color w:val="000000"/>
        </w:rPr>
        <w:t>nstrument za tehnično podporo zaradi večje učinkovitosti konkurenčnih postopkov javnega naročanja;</w:t>
      </w:r>
    </w:p>
    <w:p w14:paraId="0F56A946" w14:textId="3B383874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7.</w:t>
      </w:r>
      <w:r w:rsidRPr="00F0436D">
        <w:rPr>
          <w:color w:val="000000"/>
        </w:rPr>
        <w:tab/>
      </w:r>
      <w:sdt>
        <w:sdtPr>
          <w:tag w:val="goog_rdk_4"/>
          <w:id w:val="438155605"/>
        </w:sdtPr>
        <w:sdtEndPr/>
        <w:sdtContent>
          <w:sdt>
            <w:sdtPr>
              <w:tag w:val="goog_rdk_5"/>
              <w:id w:val="557417589"/>
            </w:sdtPr>
            <w:sdtEndPr/>
            <w:sdtContent>
              <w:r w:rsidRPr="00F0436D">
                <w:t>je seznanjen</w:t>
              </w:r>
            </w:sdtContent>
          </w:sdt>
        </w:sdtContent>
      </w:sdt>
      <w:r w:rsidRPr="00F0436D">
        <w:t xml:space="preserve"> s hitrostjo izvajanja reform in sorazmerno upočasnitvijo črpanja plačil v okviru instrumenta za Ukrajino;</w:t>
      </w:r>
      <w:r w:rsidRPr="00F0436D">
        <w:rPr>
          <w:color w:val="000000"/>
        </w:rPr>
        <w:t xml:space="preserve"> </w:t>
      </w:r>
      <w:r w:rsidRPr="00F0436D">
        <w:t xml:space="preserve">priznava, da se </w:t>
      </w:r>
      <w:sdt>
        <w:sdtPr>
          <w:tag w:val="goog_rdk_7"/>
          <w:id w:val="1769977353"/>
        </w:sdtPr>
        <w:sdtEndPr/>
        <w:sdtContent>
          <w:r w:rsidRPr="00F0436D">
            <w:t>lahko</w:t>
          </w:r>
        </w:sdtContent>
      </w:sdt>
      <w:r w:rsidRPr="00F0436D">
        <w:t xml:space="preserve"> </w:t>
      </w:r>
      <w:proofErr w:type="spellStart"/>
      <w:r w:rsidRPr="00F0436D">
        <w:t>nepočrpana</w:t>
      </w:r>
      <w:proofErr w:type="spellEnd"/>
      <w:r w:rsidRPr="00F0436D">
        <w:t xml:space="preserve"> proračunska sredstva deloma prenesejo v naslednje proračunsko leto;</w:t>
      </w:r>
      <w:r w:rsidRPr="00F0436D">
        <w:rPr>
          <w:color w:val="000000"/>
        </w:rPr>
        <w:t xml:space="preserve"> spodbuja vse udeležene akterje, naj dosežejo napredek pri ukrepih, povezanih z reformami in naložbami, kot so sporazumi o </w:t>
      </w:r>
      <w:r w:rsidR="006F3B84">
        <w:rPr>
          <w:color w:val="000000"/>
        </w:rPr>
        <w:t>mešanem financiranju</w:t>
      </w:r>
      <w:r w:rsidRPr="00F0436D">
        <w:rPr>
          <w:color w:val="000000"/>
        </w:rPr>
        <w:t>;</w:t>
      </w:r>
    </w:p>
    <w:p w14:paraId="0AA891CA" w14:textId="0106F0C8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8.</w:t>
      </w:r>
      <w:r w:rsidRPr="00F0436D">
        <w:rPr>
          <w:color w:val="000000"/>
        </w:rPr>
        <w:tab/>
        <w:t>je seznanjen s prilagoditvijo prispevkov Unije za nekatere decentralizirane agencije; meni, da je prilagoditev večinoma tehnične narave; jo pozdravlja v primerih, ko optimizira uporabo sredstev v operativnih vrsticah, na primer za program LIFE, Sklad za azil</w:t>
      </w:r>
      <w:r w:rsidR="006F3B84">
        <w:rPr>
          <w:color w:val="000000"/>
        </w:rPr>
        <w:t xml:space="preserve">, </w:t>
      </w:r>
      <w:r w:rsidRPr="00F0436D">
        <w:rPr>
          <w:color w:val="000000"/>
        </w:rPr>
        <w:t xml:space="preserve">migracije </w:t>
      </w:r>
      <w:r w:rsidR="006F3B84">
        <w:rPr>
          <w:color w:val="000000"/>
        </w:rPr>
        <w:t xml:space="preserve">in vključevanje </w:t>
      </w:r>
      <w:r w:rsidRPr="00F0436D">
        <w:rPr>
          <w:color w:val="000000"/>
        </w:rPr>
        <w:t xml:space="preserve">ter program </w:t>
      </w:r>
      <w:r w:rsidR="006F3B84">
        <w:rPr>
          <w:color w:val="000000"/>
        </w:rPr>
        <w:t>E</w:t>
      </w:r>
      <w:r w:rsidRPr="00F0436D">
        <w:rPr>
          <w:color w:val="000000"/>
        </w:rPr>
        <w:t xml:space="preserve">notni trg; obžaluje pa, da so glavni razlog za „vračilo“ </w:t>
      </w:r>
      <w:r w:rsidR="006F3B84">
        <w:rPr>
          <w:color w:val="000000"/>
        </w:rPr>
        <w:t>odobritev</w:t>
      </w:r>
      <w:r w:rsidRPr="00F0436D">
        <w:rPr>
          <w:color w:val="000000"/>
        </w:rPr>
        <w:t xml:space="preserve"> za </w:t>
      </w:r>
      <w:r w:rsidR="006F3B84">
        <w:rPr>
          <w:color w:val="000000"/>
        </w:rPr>
        <w:t xml:space="preserve">prevzem </w:t>
      </w:r>
      <w:r w:rsidRPr="00F0436D">
        <w:rPr>
          <w:color w:val="000000"/>
        </w:rPr>
        <w:t xml:space="preserve">obveznosti in </w:t>
      </w:r>
      <w:r w:rsidR="006F3B84">
        <w:rPr>
          <w:color w:val="000000"/>
        </w:rPr>
        <w:t xml:space="preserve">odobritev </w:t>
      </w:r>
      <w:r w:rsidRPr="00F0436D">
        <w:rPr>
          <w:color w:val="000000"/>
        </w:rPr>
        <w:t xml:space="preserve">plačil iz ustreznih vrstic agencij v povezane programske vrstice zamude pri zaposlovanju </w:t>
      </w:r>
      <w:r w:rsidR="009217E3">
        <w:rPr>
          <w:color w:val="000000"/>
        </w:rPr>
        <w:t xml:space="preserve">osebja </w:t>
      </w:r>
      <w:r w:rsidRPr="00F0436D">
        <w:rPr>
          <w:color w:val="000000"/>
        </w:rPr>
        <w:t xml:space="preserve">ali </w:t>
      </w:r>
      <w:r w:rsidR="009217E3">
        <w:rPr>
          <w:color w:val="000000"/>
        </w:rPr>
        <w:t xml:space="preserve">zamude pri </w:t>
      </w:r>
      <w:r w:rsidRPr="00F0436D">
        <w:rPr>
          <w:color w:val="000000"/>
        </w:rPr>
        <w:t>uvajanju novih političnih in zakonodajnih pobud, kot so strategija za naložbe malih vlagateljev (</w:t>
      </w:r>
      <w:r w:rsidR="009217E3">
        <w:rPr>
          <w:color w:val="000000"/>
        </w:rPr>
        <w:t xml:space="preserve">ki zadeva </w:t>
      </w:r>
      <w:r w:rsidRPr="00F0436D">
        <w:rPr>
          <w:color w:val="000000"/>
        </w:rPr>
        <w:t>agenciji ESMA in EIOPA), pakt o azilu in migracijah (</w:t>
      </w:r>
      <w:r w:rsidR="009217E3">
        <w:rPr>
          <w:color w:val="000000"/>
        </w:rPr>
        <w:t xml:space="preserve">ki zadeva </w:t>
      </w:r>
      <w:r w:rsidRPr="00F0436D">
        <w:rPr>
          <w:color w:val="000000"/>
        </w:rPr>
        <w:t>agencij</w:t>
      </w:r>
      <w:r w:rsidR="009217E3">
        <w:rPr>
          <w:color w:val="000000"/>
        </w:rPr>
        <w:t>o</w:t>
      </w:r>
      <w:r w:rsidRPr="00F0436D">
        <w:rPr>
          <w:color w:val="000000"/>
        </w:rPr>
        <w:t xml:space="preserve"> EUAA), sveženj o pomorski varnosti (</w:t>
      </w:r>
      <w:r w:rsidR="009217E3">
        <w:rPr>
          <w:color w:val="000000"/>
        </w:rPr>
        <w:t xml:space="preserve">ki zadeva </w:t>
      </w:r>
      <w:r w:rsidRPr="00F0436D">
        <w:rPr>
          <w:color w:val="000000"/>
        </w:rPr>
        <w:t>agencij</w:t>
      </w:r>
      <w:r w:rsidR="009217E3">
        <w:rPr>
          <w:color w:val="000000"/>
        </w:rPr>
        <w:t>o</w:t>
      </w:r>
      <w:r w:rsidRPr="00F0436D">
        <w:rPr>
          <w:color w:val="000000"/>
        </w:rPr>
        <w:t xml:space="preserve"> EMSA) in predlog o novih </w:t>
      </w:r>
      <w:proofErr w:type="spellStart"/>
      <w:r w:rsidRPr="00F0436D">
        <w:rPr>
          <w:color w:val="000000"/>
        </w:rPr>
        <w:t>genomskih</w:t>
      </w:r>
      <w:proofErr w:type="spellEnd"/>
      <w:r w:rsidRPr="00F0436D">
        <w:rPr>
          <w:color w:val="000000"/>
        </w:rPr>
        <w:t xml:space="preserve"> tehnikah (</w:t>
      </w:r>
      <w:r w:rsidR="009217E3">
        <w:rPr>
          <w:color w:val="000000"/>
        </w:rPr>
        <w:t xml:space="preserve">ki zadeva </w:t>
      </w:r>
      <w:r w:rsidRPr="00F0436D">
        <w:rPr>
          <w:color w:val="000000"/>
        </w:rPr>
        <w:t>agencij</w:t>
      </w:r>
      <w:r w:rsidR="009217E3">
        <w:rPr>
          <w:color w:val="000000"/>
        </w:rPr>
        <w:t>o</w:t>
      </w:r>
      <w:r w:rsidRPr="00F0436D">
        <w:rPr>
          <w:color w:val="000000"/>
        </w:rPr>
        <w:t xml:space="preserve"> EFSA);</w:t>
      </w:r>
    </w:p>
    <w:p w14:paraId="7FED9E10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9.</w:t>
      </w:r>
      <w:r w:rsidRPr="00F0436D">
        <w:rPr>
          <w:color w:val="000000"/>
        </w:rPr>
        <w:tab/>
        <w:t xml:space="preserve">v zvezi s tem poudarja in ponovno izraža odločno podporo novoustanovljenemu organu za preprečevanje pranja denarja (AMLA) v revidiranem okviru za preprečevanje pranja denarja na ravni Unije; </w:t>
      </w:r>
      <w:r w:rsidRPr="00F0436D">
        <w:t xml:space="preserve">je še vedno zelo zaskrbljen zaradi stalnih zamud v fazi vzpostavljanja, zlasti v zvezi z zaposlovanjem, </w:t>
      </w:r>
      <w:sdt>
        <w:sdtPr>
          <w:tag w:val="goog_rdk_18"/>
          <w:id w:val="-1528576562"/>
        </w:sdtPr>
        <w:sdtEndPr/>
        <w:sdtContent>
          <w:r w:rsidRPr="00F0436D">
            <w:t>in poziva k pospešitvi postopkov zaposlovanja</w:t>
          </w:r>
        </w:sdtContent>
      </w:sdt>
      <w:r w:rsidRPr="00F0436D">
        <w:t>;</w:t>
      </w:r>
    </w:p>
    <w:p w14:paraId="59D5C80B" w14:textId="319CE4E0" w:rsidR="001113C9" w:rsidRPr="00F0436D" w:rsidRDefault="00D77AF7" w:rsidP="001113C9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1113C9" w:rsidRPr="00F0436D">
        <w:rPr>
          <w:color w:val="000000"/>
        </w:rPr>
        <w:t>10.</w:t>
      </w:r>
      <w:r w:rsidR="001113C9" w:rsidRPr="00F0436D">
        <w:rPr>
          <w:color w:val="000000"/>
        </w:rPr>
        <w:tab/>
        <w:t xml:space="preserve">pozdravlja, da so bili v proračun vključeni dodatni prihodki iz dokončnih glob in denarnih kazni v višini 1 185,1 milijona EUR; meni, da ti prihodki izhajajo iz resničnih virov Unije, ki zmanjšujejo prispevke držav članic iz naslova BND; v zvezi s tem spominja, da je Komisija predlagala spremembe za </w:t>
      </w:r>
      <w:r w:rsidR="00C00C65">
        <w:rPr>
          <w:color w:val="000000"/>
        </w:rPr>
        <w:t xml:space="preserve">obdobje </w:t>
      </w:r>
      <w:r w:rsidR="00C00C65" w:rsidRPr="00F0436D">
        <w:rPr>
          <w:color w:val="000000"/>
        </w:rPr>
        <w:t>naslednj</w:t>
      </w:r>
      <w:r w:rsidR="00C00C65">
        <w:rPr>
          <w:color w:val="000000"/>
        </w:rPr>
        <w:t xml:space="preserve">ega </w:t>
      </w:r>
      <w:r w:rsidR="00C00C65" w:rsidRPr="00F0436D">
        <w:rPr>
          <w:color w:val="000000"/>
        </w:rPr>
        <w:t>večletn</w:t>
      </w:r>
      <w:r w:rsidR="00C00C65">
        <w:rPr>
          <w:color w:val="000000"/>
        </w:rPr>
        <w:t>ega</w:t>
      </w:r>
      <w:r w:rsidR="00C00C65" w:rsidRPr="00F0436D">
        <w:rPr>
          <w:color w:val="000000"/>
        </w:rPr>
        <w:t xml:space="preserve"> finančn</w:t>
      </w:r>
      <w:r w:rsidR="00C00C65">
        <w:rPr>
          <w:color w:val="000000"/>
        </w:rPr>
        <w:t xml:space="preserve">ega </w:t>
      </w:r>
      <w:r w:rsidR="001113C9" w:rsidRPr="00F0436D">
        <w:rPr>
          <w:color w:val="000000"/>
        </w:rPr>
        <w:t>okvir</w:t>
      </w:r>
      <w:r w:rsidR="00C00C65">
        <w:rPr>
          <w:color w:val="000000"/>
        </w:rPr>
        <w:t>a</w:t>
      </w:r>
      <w:r w:rsidR="001113C9" w:rsidRPr="00F0436D">
        <w:rPr>
          <w:color w:val="000000"/>
        </w:rPr>
        <w:t>, da bodo takšni nepričakovani prihodki lahko pretvorjeni v dodatna odobrena sredstva za odhodke;</w:t>
      </w:r>
    </w:p>
    <w:p w14:paraId="79682E20" w14:textId="6F7F2A6A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11.</w:t>
      </w:r>
      <w:r w:rsidRPr="00F0436D">
        <w:rPr>
          <w:color w:val="000000"/>
        </w:rPr>
        <w:tab/>
        <w:t xml:space="preserve">je seznanjen s predlogom, da se ocenjeni </w:t>
      </w:r>
      <w:r w:rsidR="008F5051">
        <w:rPr>
          <w:color w:val="000000"/>
        </w:rPr>
        <w:t>„</w:t>
      </w:r>
      <w:r w:rsidRPr="00F0436D">
        <w:rPr>
          <w:color w:val="000000"/>
        </w:rPr>
        <w:t>presežek tradicionalnih lastnih sredstev</w:t>
      </w:r>
      <w:r w:rsidR="008F5051">
        <w:rPr>
          <w:color w:val="000000"/>
        </w:rPr>
        <w:t>“</w:t>
      </w:r>
      <w:r w:rsidRPr="00F0436D">
        <w:rPr>
          <w:color w:val="000000"/>
        </w:rPr>
        <w:t xml:space="preserve"> v višini 1 300 milijonov EUR vključi v proračun; izraža dvome o prednostih </w:t>
      </w:r>
      <w:r w:rsidRPr="00F0436D">
        <w:rPr>
          <w:color w:val="000000"/>
        </w:rPr>
        <w:lastRenderedPageBreak/>
        <w:t>ponavljajočih se posodobitev prihodkov od carin med proračunskim letom, zlasti mimo posebne letne spremembe proračuna, namenjene posodobitvi in popravkom prihodkovne strani;</w:t>
      </w:r>
    </w:p>
    <w:p w14:paraId="2CBE838D" w14:textId="5F2CC754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t>12.</w:t>
      </w:r>
      <w:r w:rsidRPr="00F0436D">
        <w:tab/>
        <w:t xml:space="preserve">je seznanjen z zadnjimi podatki o prilagoditvi plač za leto 2025 in se strinja, da se proračunski učinek teh prilagoditev kot tehnična sprememba vključi v predlog spremembe proračuna </w:t>
      </w:r>
      <w:r w:rsidR="00864826">
        <w:t>št. </w:t>
      </w:r>
      <w:r w:rsidRPr="00F0436D">
        <w:t>3/2025; ugotavlja, da to pomeni zmanjšanje nediferenciranih sredstev za skupaj 78,8 milijona EUR v ustreznih proračunskih vrsticah in oddelkih v razdelku 7;</w:t>
      </w:r>
    </w:p>
    <w:p w14:paraId="23C990DD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13.</w:t>
      </w:r>
      <w:r w:rsidRPr="00F0436D">
        <w:rPr>
          <w:color w:val="000000"/>
        </w:rPr>
        <w:tab/>
        <w:t>odobri stališče Sveta o predlogu spremembe proračuna št. 3/2025;</w:t>
      </w:r>
    </w:p>
    <w:p w14:paraId="06C7438F" w14:textId="77777777" w:rsidR="001113C9" w:rsidRPr="00F0436D" w:rsidRDefault="001113C9" w:rsidP="001113C9">
      <w:pPr>
        <w:spacing w:after="240"/>
        <w:ind w:left="567" w:hanging="567"/>
        <w:rPr>
          <w:color w:val="000000"/>
        </w:rPr>
      </w:pPr>
      <w:r w:rsidRPr="00F0436D">
        <w:rPr>
          <w:color w:val="000000"/>
        </w:rPr>
        <w:t>14.</w:t>
      </w:r>
      <w:r w:rsidRPr="00F0436D">
        <w:rPr>
          <w:color w:val="000000"/>
        </w:rPr>
        <w:tab/>
        <w:t xml:space="preserve">naroči svoji predsednici, naj razglasi, da je sprememba proračuna št. 3/2025 dokončno sprejeta, in poskrbi za njeno objavo v </w:t>
      </w:r>
      <w:r w:rsidRPr="00F0436D">
        <w:rPr>
          <w:i/>
          <w:iCs/>
          <w:color w:val="000000"/>
        </w:rPr>
        <w:t>Uradnem listu Evropske unije</w:t>
      </w:r>
      <w:r w:rsidRPr="00F0436D">
        <w:rPr>
          <w:color w:val="000000"/>
        </w:rPr>
        <w:t>;</w:t>
      </w:r>
    </w:p>
    <w:p w14:paraId="6833A339" w14:textId="7AE6679C" w:rsidR="00E365E1" w:rsidRPr="00F0436D" w:rsidRDefault="001113C9" w:rsidP="00364FB0">
      <w:pPr>
        <w:spacing w:after="240"/>
        <w:ind w:left="567" w:hanging="567"/>
      </w:pPr>
      <w:r w:rsidRPr="00F0436D">
        <w:rPr>
          <w:color w:val="000000"/>
        </w:rPr>
        <w:t>15.</w:t>
      </w:r>
      <w:r w:rsidRPr="00F0436D">
        <w:rPr>
          <w:color w:val="000000"/>
        </w:rPr>
        <w:tab/>
        <w:t>naroči svoji predsednici, naj to resolucijo posreduje Svetu in Komisiji ter nacionalnim parlamentom.</w:t>
      </w:r>
    </w:p>
    <w:sectPr w:rsidR="00E365E1" w:rsidRPr="00F0436D" w:rsidSect="00F043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65714" w14:textId="77777777" w:rsidR="000A4568" w:rsidRPr="00F0436D" w:rsidRDefault="000A4568">
      <w:r w:rsidRPr="00F0436D">
        <w:separator/>
      </w:r>
    </w:p>
  </w:endnote>
  <w:endnote w:type="continuationSeparator" w:id="0">
    <w:p w14:paraId="0561CFB6" w14:textId="77777777" w:rsidR="000A4568" w:rsidRPr="00F0436D" w:rsidRDefault="000A4568">
      <w:r w:rsidRPr="00F043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BB14" w14:textId="77777777" w:rsidR="00064002" w:rsidRPr="00F043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93191" w14:textId="77777777" w:rsidR="00064002" w:rsidRPr="00F043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C4997" w14:textId="77777777" w:rsidR="00064002" w:rsidRPr="00F043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347F6" w14:textId="77777777" w:rsidR="000A4568" w:rsidRPr="00F0436D" w:rsidRDefault="000A4568">
      <w:r w:rsidRPr="00F0436D">
        <w:separator/>
      </w:r>
    </w:p>
  </w:footnote>
  <w:footnote w:type="continuationSeparator" w:id="0">
    <w:p w14:paraId="2918605D" w14:textId="77777777" w:rsidR="000A4568" w:rsidRPr="00F0436D" w:rsidRDefault="000A4568">
      <w:r w:rsidRPr="00F0436D">
        <w:continuationSeparator/>
      </w:r>
    </w:p>
  </w:footnote>
  <w:footnote w:id="1">
    <w:p w14:paraId="71A492AA" w14:textId="34E16A4F" w:rsidR="001113C9" w:rsidRPr="00F0436D" w:rsidRDefault="001113C9" w:rsidP="00F0436D">
      <w:pPr>
        <w:pStyle w:val="FootnoteText"/>
        <w:ind w:left="567" w:hanging="567"/>
        <w:rPr>
          <w:sz w:val="24"/>
          <w:lang w:val="sl-SI"/>
        </w:rPr>
      </w:pPr>
      <w:r w:rsidRPr="00F0436D">
        <w:rPr>
          <w:rStyle w:val="FootnoteReference"/>
          <w:sz w:val="24"/>
          <w:lang w:val="sl-SI"/>
        </w:rPr>
        <w:footnoteRef/>
      </w:r>
      <w:r w:rsidR="00F0436D" w:rsidRPr="00F0436D">
        <w:rPr>
          <w:sz w:val="24"/>
          <w:lang w:val="sl-SI"/>
        </w:rPr>
        <w:t xml:space="preserve"> </w:t>
      </w:r>
      <w:r w:rsidR="00F0436D" w:rsidRPr="00F0436D">
        <w:rPr>
          <w:sz w:val="24"/>
          <w:lang w:val="sl-SI"/>
        </w:rPr>
        <w:tab/>
      </w:r>
      <w:r w:rsidRPr="00F0436D">
        <w:rPr>
          <w:sz w:val="24"/>
          <w:lang w:val="sl-SI"/>
        </w:rPr>
        <w:t xml:space="preserve">UL L, 2024/2509, 26.9.2024, ELI: </w:t>
      </w:r>
      <w:hyperlink r:id="rId1" w:history="1">
        <w:r w:rsidRPr="00F0436D">
          <w:rPr>
            <w:rStyle w:val="Hyperlink"/>
            <w:sz w:val="24"/>
            <w:lang w:val="sl-SI"/>
          </w:rPr>
          <w:t>http://data.europa.eu/eli/reg/2024/2509/oj</w:t>
        </w:r>
      </w:hyperlink>
      <w:r w:rsidRPr="00F0436D">
        <w:rPr>
          <w:sz w:val="24"/>
          <w:lang w:val="sl-SI"/>
        </w:rPr>
        <w:t>.</w:t>
      </w:r>
    </w:p>
  </w:footnote>
  <w:footnote w:id="2">
    <w:p w14:paraId="519B87DB" w14:textId="2383294A" w:rsidR="001113C9" w:rsidRPr="00F0436D" w:rsidRDefault="001113C9" w:rsidP="00F0436D">
      <w:pPr>
        <w:pStyle w:val="FootnoteText"/>
        <w:ind w:left="567" w:hanging="567"/>
        <w:rPr>
          <w:sz w:val="24"/>
          <w:lang w:val="sl-SI"/>
        </w:rPr>
      </w:pPr>
      <w:r w:rsidRPr="00F0436D">
        <w:rPr>
          <w:rStyle w:val="FootnoteReference"/>
          <w:sz w:val="24"/>
          <w:lang w:val="sl-SI"/>
        </w:rPr>
        <w:footnoteRef/>
      </w:r>
      <w:r w:rsidR="00F0436D" w:rsidRPr="00F0436D">
        <w:rPr>
          <w:sz w:val="24"/>
          <w:lang w:val="sl-SI"/>
        </w:rPr>
        <w:t xml:space="preserve"> </w:t>
      </w:r>
      <w:r w:rsidR="00F0436D" w:rsidRPr="00F0436D">
        <w:rPr>
          <w:sz w:val="24"/>
          <w:lang w:val="sl-SI"/>
        </w:rPr>
        <w:tab/>
      </w:r>
      <w:r w:rsidRPr="00F0436D">
        <w:rPr>
          <w:sz w:val="24"/>
          <w:lang w:val="sl-SI"/>
        </w:rPr>
        <w:t xml:space="preserve">UL L, 2025/31, 27.2.2025, ELI: </w:t>
      </w:r>
      <w:hyperlink r:id="rId2" w:history="1">
        <w:r w:rsidRPr="00F0436D">
          <w:rPr>
            <w:rStyle w:val="Hyperlink"/>
            <w:sz w:val="24"/>
            <w:lang w:val="sl-SI"/>
          </w:rPr>
          <w:t>http://data.europa.eu/eli/budget/2025/31/oj</w:t>
        </w:r>
      </w:hyperlink>
      <w:r w:rsidRPr="00F0436D">
        <w:rPr>
          <w:rStyle w:val="Hyperlink"/>
          <w:sz w:val="24"/>
          <w:lang w:val="sl-SI"/>
        </w:rPr>
        <w:t>.</w:t>
      </w:r>
    </w:p>
  </w:footnote>
  <w:footnote w:id="3">
    <w:p w14:paraId="56B7BF63" w14:textId="4C31491B" w:rsidR="001113C9" w:rsidRPr="00F0436D" w:rsidRDefault="001113C9" w:rsidP="00F0436D">
      <w:pPr>
        <w:pStyle w:val="FootnoteText"/>
        <w:ind w:left="567" w:hanging="567"/>
        <w:rPr>
          <w:sz w:val="24"/>
          <w:lang w:val="sl-SI"/>
        </w:rPr>
      </w:pPr>
      <w:r w:rsidRPr="00F0436D">
        <w:rPr>
          <w:rStyle w:val="FootnoteReference"/>
          <w:sz w:val="24"/>
          <w:lang w:val="sl-SI"/>
        </w:rPr>
        <w:footnoteRef/>
      </w:r>
      <w:r w:rsidR="00F0436D" w:rsidRPr="00F0436D">
        <w:rPr>
          <w:sz w:val="24"/>
          <w:lang w:val="sl-SI"/>
        </w:rPr>
        <w:t xml:space="preserve"> </w:t>
      </w:r>
      <w:r w:rsidR="00F0436D" w:rsidRPr="00F0436D">
        <w:rPr>
          <w:sz w:val="24"/>
          <w:lang w:val="sl-SI"/>
        </w:rPr>
        <w:tab/>
      </w:r>
      <w:r w:rsidRPr="00F0436D">
        <w:rPr>
          <w:sz w:val="24"/>
          <w:lang w:val="sl-SI"/>
        </w:rPr>
        <w:t xml:space="preserve">UL L 433 I, 22.12.2020, str. 11, ELI: </w:t>
      </w:r>
      <w:r w:rsidR="00D77AF7">
        <w:fldChar w:fldCharType="begin"/>
      </w:r>
      <w:r w:rsidR="00D77AF7" w:rsidRPr="00D77AF7">
        <w:rPr>
          <w:lang w:val="pl-PL"/>
        </w:rPr>
        <w:instrText>HYPERLINK "http://data.europa.eu/eli/reg/2020/433/oj"</w:instrText>
      </w:r>
      <w:r w:rsidR="00D77AF7">
        <w:fldChar w:fldCharType="separate"/>
      </w:r>
      <w:r w:rsidRPr="00F0436D">
        <w:rPr>
          <w:rStyle w:val="Hyperlink"/>
          <w:sz w:val="24"/>
          <w:lang w:val="sl-SI"/>
        </w:rPr>
        <w:t>http://data.europa.eu/eli/reg/2020/433/oj</w:t>
      </w:r>
      <w:r w:rsidR="00D77AF7">
        <w:rPr>
          <w:rStyle w:val="Hyperlink"/>
          <w:sz w:val="24"/>
          <w:lang w:val="sl-SI"/>
        </w:rPr>
        <w:fldChar w:fldCharType="end"/>
      </w:r>
      <w:r w:rsidRPr="00F0436D">
        <w:rPr>
          <w:sz w:val="24"/>
          <w:lang w:val="sl-SI"/>
        </w:rPr>
        <w:t>.</w:t>
      </w:r>
    </w:p>
  </w:footnote>
  <w:footnote w:id="4">
    <w:p w14:paraId="62362935" w14:textId="20652264" w:rsidR="001113C9" w:rsidRPr="00F0436D" w:rsidRDefault="001113C9" w:rsidP="00F0436D">
      <w:pPr>
        <w:pStyle w:val="FootnoteText"/>
        <w:ind w:left="567" w:hanging="567"/>
        <w:rPr>
          <w:sz w:val="24"/>
          <w:lang w:val="sl-SI"/>
        </w:rPr>
      </w:pPr>
      <w:r w:rsidRPr="00F0436D">
        <w:rPr>
          <w:rStyle w:val="FootnoteReference"/>
          <w:sz w:val="24"/>
          <w:lang w:val="sl-SI"/>
        </w:rPr>
        <w:footnoteRef/>
      </w:r>
      <w:r w:rsidR="00F0436D" w:rsidRPr="00F0436D">
        <w:rPr>
          <w:sz w:val="24"/>
          <w:lang w:val="sl-SI"/>
        </w:rPr>
        <w:t xml:space="preserve"> </w:t>
      </w:r>
      <w:r w:rsidR="00F0436D" w:rsidRPr="00F0436D">
        <w:rPr>
          <w:sz w:val="24"/>
          <w:lang w:val="sl-SI"/>
        </w:rPr>
        <w:tab/>
      </w:r>
      <w:r w:rsidRPr="00F0436D">
        <w:rPr>
          <w:sz w:val="24"/>
          <w:lang w:val="sl-SI"/>
        </w:rPr>
        <w:t xml:space="preserve">UL L 433 I, 22.12.2020, str. 28, ELI: </w:t>
      </w:r>
      <w:r w:rsidR="00D77AF7">
        <w:fldChar w:fldCharType="begin"/>
      </w:r>
      <w:r w:rsidR="00D77AF7" w:rsidRPr="00D77AF7">
        <w:rPr>
          <w:lang w:val="pl-PL"/>
        </w:rPr>
        <w:instrText>HYPERLINK "http://data.europa.eu/eli/agree_interinstit/2020/1222/oj"</w:instrText>
      </w:r>
      <w:r w:rsidR="00D77AF7">
        <w:fldChar w:fldCharType="separate"/>
      </w:r>
      <w:r w:rsidRPr="00F0436D">
        <w:rPr>
          <w:rStyle w:val="Hyperlink"/>
          <w:sz w:val="24"/>
          <w:lang w:val="sl-SI"/>
        </w:rPr>
        <w:t>http://data.europa.eu/eli/agree_interinstit/2020/1222/oj</w:t>
      </w:r>
      <w:r w:rsidR="00D77AF7">
        <w:rPr>
          <w:rStyle w:val="Hyperlink"/>
          <w:sz w:val="24"/>
          <w:lang w:val="sl-SI"/>
        </w:rPr>
        <w:fldChar w:fldCharType="end"/>
      </w:r>
      <w:r w:rsidRPr="00F0436D">
        <w:rPr>
          <w:sz w:val="24"/>
          <w:lang w:val="sl-SI"/>
        </w:rPr>
        <w:t>.</w:t>
      </w:r>
    </w:p>
  </w:footnote>
  <w:footnote w:id="5">
    <w:p w14:paraId="52D7B3D7" w14:textId="09E39C6C" w:rsidR="001113C9" w:rsidRPr="00F0436D" w:rsidRDefault="001113C9" w:rsidP="00F0436D">
      <w:pPr>
        <w:pStyle w:val="FootnoteText"/>
        <w:ind w:left="567" w:hanging="567"/>
        <w:rPr>
          <w:sz w:val="24"/>
          <w:lang w:val="sl-SI"/>
        </w:rPr>
      </w:pPr>
      <w:r w:rsidRPr="00F0436D">
        <w:rPr>
          <w:rStyle w:val="FootnoteReference"/>
          <w:sz w:val="24"/>
          <w:lang w:val="sl-SI"/>
        </w:rPr>
        <w:footnoteRef/>
      </w:r>
      <w:r w:rsidR="00F0436D" w:rsidRPr="00F0436D">
        <w:rPr>
          <w:sz w:val="24"/>
          <w:lang w:val="sl-SI"/>
        </w:rPr>
        <w:t xml:space="preserve"> </w:t>
      </w:r>
      <w:r w:rsidR="00F0436D" w:rsidRPr="00F0436D">
        <w:rPr>
          <w:sz w:val="24"/>
          <w:lang w:val="sl-SI"/>
        </w:rPr>
        <w:tab/>
      </w:r>
      <w:r w:rsidRPr="00F0436D">
        <w:rPr>
          <w:sz w:val="24"/>
          <w:lang w:val="sl-SI"/>
        </w:rPr>
        <w:t xml:space="preserve">UL L 424, 15.12.2020, str. 1, ELI: </w:t>
      </w:r>
      <w:r w:rsidR="00D77AF7">
        <w:fldChar w:fldCharType="begin"/>
      </w:r>
      <w:r w:rsidR="00D77AF7" w:rsidRPr="00D77AF7">
        <w:rPr>
          <w:lang w:val="pl-PL"/>
        </w:rPr>
        <w:instrText>HYPERLINK "http://data.europa.eu/eli/dec/2020/2053/oj"</w:instrText>
      </w:r>
      <w:r w:rsidR="00D77AF7">
        <w:fldChar w:fldCharType="separate"/>
      </w:r>
      <w:r w:rsidRPr="00F0436D">
        <w:rPr>
          <w:rStyle w:val="Hyperlink"/>
          <w:sz w:val="24"/>
          <w:lang w:val="sl-SI"/>
        </w:rPr>
        <w:t>http://data.europa.eu/eli/dec/2020/2053/oj</w:t>
      </w:r>
      <w:r w:rsidR="00D77AF7">
        <w:rPr>
          <w:rStyle w:val="Hyperlink"/>
          <w:sz w:val="24"/>
          <w:lang w:val="sl-SI"/>
        </w:rPr>
        <w:fldChar w:fldCharType="end"/>
      </w:r>
      <w:r w:rsidRPr="00F0436D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E21D3" w14:textId="77777777" w:rsidR="00064002" w:rsidRPr="00F043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F864B" w14:textId="77777777" w:rsidR="00064002" w:rsidRPr="00F043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C7B5A" w14:textId="77777777" w:rsidR="00064002" w:rsidRPr="00F043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6797351">
    <w:abstractNumId w:val="9"/>
  </w:num>
  <w:num w:numId="2" w16cid:durableId="424378093">
    <w:abstractNumId w:val="9"/>
  </w:num>
  <w:num w:numId="3" w16cid:durableId="1446777249">
    <w:abstractNumId w:val="7"/>
  </w:num>
  <w:num w:numId="4" w16cid:durableId="586351627">
    <w:abstractNumId w:val="7"/>
  </w:num>
  <w:num w:numId="5" w16cid:durableId="429199289">
    <w:abstractNumId w:val="6"/>
  </w:num>
  <w:num w:numId="6" w16cid:durableId="390731266">
    <w:abstractNumId w:val="6"/>
  </w:num>
  <w:num w:numId="7" w16cid:durableId="1958022418">
    <w:abstractNumId w:val="5"/>
  </w:num>
  <w:num w:numId="8" w16cid:durableId="866598874">
    <w:abstractNumId w:val="5"/>
  </w:num>
  <w:num w:numId="9" w16cid:durableId="2081126212">
    <w:abstractNumId w:val="4"/>
  </w:num>
  <w:num w:numId="10" w16cid:durableId="1651132570">
    <w:abstractNumId w:val="4"/>
  </w:num>
  <w:num w:numId="11" w16cid:durableId="2322596">
    <w:abstractNumId w:val="8"/>
  </w:num>
  <w:num w:numId="12" w16cid:durableId="676928264">
    <w:abstractNumId w:val="8"/>
  </w:num>
  <w:num w:numId="13" w16cid:durableId="1365399907">
    <w:abstractNumId w:val="3"/>
  </w:num>
  <w:num w:numId="14" w16cid:durableId="416637291">
    <w:abstractNumId w:val="3"/>
  </w:num>
  <w:num w:numId="15" w16cid:durableId="1293365945">
    <w:abstractNumId w:val="2"/>
  </w:num>
  <w:num w:numId="16" w16cid:durableId="271205145">
    <w:abstractNumId w:val="2"/>
  </w:num>
  <w:num w:numId="17" w16cid:durableId="551580286">
    <w:abstractNumId w:val="1"/>
  </w:num>
  <w:num w:numId="18" w16cid:durableId="322708222">
    <w:abstractNumId w:val="1"/>
  </w:num>
  <w:num w:numId="19" w16cid:durableId="1631981723">
    <w:abstractNumId w:val="0"/>
  </w:num>
  <w:num w:numId="20" w16cid:durableId="1563563639">
    <w:abstractNumId w:val="0"/>
  </w:num>
  <w:num w:numId="21" w16cid:durableId="271671030">
    <w:abstractNumId w:val="9"/>
  </w:num>
  <w:num w:numId="22" w16cid:durableId="1786921330">
    <w:abstractNumId w:val="7"/>
  </w:num>
  <w:num w:numId="23" w16cid:durableId="1701391789">
    <w:abstractNumId w:val="6"/>
  </w:num>
  <w:num w:numId="24" w16cid:durableId="1874221491">
    <w:abstractNumId w:val="5"/>
  </w:num>
  <w:num w:numId="25" w16cid:durableId="2098820926">
    <w:abstractNumId w:val="4"/>
  </w:num>
  <w:num w:numId="26" w16cid:durableId="943653184">
    <w:abstractNumId w:val="8"/>
  </w:num>
  <w:num w:numId="27" w16cid:durableId="2121796025">
    <w:abstractNumId w:val="3"/>
  </w:num>
  <w:num w:numId="28" w16cid:durableId="370763796">
    <w:abstractNumId w:val="2"/>
  </w:num>
  <w:num w:numId="29" w16cid:durableId="1787777267">
    <w:abstractNumId w:val="1"/>
  </w:num>
  <w:num w:numId="30" w16cid:durableId="445076309">
    <w:abstractNumId w:val="0"/>
  </w:num>
  <w:num w:numId="31" w16cid:durableId="793600176">
    <w:abstractNumId w:val="9"/>
  </w:num>
  <w:num w:numId="32" w16cid:durableId="297272779">
    <w:abstractNumId w:val="7"/>
  </w:num>
  <w:num w:numId="33" w16cid:durableId="343364554">
    <w:abstractNumId w:val="6"/>
  </w:num>
  <w:num w:numId="34" w16cid:durableId="181478866">
    <w:abstractNumId w:val="5"/>
  </w:num>
  <w:num w:numId="35" w16cid:durableId="2012947698">
    <w:abstractNumId w:val="4"/>
  </w:num>
  <w:num w:numId="36" w16cid:durableId="92484794">
    <w:abstractNumId w:val="8"/>
  </w:num>
  <w:num w:numId="37" w16cid:durableId="1143617689">
    <w:abstractNumId w:val="3"/>
  </w:num>
  <w:num w:numId="38" w16cid:durableId="1341354899">
    <w:abstractNumId w:val="2"/>
  </w:num>
  <w:num w:numId="39" w16cid:durableId="916472871">
    <w:abstractNumId w:val="1"/>
  </w:num>
  <w:num w:numId="40" w16cid:durableId="987320445">
    <w:abstractNumId w:val="0"/>
  </w:num>
  <w:num w:numId="41" w16cid:durableId="1469711656">
    <w:abstractNumId w:val="10"/>
  </w:num>
  <w:num w:numId="42" w16cid:durableId="1305042896">
    <w:abstractNumId w:val="10"/>
  </w:num>
  <w:num w:numId="43" w16cid:durableId="1170366796">
    <w:abstractNumId w:val="10"/>
  </w:num>
  <w:num w:numId="44" w16cid:durableId="5500749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SL"/>
    <w:docVar w:name="dvnumam" w:val="0"/>
    <w:docVar w:name="dvpe" w:val="778.228"/>
    <w:docVar w:name="dvrapporteur" w:val="Poročevalec: "/>
    <w:docVar w:name="dvtitre" w:val="Resolucija Evropskega parlamenta z dne … 2025 o stališču Sveta o predlogu spremembe proračuna Evropske unije št. 3/2025 za proračunsko leto 2025: prilagoditev odobritev plačil, posodobitev prihodkov in druge tehnične posodobitve(14878/2025 – C10-0301/2025 – 2025/0319(BUD))"/>
  </w:docVars>
  <w:rsids>
    <w:rsidRoot w:val="000A4568"/>
    <w:rsid w:val="00002272"/>
    <w:rsid w:val="00051116"/>
    <w:rsid w:val="0005135B"/>
    <w:rsid w:val="00064002"/>
    <w:rsid w:val="000677B9"/>
    <w:rsid w:val="000831BA"/>
    <w:rsid w:val="0009427C"/>
    <w:rsid w:val="000A42CC"/>
    <w:rsid w:val="000A4568"/>
    <w:rsid w:val="000E7DD9"/>
    <w:rsid w:val="0010095E"/>
    <w:rsid w:val="001113C9"/>
    <w:rsid w:val="00125B37"/>
    <w:rsid w:val="00187494"/>
    <w:rsid w:val="001F32AE"/>
    <w:rsid w:val="002767FF"/>
    <w:rsid w:val="002A50A3"/>
    <w:rsid w:val="002B18FE"/>
    <w:rsid w:val="002B5493"/>
    <w:rsid w:val="00343214"/>
    <w:rsid w:val="00361C00"/>
    <w:rsid w:val="00364FB0"/>
    <w:rsid w:val="00395FA1"/>
    <w:rsid w:val="003A5FC5"/>
    <w:rsid w:val="003E15D4"/>
    <w:rsid w:val="003E1F60"/>
    <w:rsid w:val="00411CCE"/>
    <w:rsid w:val="0041666E"/>
    <w:rsid w:val="00421060"/>
    <w:rsid w:val="00471C19"/>
    <w:rsid w:val="004867E3"/>
    <w:rsid w:val="00494A28"/>
    <w:rsid w:val="004C0004"/>
    <w:rsid w:val="004C5D52"/>
    <w:rsid w:val="004E3F75"/>
    <w:rsid w:val="0050519A"/>
    <w:rsid w:val="005072A1"/>
    <w:rsid w:val="00514517"/>
    <w:rsid w:val="00545827"/>
    <w:rsid w:val="00560270"/>
    <w:rsid w:val="00563018"/>
    <w:rsid w:val="005C2568"/>
    <w:rsid w:val="005F1B17"/>
    <w:rsid w:val="006037C0"/>
    <w:rsid w:val="0064009E"/>
    <w:rsid w:val="006631B6"/>
    <w:rsid w:val="00680577"/>
    <w:rsid w:val="006D05DB"/>
    <w:rsid w:val="006F3B8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826"/>
    <w:rsid w:val="00865F67"/>
    <w:rsid w:val="00881A7B"/>
    <w:rsid w:val="008840E5"/>
    <w:rsid w:val="00887B3E"/>
    <w:rsid w:val="00895416"/>
    <w:rsid w:val="008C2AC6"/>
    <w:rsid w:val="008F5051"/>
    <w:rsid w:val="009217E3"/>
    <w:rsid w:val="00930C23"/>
    <w:rsid w:val="0093193B"/>
    <w:rsid w:val="009509D8"/>
    <w:rsid w:val="00950B64"/>
    <w:rsid w:val="00981893"/>
    <w:rsid w:val="009C0630"/>
    <w:rsid w:val="009F09E2"/>
    <w:rsid w:val="00A1687D"/>
    <w:rsid w:val="00A43E52"/>
    <w:rsid w:val="00A4678D"/>
    <w:rsid w:val="00A778C7"/>
    <w:rsid w:val="00AB441E"/>
    <w:rsid w:val="00AB6293"/>
    <w:rsid w:val="00AE0928"/>
    <w:rsid w:val="00AF3B82"/>
    <w:rsid w:val="00B03B4D"/>
    <w:rsid w:val="00B12E95"/>
    <w:rsid w:val="00B22876"/>
    <w:rsid w:val="00B234F4"/>
    <w:rsid w:val="00B558F0"/>
    <w:rsid w:val="00B83595"/>
    <w:rsid w:val="00BD48FE"/>
    <w:rsid w:val="00BD7BD8"/>
    <w:rsid w:val="00BE5929"/>
    <w:rsid w:val="00BE6ADC"/>
    <w:rsid w:val="00C00C65"/>
    <w:rsid w:val="00C05BFE"/>
    <w:rsid w:val="00C23CD4"/>
    <w:rsid w:val="00C61C0C"/>
    <w:rsid w:val="00C80480"/>
    <w:rsid w:val="00C941CB"/>
    <w:rsid w:val="00CB4232"/>
    <w:rsid w:val="00CC2357"/>
    <w:rsid w:val="00CF071A"/>
    <w:rsid w:val="00D058B8"/>
    <w:rsid w:val="00D56C11"/>
    <w:rsid w:val="00D77AF7"/>
    <w:rsid w:val="00D834A0"/>
    <w:rsid w:val="00D872DF"/>
    <w:rsid w:val="00D91E21"/>
    <w:rsid w:val="00DA7FCD"/>
    <w:rsid w:val="00E365E1"/>
    <w:rsid w:val="00E41EBE"/>
    <w:rsid w:val="00E820A4"/>
    <w:rsid w:val="00EB006A"/>
    <w:rsid w:val="00EB4772"/>
    <w:rsid w:val="00ED169E"/>
    <w:rsid w:val="00ED4235"/>
    <w:rsid w:val="00F04346"/>
    <w:rsid w:val="00F0436D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FDA0F"/>
  <w15:chartTrackingRefBased/>
  <w15:docId w15:val="{4F8469EA-8B57-4869-B1D6-15607E87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13C9"/>
    <w:pPr>
      <w:spacing w:before="480" w:after="240"/>
    </w:pPr>
  </w:style>
  <w:style w:type="paragraph" w:customStyle="1" w:styleId="NormalHanging12a">
    <w:name w:val="NormalHanging12a"/>
    <w:basedOn w:val="Normal"/>
    <w:rsid w:val="001113C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1113C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64FB0"/>
    <w:rPr>
      <w:sz w:val="24"/>
      <w:lang w:val="sl-SI"/>
    </w:rPr>
  </w:style>
  <w:style w:type="character" w:styleId="CommentReference">
    <w:name w:val="annotation reference"/>
    <w:basedOn w:val="DefaultParagraphFont"/>
    <w:rsid w:val="000942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42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427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0942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427C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0942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E1F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1166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2025-11-26T11:15:00Z</dcterms:created>
  <dcterms:modified xsi:type="dcterms:W3CDTF">2025-11-26T11:15:00Z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A10-0237/2025</vt:lpwstr>
  </property>
  <property fmtid="{D5CDD505-2E9C-101B-9397-08002B2CF9AE}" pid="4" name="&lt;Type&gt;">
    <vt:lpwstr>RR</vt:lpwstr>
  </property>
</Properties>
</file>