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E21D8A" w14:paraId="48E5525D" w14:textId="77777777" w:rsidTr="00425111">
        <w:trPr>
          <w:trHeight w:hRule="exact" w:val="1418"/>
        </w:trPr>
        <w:tc>
          <w:tcPr>
            <w:tcW w:w="6804" w:type="dxa"/>
            <w:shd w:val="clear" w:color="auto" w:fill="auto"/>
            <w:vAlign w:val="center"/>
          </w:tcPr>
          <w:p w14:paraId="0E40EBBC" w14:textId="77777777" w:rsidR="00757DD5" w:rsidRPr="00E21D8A" w:rsidRDefault="006165D2" w:rsidP="00425111">
            <w:pPr>
              <w:pStyle w:val="EPName"/>
              <w:rPr>
                <w:lang w:val="en-GB"/>
              </w:rPr>
            </w:pPr>
            <w:r w:rsidRPr="00E21D8A">
              <w:rPr>
                <w:lang w:val="en-GB"/>
              </w:rPr>
              <w:t xml:space="preserve">Parlement </w:t>
            </w:r>
            <w:proofErr w:type="spellStart"/>
            <w:r w:rsidRPr="00E21D8A">
              <w:rPr>
                <w:lang w:val="en-GB"/>
              </w:rPr>
              <w:t>européen</w:t>
            </w:r>
            <w:proofErr w:type="spellEnd"/>
          </w:p>
          <w:p w14:paraId="6BA0418B" w14:textId="77777777" w:rsidR="00757DD5" w:rsidRPr="00E21D8A" w:rsidRDefault="006165D2" w:rsidP="00D3509F">
            <w:pPr>
              <w:pStyle w:val="EPTerm"/>
              <w:rPr>
                <w:rStyle w:val="HideTWBExt"/>
                <w:vanish w:val="0"/>
                <w:lang w:val="en-GB"/>
              </w:rPr>
            </w:pPr>
            <w:r w:rsidRPr="00E21D8A">
              <w:rPr>
                <w:lang w:val="en-GB"/>
              </w:rPr>
              <w:t>20</w:t>
            </w:r>
            <w:r w:rsidR="00D3509F">
              <w:rPr>
                <w:lang w:val="en-GB"/>
              </w:rPr>
              <w:t>24</w:t>
            </w:r>
            <w:r w:rsidRPr="00E21D8A">
              <w:rPr>
                <w:lang w:val="en-GB"/>
              </w:rPr>
              <w:t xml:space="preserve"> - 202</w:t>
            </w:r>
            <w:r w:rsidR="00D3509F">
              <w:rPr>
                <w:lang w:val="en-GB"/>
              </w:rPr>
              <w:t>9</w:t>
            </w:r>
          </w:p>
        </w:tc>
        <w:tc>
          <w:tcPr>
            <w:tcW w:w="2268" w:type="dxa"/>
            <w:shd w:val="clear" w:color="auto" w:fill="auto"/>
          </w:tcPr>
          <w:p w14:paraId="7DFF5ED0" w14:textId="77777777" w:rsidR="00757DD5" w:rsidRPr="00E21D8A" w:rsidRDefault="00172070" w:rsidP="00425111">
            <w:pPr>
              <w:pStyle w:val="EPLogo"/>
            </w:pPr>
            <w:r w:rsidRPr="00E21D8A">
              <w:rPr>
                <w:noProof/>
              </w:rPr>
              <w:drawing>
                <wp:inline distT="0" distB="0" distL="0" distR="0" wp14:anchorId="1A8C3E60" wp14:editId="11419B88">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20959CEB" w14:textId="77777777" w:rsidR="008E7632" w:rsidRPr="00E21D8A" w:rsidRDefault="008E7632" w:rsidP="008E7632">
      <w:pPr>
        <w:pStyle w:val="LineTop"/>
        <w:rPr>
          <w:lang w:val="en-GB"/>
        </w:rPr>
      </w:pPr>
    </w:p>
    <w:p w14:paraId="26B1A2C3" w14:textId="77777777" w:rsidR="008E7632" w:rsidRPr="00E21D8A" w:rsidRDefault="006165D2" w:rsidP="008E7632">
      <w:pPr>
        <w:pStyle w:val="ZSessionDoc"/>
        <w:rPr>
          <w:b/>
          <w:i w:val="0"/>
          <w:lang w:val="fr-FR"/>
        </w:rPr>
      </w:pPr>
      <w:r w:rsidRPr="00E21D8A">
        <w:rPr>
          <w:b/>
          <w:i w:val="0"/>
          <w:lang w:val="fr-FR"/>
        </w:rPr>
        <w:t>TEXTES ADOPTÉS</w:t>
      </w:r>
    </w:p>
    <w:p w14:paraId="07BDDFF2" w14:textId="77777777" w:rsidR="008E7632" w:rsidRPr="00E21D8A" w:rsidRDefault="006165D2" w:rsidP="008E7632">
      <w:pPr>
        <w:pStyle w:val="LineBottom"/>
        <w:rPr>
          <w:lang w:val="fr-FR"/>
        </w:rPr>
      </w:pPr>
      <w:r w:rsidRPr="00E21D8A">
        <w:rPr>
          <w:rFonts w:cs="Arial"/>
          <w:i/>
          <w:sz w:val="20"/>
          <w:szCs w:val="22"/>
          <w:lang w:val="fr-FR"/>
        </w:rPr>
        <w:t xml:space="preserve"> </w:t>
      </w:r>
    </w:p>
    <w:p w14:paraId="1A44F6DF" w14:textId="1B81D8E2" w:rsidR="009C4014" w:rsidRPr="00E21D8A" w:rsidRDefault="006165D2" w:rsidP="008E7632">
      <w:pPr>
        <w:pStyle w:val="ATHeading1"/>
        <w:spacing w:before="480"/>
      </w:pPr>
      <w:bookmarkStart w:id="0" w:name="TA_Heading"/>
      <w:r w:rsidRPr="00E21D8A">
        <w:t>P</w:t>
      </w:r>
      <w:r w:rsidR="00D3509F">
        <w:t>10</w:t>
      </w:r>
      <w:r w:rsidRPr="00E21D8A">
        <w:t>_TA(202</w:t>
      </w:r>
      <w:r w:rsidR="00D3509F">
        <w:t>5</w:t>
      </w:r>
      <w:r w:rsidRPr="00E21D8A">
        <w:t>)</w:t>
      </w:r>
      <w:bookmarkStart w:id="1" w:name="TANumber"/>
      <w:bookmarkEnd w:id="0"/>
      <w:r w:rsidRPr="00E21D8A">
        <w:t>0</w:t>
      </w:r>
      <w:r w:rsidR="00ED5A4B">
        <w:t>295</w:t>
      </w:r>
      <w:bookmarkEnd w:id="1"/>
    </w:p>
    <w:p w14:paraId="62BF8614" w14:textId="12FC4FD0" w:rsidR="009C4014" w:rsidRPr="00E21D8A" w:rsidRDefault="0029080C" w:rsidP="006165D2">
      <w:pPr>
        <w:pStyle w:val="ATHeading2"/>
      </w:pPr>
      <w:bookmarkStart w:id="2" w:name="title"/>
      <w:r w:rsidRPr="0029080C">
        <w:t>Règlement sur la déforestation: certaines obligations des opérateurs et commerçants</w:t>
      </w:r>
      <w:bookmarkStart w:id="3" w:name="Etoiles"/>
      <w:bookmarkEnd w:id="2"/>
      <w:bookmarkEnd w:id="3"/>
    </w:p>
    <w:p w14:paraId="68878887" w14:textId="5DBD67DE" w:rsidR="009C4014" w:rsidRPr="0029080C" w:rsidRDefault="009C4014" w:rsidP="009C4014">
      <w:pPr>
        <w:rPr>
          <w:i/>
          <w:vanish/>
        </w:rPr>
      </w:pPr>
      <w:r w:rsidRPr="0029080C">
        <w:rPr>
          <w:i/>
        </w:rPr>
        <w:fldChar w:fldCharType="begin"/>
      </w:r>
      <w:r w:rsidRPr="0029080C">
        <w:rPr>
          <w:i/>
        </w:rPr>
        <w:instrText xml:space="preserve"> TC"</w:instrText>
      </w:r>
      <w:bookmarkStart w:id="4" w:name="DocNumber"/>
      <w:r w:rsidR="006165D2" w:rsidRPr="0029080C">
        <w:rPr>
          <w:i/>
        </w:rPr>
        <w:instrText>(C</w:instrText>
      </w:r>
      <w:r w:rsidR="00D3509F" w:rsidRPr="0029080C">
        <w:rPr>
          <w:i/>
        </w:rPr>
        <w:instrText>10</w:instrText>
      </w:r>
      <w:r w:rsidR="006165D2" w:rsidRPr="0029080C">
        <w:rPr>
          <w:i/>
        </w:rPr>
        <w:instrText>-0</w:instrText>
      </w:r>
      <w:r w:rsidR="0029080C" w:rsidRPr="0029080C">
        <w:rPr>
          <w:i/>
        </w:rPr>
        <w:instrText>263</w:instrText>
      </w:r>
      <w:r w:rsidR="006165D2" w:rsidRPr="0029080C">
        <w:rPr>
          <w:i/>
        </w:rPr>
        <w:instrText>/202</w:instrText>
      </w:r>
      <w:r w:rsidR="00D3509F" w:rsidRPr="0029080C">
        <w:rPr>
          <w:i/>
        </w:rPr>
        <w:instrText>5</w:instrText>
      </w:r>
      <w:r w:rsidR="006165D2" w:rsidRPr="0029080C">
        <w:rPr>
          <w:i/>
        </w:rPr>
        <w:instrText>)</w:instrText>
      </w:r>
      <w:bookmarkEnd w:id="4"/>
      <w:r w:rsidRPr="0029080C">
        <w:rPr>
          <w:i/>
        </w:rPr>
        <w:instrText xml:space="preserve">"\l3 \n&gt; \* MERGEFORMAT </w:instrText>
      </w:r>
      <w:r w:rsidRPr="0029080C">
        <w:rPr>
          <w:i/>
        </w:rPr>
        <w:fldChar w:fldCharType="end"/>
      </w:r>
    </w:p>
    <w:p w14:paraId="328D8606" w14:textId="1EEDB323" w:rsidR="006165D2" w:rsidRPr="00C31CF5" w:rsidRDefault="00E21D8A" w:rsidP="009C4014">
      <w:pPr>
        <w:rPr>
          <w:vanish/>
        </w:rPr>
      </w:pPr>
      <w:bookmarkStart w:id="5" w:name="Commission"/>
      <w:r w:rsidRPr="0029080C">
        <w:rPr>
          <w:vanish/>
        </w:rPr>
        <w:t>Commission d</w:t>
      </w:r>
      <w:r w:rsidR="00D3509F" w:rsidRPr="0029080C">
        <w:rPr>
          <w:vanish/>
        </w:rPr>
        <w:t>e</w:t>
      </w:r>
      <w:r w:rsidR="0029080C" w:rsidRPr="0029080C">
        <w:rPr>
          <w:vanish/>
        </w:rPr>
        <w:t xml:space="preserve"> l’environnement,</w:t>
      </w:r>
      <w:r w:rsidR="0029080C">
        <w:rPr>
          <w:vanish/>
        </w:rPr>
        <w:t xml:space="preserve"> du climat et de la sécurité alimentaire</w:t>
      </w:r>
    </w:p>
    <w:p w14:paraId="7A5B6BFE" w14:textId="060FB97D" w:rsidR="009C4014" w:rsidRPr="00E21D8A" w:rsidRDefault="006165D2" w:rsidP="00D12B1A">
      <w:pPr>
        <w:spacing w:after="120"/>
        <w:rPr>
          <w:vanish/>
        </w:rPr>
      </w:pPr>
      <w:bookmarkStart w:id="6" w:name="PE"/>
      <w:bookmarkEnd w:id="5"/>
      <w:r w:rsidRPr="00624F5B">
        <w:rPr>
          <w:vanish/>
        </w:rPr>
        <w:t>P</w:t>
      </w:r>
      <w:r w:rsidR="00C84F77" w:rsidRPr="00624F5B">
        <w:rPr>
          <w:vanish/>
        </w:rPr>
        <w:t>E</w:t>
      </w:r>
      <w:r w:rsidR="00624F5B" w:rsidRPr="00624F5B">
        <w:rPr>
          <w:vanish/>
        </w:rPr>
        <w:t>780.035</w:t>
      </w:r>
      <w:bookmarkEnd w:id="6"/>
    </w:p>
    <w:p w14:paraId="204AEAFB" w14:textId="5EBCD2E9" w:rsidR="00C84F77" w:rsidRPr="001F7244" w:rsidRDefault="00D6658F" w:rsidP="00C31CF5">
      <w:pPr>
        <w:pStyle w:val="ATHeading3"/>
      </w:pPr>
      <w:bookmarkStart w:id="7" w:name="Sujet"/>
      <w:r w:rsidRPr="00D6658F">
        <w:t>Amendements du Parlement européen, adoptés le</w:t>
      </w:r>
      <w:r w:rsidR="006165D2" w:rsidRPr="00E21D8A">
        <w:t xml:space="preserve"> </w:t>
      </w:r>
      <w:r w:rsidR="00606041">
        <w:t>26</w:t>
      </w:r>
      <w:r w:rsidR="0029080C">
        <w:t xml:space="preserve"> novembre</w:t>
      </w:r>
      <w:r w:rsidR="00252B47">
        <w:t xml:space="preserve"> </w:t>
      </w:r>
      <w:r w:rsidR="006165D2" w:rsidRPr="00E21D8A">
        <w:t>202</w:t>
      </w:r>
      <w:r w:rsidR="0029080C">
        <w:t>5</w:t>
      </w:r>
      <w:r>
        <w:t>,</w:t>
      </w:r>
      <w:r w:rsidR="006165D2" w:rsidRPr="00E21D8A">
        <w:t xml:space="preserve"> </w:t>
      </w:r>
      <w:bookmarkStart w:id="8" w:name="References"/>
      <w:bookmarkEnd w:id="7"/>
      <w:r>
        <w:t>à</w:t>
      </w:r>
      <w:r w:rsidR="00A5080E">
        <w:t xml:space="preserve"> la p</w:t>
      </w:r>
      <w:r w:rsidR="00A5080E" w:rsidRPr="00A5080E">
        <w:t>roposition</w:t>
      </w:r>
      <w:r w:rsidR="00606041">
        <w:t xml:space="preserve"> de règlement</w:t>
      </w:r>
      <w:r w:rsidR="00A5080E" w:rsidRPr="00802DE7">
        <w:t xml:space="preserve"> du Parlement</w:t>
      </w:r>
      <w:r w:rsidR="00A5080E">
        <w:t xml:space="preserve"> européen et du Conseil</w:t>
      </w:r>
      <w:r w:rsidR="00A5080E" w:rsidRPr="00A5080E">
        <w:t xml:space="preserve"> </w:t>
      </w:r>
      <w:r w:rsidR="0029080C" w:rsidRPr="0029080C">
        <w:t>modifiant le règlement (UE) 2023/1115 en ce qui concerne certaines obligations incombant aux opérateurs et aux commerçants</w:t>
      </w:r>
      <w:r w:rsidR="0029080C">
        <w:t xml:space="preserve"> </w:t>
      </w:r>
      <w:r w:rsidR="00D12B1A" w:rsidRPr="00E21D8A">
        <w:t>(COM(</w:t>
      </w:r>
      <w:r w:rsidR="0029080C">
        <w:t>2025</w:t>
      </w:r>
      <w:r w:rsidR="00D12B1A" w:rsidRPr="00E21D8A">
        <w:t>)0</w:t>
      </w:r>
      <w:r w:rsidR="0029080C">
        <w:t>652</w:t>
      </w:r>
      <w:r w:rsidR="00D12B1A" w:rsidRPr="00E21D8A">
        <w:t xml:space="preserve"> </w:t>
      </w:r>
      <w:r w:rsidR="00D12B1A" w:rsidRPr="001F7244">
        <w:t>– C</w:t>
      </w:r>
      <w:r w:rsidR="00D3509F" w:rsidRPr="001F7244">
        <w:t>10</w:t>
      </w:r>
      <w:r w:rsidR="00D12B1A" w:rsidRPr="001F7244">
        <w:t>-0</w:t>
      </w:r>
      <w:r w:rsidR="0029080C">
        <w:t>263</w:t>
      </w:r>
      <w:r w:rsidR="00D3509F" w:rsidRPr="001F7244">
        <w:t>/2025</w:t>
      </w:r>
      <w:r w:rsidR="00C84F77" w:rsidRPr="001F7244">
        <w:t xml:space="preserve"> – </w:t>
      </w:r>
      <w:r w:rsidR="0029080C">
        <w:t>2025</w:t>
      </w:r>
      <w:r w:rsidR="00244D7C">
        <w:t>/</w:t>
      </w:r>
      <w:r w:rsidR="0029080C">
        <w:t>0329</w:t>
      </w:r>
      <w:r w:rsidR="00C84F77" w:rsidRPr="001F7244">
        <w:t>(COD))</w:t>
      </w:r>
      <w:r w:rsidR="00ED5A4B">
        <w:rPr>
          <w:rStyle w:val="FootnoteReference"/>
        </w:rPr>
        <w:footnoteReference w:id="1"/>
      </w:r>
    </w:p>
    <w:p w14:paraId="752574D3" w14:textId="77777777" w:rsidR="009C4014" w:rsidRPr="001F7244" w:rsidRDefault="006165D2" w:rsidP="00D12B1A">
      <w:pPr>
        <w:pStyle w:val="ATHeading3"/>
        <w:keepNext w:val="0"/>
        <w:keepLines w:val="0"/>
        <w:widowControl w:val="0"/>
        <w:spacing w:before="240"/>
      </w:pPr>
      <w:r w:rsidRPr="001F7244">
        <w:t>(Procédure</w:t>
      </w:r>
      <w:r w:rsidR="00C84F77" w:rsidRPr="001F7244">
        <w:t xml:space="preserve"> législative ordinaire: première lecture</w:t>
      </w:r>
      <w:r w:rsidRPr="001F7244">
        <w:t>)</w:t>
      </w:r>
      <w:bookmarkEnd w:id="8"/>
    </w:p>
    <w:p w14:paraId="5FBC3266" w14:textId="090CED9A" w:rsidR="00624F5B" w:rsidRDefault="00624F5B">
      <w:bookmarkStart w:id="9" w:name="TextBodyBegin"/>
      <w:bookmarkEnd w:id="9"/>
      <w:r>
        <w:br w:type="page"/>
      </w:r>
    </w:p>
    <w:p w14:paraId="5003D927" w14:textId="77777777" w:rsidR="00C84F77" w:rsidRDefault="00C84F77" w:rsidP="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p>
    <w:p w14:paraId="7F800C33" w14:textId="77777777" w:rsidR="00624F5B" w:rsidRPr="00B7054D" w:rsidRDefault="00624F5B" w:rsidP="00624F5B">
      <w:pPr>
        <w:pStyle w:val="AmNumberTabs"/>
        <w:spacing w:before="120" w:after="120"/>
        <w:rPr>
          <w:lang w:val="fr-BE"/>
        </w:rPr>
      </w:pPr>
      <w:r w:rsidRPr="00B7054D">
        <w:rPr>
          <w:lang w:val="fr-BE"/>
        </w:rPr>
        <w:t>Amendements</w:t>
      </w:r>
      <w:r w:rsidRPr="00B7054D">
        <w:rPr>
          <w:lang w:val="fr-BE"/>
        </w:rPr>
        <w:tab/>
      </w:r>
      <w:r w:rsidRPr="00B7054D">
        <w:rPr>
          <w:lang w:val="fr-BE"/>
        </w:rPr>
        <w:tab/>
        <w:t>39, 66 et 102</w:t>
      </w:r>
    </w:p>
    <w:p w14:paraId="6E60EA2C" w14:textId="77777777" w:rsidR="00624F5B" w:rsidRPr="00AA2D4E" w:rsidRDefault="00624F5B" w:rsidP="00624F5B">
      <w:pPr>
        <w:pStyle w:val="NormalBold"/>
        <w:spacing w:before="120"/>
        <w:rPr>
          <w:lang w:val="fr-BE"/>
        </w:rPr>
      </w:pPr>
      <w:r w:rsidRPr="00AA2D4E">
        <w:rPr>
          <w:lang w:val="fr-BE"/>
        </w:rPr>
        <w:t>Proposition de règlement</w:t>
      </w:r>
    </w:p>
    <w:p w14:paraId="17049EAF" w14:textId="77777777" w:rsidR="00624F5B" w:rsidRPr="00E51FF2" w:rsidRDefault="00624F5B" w:rsidP="00624F5B">
      <w:pPr>
        <w:pStyle w:val="NormalBold"/>
        <w:rPr>
          <w:lang w:val="fr-BE"/>
        </w:rPr>
      </w:pPr>
      <w:r w:rsidRPr="00E51FF2">
        <w:rPr>
          <w:lang w:val="fr-BE"/>
        </w:rPr>
        <w:t>Considérant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4F5B" w14:paraId="209ABDE0" w14:textId="77777777" w:rsidTr="000F0EE0">
        <w:trPr>
          <w:jc w:val="center"/>
        </w:trPr>
        <w:tc>
          <w:tcPr>
            <w:tcW w:w="9752" w:type="dxa"/>
            <w:gridSpan w:val="2"/>
          </w:tcPr>
          <w:p w14:paraId="27486D6D" w14:textId="77777777" w:rsidR="00624F5B" w:rsidRPr="00D621FE" w:rsidRDefault="00624F5B" w:rsidP="000F0EE0">
            <w:pPr>
              <w:keepNext/>
            </w:pPr>
          </w:p>
        </w:tc>
      </w:tr>
      <w:tr w:rsidR="00624F5B" w14:paraId="09127934" w14:textId="77777777" w:rsidTr="000F0EE0">
        <w:trPr>
          <w:jc w:val="center"/>
        </w:trPr>
        <w:tc>
          <w:tcPr>
            <w:tcW w:w="4876" w:type="dxa"/>
          </w:tcPr>
          <w:p w14:paraId="6B72F498" w14:textId="77777777" w:rsidR="00624F5B" w:rsidRPr="00D621FE" w:rsidRDefault="00624F5B" w:rsidP="000F0EE0">
            <w:pPr>
              <w:pStyle w:val="AmColumnHeading"/>
              <w:keepNext/>
            </w:pPr>
            <w:r>
              <w:t>Texte proposé par la Commission</w:t>
            </w:r>
          </w:p>
        </w:tc>
        <w:tc>
          <w:tcPr>
            <w:tcW w:w="4876" w:type="dxa"/>
          </w:tcPr>
          <w:p w14:paraId="341E4A3B" w14:textId="77777777" w:rsidR="00624F5B" w:rsidRPr="00D621FE" w:rsidRDefault="00624F5B" w:rsidP="000F0EE0">
            <w:pPr>
              <w:pStyle w:val="AmColumnHeading"/>
              <w:keepNext/>
            </w:pPr>
            <w:r>
              <w:t>Amendement</w:t>
            </w:r>
          </w:p>
        </w:tc>
      </w:tr>
      <w:tr w:rsidR="00624F5B" w14:paraId="358DC568" w14:textId="77777777" w:rsidTr="000F0EE0">
        <w:trPr>
          <w:jc w:val="center"/>
        </w:trPr>
        <w:tc>
          <w:tcPr>
            <w:tcW w:w="4876" w:type="dxa"/>
          </w:tcPr>
          <w:p w14:paraId="24C0631C" w14:textId="77777777" w:rsidR="00624F5B" w:rsidRPr="00D621FE" w:rsidRDefault="00624F5B" w:rsidP="000F0EE0">
            <w:pPr>
              <w:pStyle w:val="Normal6a"/>
            </w:pPr>
            <w:r>
              <w:t>(6)</w:t>
            </w:r>
            <w:r>
              <w:tab/>
              <w:t xml:space="preserve">Les opérateurs en aval et les commerçants qui ne sont pas des PME exercent une influence significative sur les chaînes d’approvisionnement et jouent un rôle important lorsqu’il s’agit de garantir que les chaînes d’approvisionnement sont «zéro déforestation». Leur obligation de s’enregistrer dans le système d’information devrait donc être maintenue. Dans le même temps, </w:t>
            </w:r>
            <w:r>
              <w:rPr>
                <w:b/>
                <w:i/>
              </w:rPr>
              <w:t xml:space="preserve">tous </w:t>
            </w:r>
            <w:r>
              <w:t>les opérateurs en aval et les commerçants, qu’ils soient ou non des PME, devraient continuer d’assurer une traçabilité complète en collectant</w:t>
            </w:r>
            <w:r>
              <w:rPr>
                <w:b/>
                <w:i/>
              </w:rPr>
              <w:t xml:space="preserve"> et en transmettant</w:t>
            </w:r>
            <w:r>
              <w:t xml:space="preserve"> les numéros de référence des déclarations de diligence raisonnée et les identifiants de déclaration assignés </w:t>
            </w:r>
            <w:proofErr w:type="gramStart"/>
            <w:r>
              <w:t>aux micro</w:t>
            </w:r>
            <w:proofErr w:type="gramEnd"/>
            <w:r>
              <w:t xml:space="preserve"> et petits producteurs. </w:t>
            </w:r>
          </w:p>
        </w:tc>
        <w:tc>
          <w:tcPr>
            <w:tcW w:w="4876" w:type="dxa"/>
          </w:tcPr>
          <w:p w14:paraId="03A6EAE3" w14:textId="77777777" w:rsidR="00624F5B" w:rsidRPr="00D621FE" w:rsidRDefault="00624F5B" w:rsidP="000F0EE0">
            <w:pPr>
              <w:pStyle w:val="Normal6a"/>
              <w:rPr>
                <w:szCs w:val="24"/>
              </w:rPr>
            </w:pPr>
            <w:r>
              <w:t>(6)</w:t>
            </w:r>
            <w:r>
              <w:tab/>
              <w:t>Les opérateurs en aval et les commerçants qui ne sont pas des PME exercent une influence significative sur les chaînes d’approvisionnement et jouent un rôle important lorsqu’il s’agit de garantir que les chaînes d’approvisionnement sont «zéro déforestation». Leur obligation de s’enregistrer dans le système d’information devrait donc être maintenue. Dans le même temps, les</w:t>
            </w:r>
            <w:r>
              <w:rPr>
                <w:b/>
                <w:i/>
              </w:rPr>
              <w:t xml:space="preserve"> premiers</w:t>
            </w:r>
            <w:r>
              <w:t xml:space="preserve"> opérateurs en aval et les commerçants, qu’ils soient ou non des PME, devraient continuer d’assurer une traçabilité complète en collectant les numéros de référence des déclarations de diligence raisonnée et les identifiants de déclaration assignés </w:t>
            </w:r>
            <w:proofErr w:type="gramStart"/>
            <w:r>
              <w:t>aux micro</w:t>
            </w:r>
            <w:proofErr w:type="gramEnd"/>
            <w:r>
              <w:t xml:space="preserve"> et petits producteurs. </w:t>
            </w:r>
            <w:r>
              <w:rPr>
                <w:b/>
                <w:i/>
              </w:rPr>
              <w:t>L’obligation de collecter et de conserver les numéros de référence ne devrait s’appliquer qu’au premier opérateur en aval, et non à l’ensemble des autres opérateurs en aval situés plus loin dans la chaîne d’approvisionnement.</w:t>
            </w:r>
          </w:p>
        </w:tc>
      </w:tr>
    </w:tbl>
    <w:p w14:paraId="1ADAF070" w14:textId="77777777" w:rsidR="00624F5B" w:rsidRPr="00B7054D" w:rsidRDefault="00624F5B" w:rsidP="00624F5B">
      <w:pPr>
        <w:pStyle w:val="AmNumberTabs"/>
        <w:spacing w:before="120"/>
        <w:rPr>
          <w:lang w:val="fr-BE"/>
        </w:rPr>
      </w:pPr>
      <w:r w:rsidRPr="00B7054D">
        <w:rPr>
          <w:lang w:val="fr-BE"/>
        </w:rPr>
        <w:t>Amendements</w:t>
      </w:r>
      <w:r w:rsidRPr="00B7054D">
        <w:rPr>
          <w:lang w:val="fr-BE"/>
        </w:rPr>
        <w:tab/>
      </w:r>
      <w:r w:rsidRPr="00B7054D">
        <w:rPr>
          <w:lang w:val="fr-BE"/>
        </w:rPr>
        <w:tab/>
        <w:t>40</w:t>
      </w:r>
      <w:r w:rsidRPr="00624F5B">
        <w:rPr>
          <w:lang w:val="fr-BE"/>
        </w:rPr>
        <w:t>, 67 et 103</w:t>
      </w:r>
    </w:p>
    <w:p w14:paraId="5C46C15E" w14:textId="77777777" w:rsidR="00624F5B" w:rsidRPr="00B7054D" w:rsidRDefault="00624F5B" w:rsidP="00624F5B">
      <w:pPr>
        <w:pStyle w:val="NormalBold"/>
        <w:spacing w:before="120"/>
        <w:rPr>
          <w:lang w:val="fr-BE"/>
        </w:rPr>
      </w:pPr>
      <w:r w:rsidRPr="00B7054D">
        <w:rPr>
          <w:lang w:val="fr-BE"/>
        </w:rPr>
        <w:t>Proposition de règlement</w:t>
      </w:r>
    </w:p>
    <w:p w14:paraId="21751455" w14:textId="77777777" w:rsidR="00624F5B" w:rsidRPr="00E51FF2" w:rsidRDefault="00624F5B" w:rsidP="00624F5B">
      <w:pPr>
        <w:pStyle w:val="NormalBold"/>
        <w:rPr>
          <w:lang w:val="fr-BE"/>
        </w:rPr>
      </w:pPr>
      <w:r w:rsidRPr="00E51FF2">
        <w:rPr>
          <w:lang w:val="fr-BE"/>
        </w:rPr>
        <w:t>Considérant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4F5B" w14:paraId="5E0A11CD" w14:textId="77777777" w:rsidTr="000F0EE0">
        <w:trPr>
          <w:jc w:val="center"/>
        </w:trPr>
        <w:tc>
          <w:tcPr>
            <w:tcW w:w="9752" w:type="dxa"/>
            <w:gridSpan w:val="2"/>
          </w:tcPr>
          <w:p w14:paraId="2399CAE9" w14:textId="77777777" w:rsidR="00624F5B" w:rsidRPr="00D621FE" w:rsidRDefault="00624F5B" w:rsidP="000F0EE0">
            <w:pPr>
              <w:keepNext/>
            </w:pPr>
          </w:p>
        </w:tc>
      </w:tr>
      <w:tr w:rsidR="00624F5B" w14:paraId="145E6410" w14:textId="77777777" w:rsidTr="000F0EE0">
        <w:trPr>
          <w:jc w:val="center"/>
        </w:trPr>
        <w:tc>
          <w:tcPr>
            <w:tcW w:w="4876" w:type="dxa"/>
          </w:tcPr>
          <w:p w14:paraId="4359D86A" w14:textId="77777777" w:rsidR="00624F5B" w:rsidRPr="00D621FE" w:rsidRDefault="00624F5B" w:rsidP="000F0EE0">
            <w:pPr>
              <w:pStyle w:val="AmColumnHeading"/>
              <w:keepNext/>
            </w:pPr>
            <w:r>
              <w:t>Texte proposé par la Commission</w:t>
            </w:r>
          </w:p>
        </w:tc>
        <w:tc>
          <w:tcPr>
            <w:tcW w:w="4876" w:type="dxa"/>
          </w:tcPr>
          <w:p w14:paraId="68D02668" w14:textId="77777777" w:rsidR="00624F5B" w:rsidRPr="00D621FE" w:rsidRDefault="00624F5B" w:rsidP="000F0EE0">
            <w:pPr>
              <w:pStyle w:val="AmColumnHeading"/>
              <w:keepNext/>
            </w:pPr>
            <w:r>
              <w:t>Amendement</w:t>
            </w:r>
          </w:p>
        </w:tc>
      </w:tr>
      <w:tr w:rsidR="00624F5B" w14:paraId="36225FBA" w14:textId="77777777" w:rsidTr="000F0EE0">
        <w:trPr>
          <w:jc w:val="center"/>
        </w:trPr>
        <w:tc>
          <w:tcPr>
            <w:tcW w:w="4876" w:type="dxa"/>
          </w:tcPr>
          <w:p w14:paraId="04316C18" w14:textId="77777777" w:rsidR="00624F5B" w:rsidRPr="00D621FE" w:rsidRDefault="00624F5B" w:rsidP="000F0EE0">
            <w:pPr>
              <w:pStyle w:val="Normal6a"/>
            </w:pPr>
            <w:r>
              <w:t>(7)</w:t>
            </w:r>
            <w:r>
              <w:tab/>
              <w:t xml:space="preserve">Tous les opérateurs, quelle que soit leur taille, qui mettent sur le marché ou exportent des produits en cause relèvent du champ d’application du règlement (UE) 2023/1115. Cela fait peser une charge administrative sur </w:t>
            </w:r>
            <w:proofErr w:type="gramStart"/>
            <w:r>
              <w:t>les micro</w:t>
            </w:r>
            <w:proofErr w:type="gramEnd"/>
            <w:r>
              <w:t xml:space="preserve"> et petits producteurs qui mettent sur le marché ou exportent leurs propres produits. Afin de répondre aux préoccupations liées aux micro et petits opérateurs qui produisent et mettent sur le marché leurs propres produits et de réduire encore la charge du système d’information, il est nécessaire </w:t>
            </w:r>
            <w:r>
              <w:lastRenderedPageBreak/>
              <w:t xml:space="preserve">d’introduire une nouvelle sous-catégorie d’opérateurs auxquels l’obligation de présenter une déclaration de diligence raisonnée ne devrait pas s’appliquer. Cette nouvelle sous-catégorie, à savoir les «micro et petits opérateurs primaires», devrait inclure les personnes physiques ou les micro ou petites entreprises établies dans un pays classé comme présentant un risque faible conformément à l’article 29 du règlement (UE) 2023/1115 qui mettent sur le marché ou exportent les produits en cause qu’elles produisent elles-mêmes, c’est-à-dire qui cultivent, récoltent, obtiennent ou élèvent elles-mêmes les produits de base en cause contenus dans les produits en cause. Tant les opérateurs établis à l’intérieur qu’à l’extérieur de l’Union devraient être couverts par la définition </w:t>
            </w:r>
            <w:proofErr w:type="gramStart"/>
            <w:r>
              <w:t>des micro</w:t>
            </w:r>
            <w:proofErr w:type="gramEnd"/>
            <w:r>
              <w:t xml:space="preserve"> et petits opérateurs primaires.</w:t>
            </w:r>
          </w:p>
        </w:tc>
        <w:tc>
          <w:tcPr>
            <w:tcW w:w="4876" w:type="dxa"/>
          </w:tcPr>
          <w:p w14:paraId="770C839F" w14:textId="77777777" w:rsidR="00624F5B" w:rsidRPr="00D621FE" w:rsidRDefault="00624F5B" w:rsidP="000F0EE0">
            <w:pPr>
              <w:pStyle w:val="Normal6a"/>
              <w:rPr>
                <w:szCs w:val="24"/>
              </w:rPr>
            </w:pPr>
            <w:r>
              <w:lastRenderedPageBreak/>
              <w:t>(7)</w:t>
            </w:r>
            <w:r>
              <w:tab/>
              <w:t xml:space="preserve">Tous les opérateurs, quelle que soit leur taille, qui mettent sur le marché ou exportent des produits en cause relèvent du champ d’application du règlement (UE) 2023/1115. Cela fait peser une charge administrative sur </w:t>
            </w:r>
            <w:proofErr w:type="gramStart"/>
            <w:r>
              <w:t>les micro</w:t>
            </w:r>
            <w:proofErr w:type="gramEnd"/>
            <w:r>
              <w:t xml:space="preserve"> et petits producteurs qui mettent sur le marché ou exportent leurs propres produits. Afin de répondre aux préoccupations liées aux micro et petits opérateurs qui produisent et mettent sur le marché leurs propres produits et de réduire encore la charge du système d’information, il est nécessaire </w:t>
            </w:r>
            <w:r>
              <w:lastRenderedPageBreak/>
              <w:t>d’introduire une nouvelle sous-catégorie d’opérateurs auxquels l’obligation de présenter une déclaration de diligence raisonnée ne devrait pas s’appliquer. Cette nouvelle sous-catégorie, à savoir les «micro et petits opérateurs primaires», devrait inclure les personnes physiques ou les micro ou petites entreprises établies dans un pays classé comme présentant un risque faible conformément à l’article 29 du règlement (UE) 2023/1115 qui mettent sur le marché ou exportent les produits en cause qu’elles produisent elles-mêmes</w:t>
            </w:r>
            <w:r>
              <w:rPr>
                <w:b/>
                <w:i/>
              </w:rPr>
              <w:t xml:space="preserve"> dans ce pays</w:t>
            </w:r>
            <w:r>
              <w:t xml:space="preserve">, c’est-à-dire qui cultivent, récoltent, obtiennent ou élèvent elles-mêmes les produits de base en cause contenus dans les produits en cause. Tant les opérateurs établis à l’intérieur qu’à l’extérieur de l’Union devraient être couverts par la définition </w:t>
            </w:r>
            <w:proofErr w:type="gramStart"/>
            <w:r>
              <w:t>des micro</w:t>
            </w:r>
            <w:proofErr w:type="gramEnd"/>
            <w:r>
              <w:t xml:space="preserve"> et petits opérateurs primaires.</w:t>
            </w:r>
          </w:p>
        </w:tc>
      </w:tr>
    </w:tbl>
    <w:p w14:paraId="5FBF2AE0" w14:textId="77777777" w:rsidR="00624F5B" w:rsidRPr="00B7054D" w:rsidRDefault="00624F5B" w:rsidP="00624F5B">
      <w:pPr>
        <w:pStyle w:val="AmNumberTabs"/>
        <w:spacing w:before="120"/>
        <w:rPr>
          <w:lang w:val="fr-BE"/>
        </w:rPr>
      </w:pPr>
      <w:r w:rsidRPr="00B7054D">
        <w:rPr>
          <w:lang w:val="fr-BE"/>
        </w:rPr>
        <w:lastRenderedPageBreak/>
        <w:t>Amendements</w:t>
      </w:r>
      <w:r w:rsidRPr="00B7054D">
        <w:rPr>
          <w:lang w:val="fr-BE"/>
        </w:rPr>
        <w:tab/>
      </w:r>
      <w:r w:rsidRPr="00B7054D">
        <w:rPr>
          <w:lang w:val="fr-BE"/>
        </w:rPr>
        <w:tab/>
        <w:t>41</w:t>
      </w:r>
      <w:r w:rsidRPr="00624F5B">
        <w:rPr>
          <w:vanish/>
        </w:rPr>
        <w:t xml:space="preserve"> </w:t>
      </w:r>
      <w:r w:rsidRPr="00624F5B">
        <w:rPr>
          <w:lang w:val="fr-BE"/>
        </w:rPr>
        <w:t>et 68</w:t>
      </w:r>
    </w:p>
    <w:p w14:paraId="43DCB814" w14:textId="77777777" w:rsidR="00624F5B" w:rsidRPr="00B7054D" w:rsidRDefault="00624F5B" w:rsidP="00624F5B">
      <w:pPr>
        <w:pStyle w:val="NormalBold"/>
        <w:spacing w:before="120"/>
        <w:rPr>
          <w:lang w:val="fr-BE"/>
        </w:rPr>
      </w:pPr>
      <w:r w:rsidRPr="00B7054D">
        <w:rPr>
          <w:lang w:val="fr-BE"/>
        </w:rPr>
        <w:t>Proposition de règlement</w:t>
      </w:r>
    </w:p>
    <w:p w14:paraId="058EB5E7" w14:textId="77777777" w:rsidR="00624F5B" w:rsidRPr="00B7054D" w:rsidRDefault="00624F5B" w:rsidP="00624F5B">
      <w:pPr>
        <w:pStyle w:val="NormalBold"/>
        <w:rPr>
          <w:lang w:val="fr-BE"/>
        </w:rPr>
      </w:pPr>
      <w:r w:rsidRPr="00B7054D">
        <w:rPr>
          <w:lang w:val="fr-BE"/>
        </w:rPr>
        <w:t>Considérant 8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4F5B" w14:paraId="475E0313" w14:textId="77777777" w:rsidTr="000F0EE0">
        <w:trPr>
          <w:jc w:val="center"/>
        </w:trPr>
        <w:tc>
          <w:tcPr>
            <w:tcW w:w="9752" w:type="dxa"/>
            <w:gridSpan w:val="2"/>
          </w:tcPr>
          <w:p w14:paraId="4EE52234" w14:textId="77777777" w:rsidR="00624F5B" w:rsidRPr="00D621FE" w:rsidRDefault="00624F5B" w:rsidP="000F0EE0">
            <w:pPr>
              <w:keepNext/>
            </w:pPr>
          </w:p>
        </w:tc>
      </w:tr>
      <w:tr w:rsidR="00624F5B" w14:paraId="21707917" w14:textId="77777777" w:rsidTr="000F0EE0">
        <w:trPr>
          <w:jc w:val="center"/>
        </w:trPr>
        <w:tc>
          <w:tcPr>
            <w:tcW w:w="4876" w:type="dxa"/>
          </w:tcPr>
          <w:p w14:paraId="7CA8D61A" w14:textId="77777777" w:rsidR="00624F5B" w:rsidRPr="00D621FE" w:rsidRDefault="00624F5B" w:rsidP="000F0EE0">
            <w:pPr>
              <w:pStyle w:val="AmColumnHeading"/>
              <w:keepNext/>
            </w:pPr>
            <w:r>
              <w:t>Texte proposé par la Commission</w:t>
            </w:r>
          </w:p>
        </w:tc>
        <w:tc>
          <w:tcPr>
            <w:tcW w:w="4876" w:type="dxa"/>
          </w:tcPr>
          <w:p w14:paraId="742A9A5B" w14:textId="77777777" w:rsidR="00624F5B" w:rsidRPr="00D621FE" w:rsidRDefault="00624F5B" w:rsidP="000F0EE0">
            <w:pPr>
              <w:pStyle w:val="AmColumnHeading"/>
              <w:keepNext/>
            </w:pPr>
            <w:r>
              <w:t>Amendement</w:t>
            </w:r>
          </w:p>
        </w:tc>
      </w:tr>
      <w:tr w:rsidR="00624F5B" w14:paraId="32661BB6" w14:textId="77777777" w:rsidTr="000F0EE0">
        <w:trPr>
          <w:jc w:val="center"/>
        </w:trPr>
        <w:tc>
          <w:tcPr>
            <w:tcW w:w="4876" w:type="dxa"/>
          </w:tcPr>
          <w:p w14:paraId="72E22DB6" w14:textId="77777777" w:rsidR="00624F5B" w:rsidRPr="00D621FE" w:rsidRDefault="00624F5B" w:rsidP="000F0EE0">
            <w:pPr>
              <w:pStyle w:val="Normal6a"/>
            </w:pPr>
          </w:p>
        </w:tc>
        <w:tc>
          <w:tcPr>
            <w:tcW w:w="4876" w:type="dxa"/>
          </w:tcPr>
          <w:p w14:paraId="6A008E75" w14:textId="77777777" w:rsidR="00624F5B" w:rsidRPr="00D621FE" w:rsidRDefault="00624F5B" w:rsidP="000F0EE0">
            <w:pPr>
              <w:pStyle w:val="Normal6a"/>
              <w:rPr>
                <w:szCs w:val="24"/>
              </w:rPr>
            </w:pPr>
            <w:r>
              <w:rPr>
                <w:b/>
                <w:i/>
              </w:rPr>
              <w:t>(8 bis)</w:t>
            </w:r>
            <w:r>
              <w:rPr>
                <w:b/>
                <w:i/>
              </w:rPr>
              <w:tab/>
              <w:t xml:space="preserve">En outre, dans le cadre des efforts de simplification, la charge administrative découlant de l’obligation faite aux </w:t>
            </w:r>
            <w:proofErr w:type="spellStart"/>
            <w:r>
              <w:rPr>
                <w:b/>
                <w:i/>
              </w:rPr>
              <w:t>microopérateurs</w:t>
            </w:r>
            <w:proofErr w:type="spellEnd"/>
            <w:r>
              <w:rPr>
                <w:b/>
                <w:i/>
              </w:rPr>
              <w:t xml:space="preserve"> et petits opérateurs primaires de présenter une déclaration unique simplifiée au titre de l’article 4 bis et de collecter des informations au titre de l’article 9, paragraphe 1, devrait être réduite en leur permettant de remplacer la géolocalisation des parcelles par l’adresse postale des parcelles ou de l’établissement à partir duquel ont été produites les matières premières que contient le produit concerné ou à partir desquelles celui-ci a été fabriqué, pour autant que cette adresse postale corresponde clairement à la localisation géographique des parcelles ou de l’établissement concerné. Cette possibilité offre aux </w:t>
            </w:r>
            <w:proofErr w:type="spellStart"/>
            <w:r>
              <w:rPr>
                <w:b/>
                <w:i/>
              </w:rPr>
              <w:t>microopérateurs</w:t>
            </w:r>
            <w:proofErr w:type="spellEnd"/>
            <w:r>
              <w:rPr>
                <w:b/>
                <w:i/>
              </w:rPr>
              <w:t xml:space="preserve"> et aux petits opérateurs primaires la faculté de choisir librement d’indiquer soit la géolocalisation des parcelles, soit l’adresse postale des parcelles ou de </w:t>
            </w:r>
            <w:r>
              <w:rPr>
                <w:b/>
                <w:i/>
              </w:rPr>
              <w:lastRenderedPageBreak/>
              <w:t>l’établissement concerné.</w:t>
            </w:r>
          </w:p>
        </w:tc>
      </w:tr>
    </w:tbl>
    <w:p w14:paraId="1241DC9A" w14:textId="77777777" w:rsidR="00624F5B" w:rsidRDefault="00624F5B" w:rsidP="00624F5B">
      <w:pPr>
        <w:pStyle w:val="NormalBold"/>
        <w:spacing w:after="120"/>
        <w:rPr>
          <w:b w:val="0"/>
          <w:bCs/>
          <w:lang w:val="fr-FR"/>
        </w:rPr>
      </w:pPr>
    </w:p>
    <w:p w14:paraId="03B8BE5D" w14:textId="77777777" w:rsidR="00624F5B" w:rsidRPr="00E51FF2" w:rsidRDefault="00624F5B" w:rsidP="00624F5B">
      <w:pPr>
        <w:pStyle w:val="AmNumberTabs"/>
        <w:spacing w:before="120"/>
        <w:rPr>
          <w:lang w:val="fr-BE"/>
        </w:rPr>
      </w:pPr>
      <w:r w:rsidRPr="00E51FF2">
        <w:rPr>
          <w:lang w:val="fr-BE"/>
        </w:rPr>
        <w:t>Amendement</w:t>
      </w:r>
      <w:r w:rsidRPr="00E51FF2">
        <w:rPr>
          <w:lang w:val="fr-BE"/>
        </w:rPr>
        <w:tab/>
      </w:r>
      <w:r w:rsidRPr="00E51FF2">
        <w:rPr>
          <w:lang w:val="fr-BE"/>
        </w:rPr>
        <w:tab/>
        <w:t>105</w:t>
      </w:r>
    </w:p>
    <w:p w14:paraId="616BB506" w14:textId="77777777" w:rsidR="00624F5B" w:rsidRPr="00B7054D" w:rsidRDefault="00624F5B" w:rsidP="00624F5B">
      <w:pPr>
        <w:pStyle w:val="NormalBold"/>
        <w:spacing w:before="120"/>
        <w:rPr>
          <w:lang w:val="fr-BE"/>
        </w:rPr>
      </w:pPr>
      <w:r w:rsidRPr="00B7054D">
        <w:rPr>
          <w:lang w:val="fr-BE"/>
        </w:rPr>
        <w:t>Proposition de règlement</w:t>
      </w:r>
    </w:p>
    <w:p w14:paraId="7C0C8CB4" w14:textId="77777777" w:rsidR="00624F5B" w:rsidRPr="00E51FF2" w:rsidRDefault="00624F5B" w:rsidP="00624F5B">
      <w:pPr>
        <w:pStyle w:val="NormalBold"/>
        <w:rPr>
          <w:lang w:val="fr-BE"/>
        </w:rPr>
      </w:pPr>
      <w:r w:rsidRPr="00E51FF2">
        <w:rPr>
          <w:lang w:val="fr-BE"/>
        </w:rPr>
        <w:t>Considérant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4F5B" w14:paraId="058A11E6" w14:textId="77777777" w:rsidTr="000F0EE0">
        <w:trPr>
          <w:jc w:val="center"/>
        </w:trPr>
        <w:tc>
          <w:tcPr>
            <w:tcW w:w="9752" w:type="dxa"/>
            <w:gridSpan w:val="2"/>
          </w:tcPr>
          <w:p w14:paraId="087EDA51" w14:textId="77777777" w:rsidR="00624F5B" w:rsidRPr="00E21AAB" w:rsidRDefault="00624F5B" w:rsidP="000F0EE0">
            <w:pPr>
              <w:keepNext/>
            </w:pPr>
          </w:p>
        </w:tc>
      </w:tr>
      <w:tr w:rsidR="00624F5B" w14:paraId="7EFE7871" w14:textId="77777777" w:rsidTr="000F0EE0">
        <w:trPr>
          <w:jc w:val="center"/>
        </w:trPr>
        <w:tc>
          <w:tcPr>
            <w:tcW w:w="4876" w:type="dxa"/>
          </w:tcPr>
          <w:p w14:paraId="1CDD4813" w14:textId="77777777" w:rsidR="00624F5B" w:rsidRPr="00E21AAB" w:rsidRDefault="00624F5B" w:rsidP="000F0EE0">
            <w:pPr>
              <w:pStyle w:val="AmColumnHeading"/>
              <w:keepNext/>
            </w:pPr>
            <w:r>
              <w:t>Texte proposé par la Commission</w:t>
            </w:r>
          </w:p>
        </w:tc>
        <w:tc>
          <w:tcPr>
            <w:tcW w:w="4876" w:type="dxa"/>
          </w:tcPr>
          <w:p w14:paraId="7022B81F" w14:textId="77777777" w:rsidR="00624F5B" w:rsidRPr="00E21AAB" w:rsidRDefault="00624F5B" w:rsidP="000F0EE0">
            <w:pPr>
              <w:pStyle w:val="AmColumnHeading"/>
              <w:keepNext/>
            </w:pPr>
            <w:r>
              <w:t>Amendement</w:t>
            </w:r>
          </w:p>
        </w:tc>
      </w:tr>
      <w:tr w:rsidR="00624F5B" w14:paraId="43498936" w14:textId="77777777" w:rsidTr="000F0EE0">
        <w:trPr>
          <w:jc w:val="center"/>
        </w:trPr>
        <w:tc>
          <w:tcPr>
            <w:tcW w:w="4876" w:type="dxa"/>
          </w:tcPr>
          <w:p w14:paraId="035F7892" w14:textId="441D9360" w:rsidR="00624F5B" w:rsidRPr="00E21AAB" w:rsidRDefault="00624F5B" w:rsidP="000F0EE0">
            <w:pPr>
              <w:pStyle w:val="Normal6a"/>
            </w:pPr>
            <w:r>
              <w:t>(11)</w:t>
            </w:r>
            <w:r>
              <w:rPr>
                <w:b/>
                <w:i/>
              </w:rPr>
              <w:tab/>
            </w:r>
            <w:r>
              <w:t xml:space="preserve">Afin de garantir la clarté juridique selon laquelle toutes les micro, petites et moyennes entreprises, quelle que soit leur forme juridique, peuvent bénéficier de la simplification des dispositions relatives aux micro, petites et moyennes entreprises prévues par le règlement (UE) 2023/1115, il convient de modifier la définition des micro, petites et moyennes entreprises afin de préciser que la forme juridique ne devrait pas être pertinente pour déterminer si une personne physique ou morale répond à la définition. Il convient de procéder à la même clarification en ce qui concerne </w:t>
            </w:r>
            <w:proofErr w:type="gramStart"/>
            <w:r>
              <w:t>les micro</w:t>
            </w:r>
            <w:proofErr w:type="gramEnd"/>
            <w:r>
              <w:t xml:space="preserve"> et petits opérateurs primaires.</w:t>
            </w:r>
          </w:p>
        </w:tc>
        <w:tc>
          <w:tcPr>
            <w:tcW w:w="4876" w:type="dxa"/>
          </w:tcPr>
          <w:p w14:paraId="00A133B6" w14:textId="7DB169C5" w:rsidR="00624F5B" w:rsidRPr="00E21AAB" w:rsidRDefault="00624F5B" w:rsidP="000F0EE0">
            <w:pPr>
              <w:pStyle w:val="Normal6a"/>
              <w:rPr>
                <w:szCs w:val="24"/>
              </w:rPr>
            </w:pPr>
            <w:r>
              <w:t>(11)</w:t>
            </w:r>
            <w:r>
              <w:rPr>
                <w:b/>
                <w:i/>
              </w:rPr>
              <w:tab/>
            </w:r>
            <w:r>
              <w:t xml:space="preserve">Afin de garantir la clarté juridique selon laquelle toutes les micro, petites et moyennes entreprises, quelle que soit leur forme juridique, peuvent bénéficier de la simplification des dispositions relatives aux micro, petites et moyennes entreprises prévues par le règlement (UE) 2023/1115, il convient de modifier la définition des micro, petites et moyennes entreprises afin de préciser que la forme juridique ne devrait pas être pertinente pour déterminer si une personne physique ou morale répond à la définition. Il convient de procéder à la même clarification en ce qui concerne </w:t>
            </w:r>
            <w:proofErr w:type="gramStart"/>
            <w:r>
              <w:t>les micro</w:t>
            </w:r>
            <w:proofErr w:type="gramEnd"/>
            <w:r>
              <w:t xml:space="preserve"> et petits opérateurs primaires. </w:t>
            </w:r>
            <w:r>
              <w:rPr>
                <w:b/>
                <w:i/>
              </w:rPr>
              <w:t>En outre, la définition des micro et petits opérateurs primaires devrait inclure les opérateurs qui dépassent les limites d’au moins deux des trois critères énoncés à l’article 3, paragraphes 1 et 2, premier alinéa, de la directive 2013/34/UE, mais qui peuvent démontrer que les parties de leur bilan annuel, de leur chiffre d’affaires net et du nombre moyen de salariés au cours de l’exercice qui se rapportent à leurs activités couvertes par le présent règlement ne dépassent pas les limites d’au moins deux des trois critères.</w:t>
            </w:r>
          </w:p>
        </w:tc>
      </w:tr>
    </w:tbl>
    <w:p w14:paraId="1E0C4DB0" w14:textId="77777777" w:rsidR="002C2F3E" w:rsidRDefault="002C2F3E" w:rsidP="00624F5B">
      <w:pPr>
        <w:pStyle w:val="AmNumberTabs"/>
        <w:spacing w:before="120"/>
        <w:rPr>
          <w:lang w:val="fr-BE"/>
        </w:rPr>
      </w:pPr>
    </w:p>
    <w:p w14:paraId="7721AA04" w14:textId="58CF26B2" w:rsidR="00624F5B" w:rsidRPr="00B7054D" w:rsidRDefault="00624F5B" w:rsidP="00624F5B">
      <w:pPr>
        <w:pStyle w:val="AmNumberTabs"/>
        <w:spacing w:before="120"/>
        <w:rPr>
          <w:lang w:val="fr-BE"/>
        </w:rPr>
      </w:pPr>
      <w:r w:rsidRPr="00B7054D">
        <w:rPr>
          <w:lang w:val="fr-BE"/>
        </w:rPr>
        <w:t>Amendement</w:t>
      </w:r>
      <w:r w:rsidRPr="00B7054D">
        <w:rPr>
          <w:lang w:val="fr-BE"/>
        </w:rPr>
        <w:tab/>
      </w:r>
      <w:r w:rsidRPr="00B7054D">
        <w:rPr>
          <w:lang w:val="fr-BE"/>
        </w:rPr>
        <w:tab/>
        <w:t>106</w:t>
      </w:r>
    </w:p>
    <w:p w14:paraId="6184591B" w14:textId="77777777" w:rsidR="00624F5B" w:rsidRPr="00B7054D" w:rsidRDefault="00624F5B" w:rsidP="00624F5B">
      <w:pPr>
        <w:pStyle w:val="NormalBold"/>
        <w:spacing w:before="120"/>
        <w:rPr>
          <w:lang w:val="fr-BE"/>
        </w:rPr>
      </w:pPr>
      <w:r w:rsidRPr="00B7054D">
        <w:rPr>
          <w:lang w:val="fr-BE"/>
        </w:rPr>
        <w:t>Proposition de règlement</w:t>
      </w:r>
    </w:p>
    <w:p w14:paraId="2D5B522D" w14:textId="77777777" w:rsidR="00624F5B" w:rsidRPr="00B7054D" w:rsidRDefault="00624F5B" w:rsidP="00624F5B">
      <w:pPr>
        <w:pStyle w:val="NormalBold"/>
        <w:rPr>
          <w:lang w:val="fr-BE"/>
        </w:rPr>
      </w:pPr>
      <w:r w:rsidRPr="00B7054D">
        <w:rPr>
          <w:lang w:val="fr-BE"/>
        </w:rPr>
        <w:t>Considérant 12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4F5B" w14:paraId="0EFA08E2" w14:textId="77777777" w:rsidTr="000F0EE0">
        <w:trPr>
          <w:jc w:val="center"/>
        </w:trPr>
        <w:tc>
          <w:tcPr>
            <w:tcW w:w="9752" w:type="dxa"/>
            <w:gridSpan w:val="2"/>
          </w:tcPr>
          <w:p w14:paraId="236C5B5F" w14:textId="77777777" w:rsidR="00624F5B" w:rsidRPr="00E21AAB" w:rsidRDefault="00624F5B" w:rsidP="000F0EE0">
            <w:pPr>
              <w:keepNext/>
            </w:pPr>
          </w:p>
        </w:tc>
      </w:tr>
      <w:tr w:rsidR="00624F5B" w14:paraId="2A25394F" w14:textId="77777777" w:rsidTr="000F0EE0">
        <w:trPr>
          <w:jc w:val="center"/>
        </w:trPr>
        <w:tc>
          <w:tcPr>
            <w:tcW w:w="4876" w:type="dxa"/>
          </w:tcPr>
          <w:p w14:paraId="29337083" w14:textId="77777777" w:rsidR="00624F5B" w:rsidRPr="00E21AAB" w:rsidRDefault="00624F5B" w:rsidP="000F0EE0">
            <w:pPr>
              <w:pStyle w:val="AmColumnHeading"/>
              <w:keepNext/>
            </w:pPr>
            <w:r>
              <w:t>Texte proposé par la Commission</w:t>
            </w:r>
          </w:p>
        </w:tc>
        <w:tc>
          <w:tcPr>
            <w:tcW w:w="4876" w:type="dxa"/>
          </w:tcPr>
          <w:p w14:paraId="35702416" w14:textId="77777777" w:rsidR="00624F5B" w:rsidRPr="00E21AAB" w:rsidRDefault="00624F5B" w:rsidP="000F0EE0">
            <w:pPr>
              <w:pStyle w:val="AmColumnHeading"/>
              <w:keepNext/>
            </w:pPr>
            <w:r>
              <w:t>Amendement</w:t>
            </w:r>
          </w:p>
        </w:tc>
      </w:tr>
      <w:tr w:rsidR="00624F5B" w14:paraId="4D8E937E" w14:textId="77777777" w:rsidTr="000F0EE0">
        <w:trPr>
          <w:jc w:val="center"/>
        </w:trPr>
        <w:tc>
          <w:tcPr>
            <w:tcW w:w="4876" w:type="dxa"/>
          </w:tcPr>
          <w:p w14:paraId="711452F4" w14:textId="77777777" w:rsidR="00624F5B" w:rsidRPr="00E21AAB" w:rsidRDefault="00624F5B" w:rsidP="000F0EE0">
            <w:pPr>
              <w:pStyle w:val="Normal6a"/>
            </w:pPr>
          </w:p>
        </w:tc>
        <w:tc>
          <w:tcPr>
            <w:tcW w:w="4876" w:type="dxa"/>
          </w:tcPr>
          <w:p w14:paraId="33BF50E1" w14:textId="77777777" w:rsidR="00624F5B" w:rsidRPr="00E21AAB" w:rsidRDefault="00624F5B" w:rsidP="000F0EE0">
            <w:pPr>
              <w:pStyle w:val="Normal6a"/>
              <w:rPr>
                <w:szCs w:val="24"/>
              </w:rPr>
            </w:pPr>
            <w:r>
              <w:rPr>
                <w:b/>
                <w:i/>
              </w:rPr>
              <w:t xml:space="preserve">(12 bis) Préalablement au réexamen général du règlement (UE) 2023/1115 à effectuer d’ici au 30 juin 2030, dans un souci de simplification pour les opérateurs </w:t>
            </w:r>
            <w:r>
              <w:rPr>
                <w:b/>
                <w:i/>
              </w:rPr>
              <w:lastRenderedPageBreak/>
              <w:t xml:space="preserve">et les commerçants, la Commission devrait réaliser un examen de simplification du règlement (UE) 2023/1115 et présenter un rapport d’ici au 30 avril 2026. Ce rapport devrait évaluer la charge administrative et l’incidence de ce règlement, en particulier pour </w:t>
            </w:r>
            <w:proofErr w:type="gramStart"/>
            <w:r>
              <w:rPr>
                <w:b/>
                <w:i/>
              </w:rPr>
              <w:t>les micro</w:t>
            </w:r>
            <w:proofErr w:type="gramEnd"/>
            <w:r>
              <w:rPr>
                <w:b/>
                <w:i/>
              </w:rPr>
              <w:t xml:space="preserve"> et les petits opérateurs. En outre, dans ce rapport, la Commission devrait indiquer les moyens possibles de remédier aux problèmes recensés, notamment au moyen de lignes directrices techniques, d’améliorations apportées au système informatique, d’actes délégués ou d’exécution conformément aux pouvoirs délégués prévus par le règlement et, le cas échéant, accompagner ledit rapport d’une proposition législative.</w:t>
            </w:r>
          </w:p>
        </w:tc>
      </w:tr>
    </w:tbl>
    <w:p w14:paraId="71BD14BF" w14:textId="77777777" w:rsidR="00624F5B" w:rsidRPr="00B7054D" w:rsidRDefault="00624F5B" w:rsidP="00624F5B">
      <w:pPr>
        <w:pStyle w:val="AmNumberTabs"/>
        <w:spacing w:before="120"/>
        <w:rPr>
          <w:lang w:val="fr-BE"/>
        </w:rPr>
      </w:pPr>
      <w:r w:rsidRPr="00B7054D">
        <w:rPr>
          <w:lang w:val="fr-BE"/>
        </w:rPr>
        <w:lastRenderedPageBreak/>
        <w:t>Amendement</w:t>
      </w:r>
      <w:r w:rsidRPr="00B7054D">
        <w:rPr>
          <w:lang w:val="fr-BE"/>
        </w:rPr>
        <w:tab/>
      </w:r>
      <w:r w:rsidRPr="00B7054D">
        <w:rPr>
          <w:lang w:val="fr-BE"/>
        </w:rPr>
        <w:tab/>
        <w:t>107</w:t>
      </w:r>
    </w:p>
    <w:p w14:paraId="7DD1EAA1" w14:textId="77777777" w:rsidR="00624F5B" w:rsidRPr="00B7054D" w:rsidRDefault="00624F5B" w:rsidP="00624F5B">
      <w:pPr>
        <w:pStyle w:val="NormalBold"/>
        <w:spacing w:before="120"/>
        <w:rPr>
          <w:lang w:val="fr-BE"/>
        </w:rPr>
      </w:pPr>
      <w:r w:rsidRPr="00B7054D">
        <w:rPr>
          <w:lang w:val="fr-BE"/>
        </w:rPr>
        <w:t>Proposition de règlement</w:t>
      </w:r>
    </w:p>
    <w:p w14:paraId="79231D71" w14:textId="77777777" w:rsidR="00624F5B" w:rsidRPr="00B7054D" w:rsidRDefault="00624F5B" w:rsidP="00624F5B">
      <w:pPr>
        <w:pStyle w:val="NormalBold"/>
        <w:rPr>
          <w:lang w:val="fr-BE"/>
        </w:rPr>
      </w:pPr>
      <w:r w:rsidRPr="00B7054D">
        <w:rPr>
          <w:lang w:val="fr-BE"/>
        </w:rPr>
        <w:t>Considérant 12 ter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4F5B" w14:paraId="12D86273" w14:textId="77777777" w:rsidTr="000F0EE0">
        <w:trPr>
          <w:jc w:val="center"/>
        </w:trPr>
        <w:tc>
          <w:tcPr>
            <w:tcW w:w="9752" w:type="dxa"/>
            <w:gridSpan w:val="2"/>
          </w:tcPr>
          <w:p w14:paraId="532D7B19" w14:textId="77777777" w:rsidR="00624F5B" w:rsidRPr="00E21AAB" w:rsidRDefault="00624F5B" w:rsidP="000F0EE0">
            <w:pPr>
              <w:keepNext/>
            </w:pPr>
          </w:p>
        </w:tc>
      </w:tr>
      <w:tr w:rsidR="00624F5B" w14:paraId="13A1EAFE" w14:textId="77777777" w:rsidTr="000F0EE0">
        <w:trPr>
          <w:jc w:val="center"/>
        </w:trPr>
        <w:tc>
          <w:tcPr>
            <w:tcW w:w="4876" w:type="dxa"/>
          </w:tcPr>
          <w:p w14:paraId="12458CA1" w14:textId="77777777" w:rsidR="00624F5B" w:rsidRPr="00E21AAB" w:rsidRDefault="00624F5B" w:rsidP="000F0EE0">
            <w:pPr>
              <w:pStyle w:val="AmColumnHeading"/>
              <w:keepNext/>
            </w:pPr>
            <w:r>
              <w:t>Texte proposé par la Commission</w:t>
            </w:r>
          </w:p>
        </w:tc>
        <w:tc>
          <w:tcPr>
            <w:tcW w:w="4876" w:type="dxa"/>
          </w:tcPr>
          <w:p w14:paraId="1130AE78" w14:textId="77777777" w:rsidR="00624F5B" w:rsidRPr="00E21AAB" w:rsidRDefault="00624F5B" w:rsidP="000F0EE0">
            <w:pPr>
              <w:pStyle w:val="AmColumnHeading"/>
              <w:keepNext/>
            </w:pPr>
            <w:r>
              <w:t>Amendement</w:t>
            </w:r>
          </w:p>
        </w:tc>
      </w:tr>
      <w:tr w:rsidR="00624F5B" w14:paraId="5DAF84F8" w14:textId="77777777" w:rsidTr="000F0EE0">
        <w:trPr>
          <w:jc w:val="center"/>
        </w:trPr>
        <w:tc>
          <w:tcPr>
            <w:tcW w:w="4876" w:type="dxa"/>
          </w:tcPr>
          <w:p w14:paraId="45C0CAFE" w14:textId="77777777" w:rsidR="00624F5B" w:rsidRPr="00E21AAB" w:rsidRDefault="00624F5B" w:rsidP="000F0EE0">
            <w:pPr>
              <w:pStyle w:val="Normal6a"/>
            </w:pPr>
          </w:p>
        </w:tc>
        <w:tc>
          <w:tcPr>
            <w:tcW w:w="4876" w:type="dxa"/>
          </w:tcPr>
          <w:p w14:paraId="10385F5F" w14:textId="77777777" w:rsidR="00624F5B" w:rsidRPr="00E21AAB" w:rsidRDefault="00624F5B" w:rsidP="000F0EE0">
            <w:pPr>
              <w:pStyle w:val="Normal6a"/>
              <w:rPr>
                <w:szCs w:val="24"/>
              </w:rPr>
            </w:pPr>
            <w:r>
              <w:rPr>
                <w:b/>
                <w:i/>
              </w:rPr>
              <w:t>(12 ter) La date d’application des dispositions du règlement (UE) 2023/1115 qui imposent des obligations aux opérateurs, aux commerçants et aux autorités compétentes, énumérées à l’article 38, paragraphe 2, dudit règlement, devrait être reportée de douze mois. Ce report est nécessaire pour permettre aux pays tiers, aux États membres, aux opérateurs et aux commerçants d’être pleinement préparés, et notamment pour permettre à ces opérateurs et commerçants de mettre en place les systèmes de diligence raisonnée nécessaires couvrant tous les produits de base en cause et produits en cause, afin d’être en mesure de respecter pleinement leurs obligations.</w:t>
            </w:r>
          </w:p>
        </w:tc>
      </w:tr>
    </w:tbl>
    <w:p w14:paraId="0A40E448" w14:textId="77777777" w:rsidR="00624F5B" w:rsidRDefault="00624F5B" w:rsidP="00624F5B">
      <w:pPr>
        <w:pStyle w:val="NormalBold"/>
        <w:spacing w:after="120"/>
        <w:rPr>
          <w:b w:val="0"/>
          <w:bCs/>
          <w:lang w:val="fr-FR"/>
        </w:rPr>
      </w:pPr>
    </w:p>
    <w:p w14:paraId="76825334" w14:textId="77777777" w:rsidR="00624F5B" w:rsidRPr="00E51FF2" w:rsidRDefault="00624F5B" w:rsidP="00624F5B">
      <w:pPr>
        <w:pStyle w:val="AmNumberTabs"/>
        <w:spacing w:before="120"/>
        <w:rPr>
          <w:lang w:val="fr-BE"/>
        </w:rPr>
      </w:pPr>
      <w:r w:rsidRPr="00E51FF2">
        <w:rPr>
          <w:lang w:val="fr-BE"/>
        </w:rPr>
        <w:t>Amendement</w:t>
      </w:r>
      <w:r w:rsidRPr="00E51FF2">
        <w:rPr>
          <w:lang w:val="fr-BE"/>
        </w:rPr>
        <w:tab/>
      </w:r>
      <w:r w:rsidRPr="00E51FF2">
        <w:rPr>
          <w:lang w:val="fr-BE"/>
        </w:rPr>
        <w:tab/>
        <w:t>108</w:t>
      </w:r>
    </w:p>
    <w:p w14:paraId="00BEE2D0" w14:textId="77777777" w:rsidR="00624F5B" w:rsidRPr="00B7054D" w:rsidRDefault="00624F5B" w:rsidP="00624F5B">
      <w:pPr>
        <w:pStyle w:val="NormalBold"/>
        <w:spacing w:before="120"/>
        <w:rPr>
          <w:lang w:val="fr-BE"/>
        </w:rPr>
      </w:pPr>
      <w:r w:rsidRPr="00B7054D">
        <w:rPr>
          <w:lang w:val="fr-BE"/>
        </w:rPr>
        <w:t>Proposition de règlement</w:t>
      </w:r>
    </w:p>
    <w:p w14:paraId="360FEED9" w14:textId="77777777" w:rsidR="00624F5B" w:rsidRPr="00E51FF2" w:rsidRDefault="00624F5B" w:rsidP="00624F5B">
      <w:pPr>
        <w:pStyle w:val="NormalBold"/>
        <w:rPr>
          <w:lang w:val="fr-BE"/>
        </w:rPr>
      </w:pPr>
      <w:r w:rsidRPr="00E51FF2">
        <w:rPr>
          <w:lang w:val="fr-BE"/>
        </w:rPr>
        <w:t>Considérant 13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4F5B" w14:paraId="7E49420E" w14:textId="77777777" w:rsidTr="000F0EE0">
        <w:trPr>
          <w:jc w:val="center"/>
        </w:trPr>
        <w:tc>
          <w:tcPr>
            <w:tcW w:w="9752" w:type="dxa"/>
            <w:gridSpan w:val="2"/>
          </w:tcPr>
          <w:p w14:paraId="1C4AD7E6" w14:textId="77777777" w:rsidR="00624F5B" w:rsidRPr="00E21AAB" w:rsidRDefault="00624F5B" w:rsidP="000F0EE0">
            <w:pPr>
              <w:keepNext/>
            </w:pPr>
          </w:p>
        </w:tc>
      </w:tr>
      <w:tr w:rsidR="00624F5B" w14:paraId="76201EE1" w14:textId="77777777" w:rsidTr="000F0EE0">
        <w:trPr>
          <w:jc w:val="center"/>
        </w:trPr>
        <w:tc>
          <w:tcPr>
            <w:tcW w:w="4876" w:type="dxa"/>
          </w:tcPr>
          <w:p w14:paraId="5B78196E" w14:textId="77777777" w:rsidR="00624F5B" w:rsidRPr="00E21AAB" w:rsidRDefault="00624F5B" w:rsidP="000F0EE0">
            <w:pPr>
              <w:pStyle w:val="AmColumnHeading"/>
              <w:keepNext/>
            </w:pPr>
            <w:r>
              <w:t>Texte proposé par la Commission</w:t>
            </w:r>
          </w:p>
        </w:tc>
        <w:tc>
          <w:tcPr>
            <w:tcW w:w="4876" w:type="dxa"/>
          </w:tcPr>
          <w:p w14:paraId="29748507" w14:textId="77777777" w:rsidR="00624F5B" w:rsidRPr="00E21AAB" w:rsidRDefault="00624F5B" w:rsidP="000F0EE0">
            <w:pPr>
              <w:pStyle w:val="AmColumnHeading"/>
              <w:keepNext/>
            </w:pPr>
            <w:r>
              <w:t>Amendement</w:t>
            </w:r>
          </w:p>
        </w:tc>
      </w:tr>
      <w:tr w:rsidR="00624F5B" w14:paraId="57614E14" w14:textId="77777777" w:rsidTr="000F0EE0">
        <w:trPr>
          <w:jc w:val="center"/>
        </w:trPr>
        <w:tc>
          <w:tcPr>
            <w:tcW w:w="4876" w:type="dxa"/>
          </w:tcPr>
          <w:p w14:paraId="494D8690" w14:textId="0CB801BC" w:rsidR="00624F5B" w:rsidRPr="00E21AAB" w:rsidRDefault="00624F5B" w:rsidP="000F0EE0">
            <w:pPr>
              <w:pStyle w:val="Normal6a"/>
              <w:rPr>
                <w:b/>
                <w:bCs/>
                <w:i/>
                <w:iCs/>
              </w:rPr>
            </w:pPr>
            <w:r>
              <w:rPr>
                <w:b/>
                <w:i/>
              </w:rPr>
              <w:t>(13)</w:t>
            </w:r>
            <w:r w:rsidR="002C2F3E">
              <w:rPr>
                <w:b/>
                <w:i/>
              </w:rPr>
              <w:tab/>
            </w:r>
            <w:r>
              <w:rPr>
                <w:b/>
                <w:i/>
              </w:rPr>
              <w:t>Afin de laisser suffisamment de temps aux opérateurs qui sont des micro ou petites entreprises au sens de l’article 3, paragraphe 1, ou de l’article 3, paragraphe 2, premier alinéa, de la directive 2013/34/UE pour mettre en œuvre les modifications proposées, les dates correspondantes d’application des dispositions du règlement (UE) 2023/1115 qui imposent des obligations aux opérateurs, aux commerçants et aux autorités compétentes figurant à l’article 38, paragraphe 2, dudit règlement devrait être fixées au 30 décembre 2026 pour les micro et petits opérateurs.</w:t>
            </w:r>
          </w:p>
        </w:tc>
        <w:tc>
          <w:tcPr>
            <w:tcW w:w="4876" w:type="dxa"/>
          </w:tcPr>
          <w:p w14:paraId="3E3020A6" w14:textId="77777777" w:rsidR="00624F5B" w:rsidRPr="00E21AAB" w:rsidRDefault="00624F5B" w:rsidP="000F0EE0">
            <w:pPr>
              <w:pStyle w:val="Normal6a"/>
              <w:rPr>
                <w:szCs w:val="24"/>
              </w:rPr>
            </w:pPr>
            <w:r>
              <w:rPr>
                <w:b/>
                <w:i/>
              </w:rPr>
              <w:t>supprimé</w:t>
            </w:r>
          </w:p>
        </w:tc>
      </w:tr>
    </w:tbl>
    <w:p w14:paraId="4AFD43EF" w14:textId="77777777" w:rsidR="00624F5B" w:rsidRDefault="00624F5B" w:rsidP="00624F5B">
      <w:pPr>
        <w:pStyle w:val="NormalBold"/>
        <w:spacing w:after="120"/>
        <w:rPr>
          <w:b w:val="0"/>
          <w:bCs/>
          <w:lang w:val="fr-FR"/>
        </w:rPr>
      </w:pPr>
    </w:p>
    <w:p w14:paraId="71240C86" w14:textId="0BC4E557" w:rsidR="00624F5B" w:rsidRPr="009E28C1" w:rsidRDefault="00624F5B" w:rsidP="00624F5B">
      <w:pPr>
        <w:pStyle w:val="AmNumberTabs"/>
        <w:spacing w:before="120"/>
        <w:rPr>
          <w:lang w:val="en-GB"/>
        </w:rPr>
      </w:pPr>
      <w:proofErr w:type="spellStart"/>
      <w:r w:rsidRPr="009E28C1">
        <w:rPr>
          <w:lang w:val="en-GB"/>
        </w:rPr>
        <w:t>Amendement</w:t>
      </w:r>
      <w:r>
        <w:rPr>
          <w:lang w:val="en-GB"/>
        </w:rPr>
        <w:t>s</w:t>
      </w:r>
      <w:proofErr w:type="spellEnd"/>
      <w:r w:rsidRPr="009E28C1">
        <w:rPr>
          <w:lang w:val="en-GB"/>
        </w:rPr>
        <w:tab/>
      </w:r>
      <w:r w:rsidRPr="009E28C1">
        <w:rPr>
          <w:lang w:val="en-GB"/>
        </w:rPr>
        <w:tab/>
      </w:r>
      <w:r>
        <w:rPr>
          <w:lang w:val="en-GB"/>
        </w:rPr>
        <w:t>72 et 110</w:t>
      </w:r>
    </w:p>
    <w:p w14:paraId="0F0175AE" w14:textId="77777777" w:rsidR="00624F5B" w:rsidRPr="009E28C1" w:rsidRDefault="00624F5B" w:rsidP="00624F5B">
      <w:pPr>
        <w:pStyle w:val="NormalBold"/>
        <w:spacing w:before="120"/>
        <w:rPr>
          <w:lang w:val="fr-BE"/>
        </w:rPr>
      </w:pPr>
      <w:r w:rsidRPr="009E28C1">
        <w:rPr>
          <w:lang w:val="fr-BE"/>
        </w:rPr>
        <w:t>Proposition de règlement</w:t>
      </w:r>
    </w:p>
    <w:p w14:paraId="460C5792" w14:textId="77777777" w:rsidR="00624F5B" w:rsidRPr="00E21AAB" w:rsidRDefault="00624F5B" w:rsidP="00624F5B">
      <w:pPr>
        <w:pStyle w:val="NormalBold"/>
      </w:pPr>
      <w:proofErr w:type="spellStart"/>
      <w:r>
        <w:t>Considérant</w:t>
      </w:r>
      <w:proofErr w:type="spellEnd"/>
      <w:r>
        <w:t>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4F5B" w14:paraId="250576E2" w14:textId="77777777" w:rsidTr="000F0EE0">
        <w:trPr>
          <w:jc w:val="center"/>
        </w:trPr>
        <w:tc>
          <w:tcPr>
            <w:tcW w:w="9752" w:type="dxa"/>
            <w:gridSpan w:val="2"/>
          </w:tcPr>
          <w:p w14:paraId="62886131" w14:textId="77777777" w:rsidR="00624F5B" w:rsidRPr="00E21AAB" w:rsidRDefault="00624F5B" w:rsidP="000F0EE0">
            <w:pPr>
              <w:keepNext/>
            </w:pPr>
          </w:p>
        </w:tc>
      </w:tr>
      <w:tr w:rsidR="00624F5B" w14:paraId="19AEFB1C" w14:textId="77777777" w:rsidTr="000F0EE0">
        <w:trPr>
          <w:jc w:val="center"/>
        </w:trPr>
        <w:tc>
          <w:tcPr>
            <w:tcW w:w="4876" w:type="dxa"/>
          </w:tcPr>
          <w:p w14:paraId="5DAE8D06" w14:textId="77777777" w:rsidR="00624F5B" w:rsidRPr="00E21AAB" w:rsidRDefault="00624F5B" w:rsidP="000F0EE0">
            <w:pPr>
              <w:pStyle w:val="AmColumnHeading"/>
              <w:keepNext/>
            </w:pPr>
            <w:r>
              <w:t>Texte proposé par la Commission</w:t>
            </w:r>
          </w:p>
        </w:tc>
        <w:tc>
          <w:tcPr>
            <w:tcW w:w="4876" w:type="dxa"/>
          </w:tcPr>
          <w:p w14:paraId="0C64FF9E" w14:textId="77777777" w:rsidR="00624F5B" w:rsidRPr="00E21AAB" w:rsidRDefault="00624F5B" w:rsidP="000F0EE0">
            <w:pPr>
              <w:pStyle w:val="AmColumnHeading"/>
              <w:keepNext/>
            </w:pPr>
            <w:r>
              <w:t>Amendement</w:t>
            </w:r>
          </w:p>
        </w:tc>
      </w:tr>
      <w:tr w:rsidR="00624F5B" w14:paraId="415EA740" w14:textId="77777777" w:rsidTr="000F0EE0">
        <w:trPr>
          <w:jc w:val="center"/>
        </w:trPr>
        <w:tc>
          <w:tcPr>
            <w:tcW w:w="4876" w:type="dxa"/>
          </w:tcPr>
          <w:p w14:paraId="68E4292D" w14:textId="0A274C23" w:rsidR="00624F5B" w:rsidRPr="00E21AAB" w:rsidRDefault="00624F5B" w:rsidP="000F0EE0">
            <w:pPr>
              <w:pStyle w:val="Normal6a"/>
              <w:rPr>
                <w:b/>
                <w:bCs/>
                <w:i/>
                <w:iCs/>
              </w:rPr>
            </w:pPr>
            <w:r>
              <w:rPr>
                <w:b/>
                <w:i/>
              </w:rPr>
              <w:t>(15)</w:t>
            </w:r>
            <w:r w:rsidR="002C2F3E">
              <w:rPr>
                <w:b/>
                <w:i/>
              </w:rPr>
              <w:tab/>
            </w:r>
            <w:r>
              <w:rPr>
                <w:b/>
                <w:i/>
              </w:rPr>
              <w:t>Lorsqu’une autorité compétente constate une non-conformité au règlement (UE) 2023/1115 ou en est informée avant l’entrée en application des articles 16 à 19, de l’article 22 et de l’article 24, elle peut adresser aux opérateurs, aux opérateurs en aval et aux commerçants des avertissements assortis de recommandations visant à assurer le respect des dispositions.</w:t>
            </w:r>
          </w:p>
        </w:tc>
        <w:tc>
          <w:tcPr>
            <w:tcW w:w="4876" w:type="dxa"/>
          </w:tcPr>
          <w:p w14:paraId="140C928B" w14:textId="77777777" w:rsidR="00624F5B" w:rsidRPr="00E21AAB" w:rsidRDefault="00624F5B" w:rsidP="000F0EE0">
            <w:pPr>
              <w:pStyle w:val="Normal6a"/>
              <w:rPr>
                <w:szCs w:val="24"/>
              </w:rPr>
            </w:pPr>
            <w:r>
              <w:rPr>
                <w:b/>
                <w:i/>
              </w:rPr>
              <w:t>supprimé</w:t>
            </w:r>
          </w:p>
        </w:tc>
      </w:tr>
    </w:tbl>
    <w:p w14:paraId="6EAC83E8" w14:textId="77777777" w:rsidR="002C2F3E" w:rsidRDefault="002C2F3E" w:rsidP="00624F5B">
      <w:pPr>
        <w:pStyle w:val="AmNumberTabs"/>
        <w:spacing w:before="120"/>
      </w:pPr>
    </w:p>
    <w:p w14:paraId="67432A66" w14:textId="0903B7BD" w:rsidR="00624F5B" w:rsidRPr="00E21AAB" w:rsidRDefault="00624F5B" w:rsidP="00624F5B">
      <w:pPr>
        <w:pStyle w:val="AmNumberTabs"/>
        <w:spacing w:before="120"/>
      </w:pPr>
      <w:r>
        <w:t>Amendement</w:t>
      </w:r>
      <w:r>
        <w:tab/>
      </w:r>
      <w:r>
        <w:tab/>
        <w:t>111</w:t>
      </w:r>
    </w:p>
    <w:p w14:paraId="16BE7754" w14:textId="77777777" w:rsidR="00624F5B" w:rsidRPr="009E28C1" w:rsidRDefault="00624F5B" w:rsidP="00624F5B">
      <w:pPr>
        <w:pStyle w:val="NormalBold"/>
        <w:spacing w:before="120"/>
        <w:rPr>
          <w:lang w:val="fr-BE"/>
        </w:rPr>
      </w:pPr>
      <w:r w:rsidRPr="009E28C1">
        <w:rPr>
          <w:lang w:val="fr-BE"/>
        </w:rPr>
        <w:t>Proposition de règlement</w:t>
      </w:r>
    </w:p>
    <w:p w14:paraId="23F4970D" w14:textId="77777777" w:rsidR="00624F5B" w:rsidRPr="00E21AAB" w:rsidRDefault="00624F5B" w:rsidP="00624F5B">
      <w:pPr>
        <w:pStyle w:val="NormalBold"/>
      </w:pPr>
      <w:proofErr w:type="spellStart"/>
      <w:r>
        <w:t>Considérant</w:t>
      </w:r>
      <w:proofErr w:type="spellEnd"/>
      <w:r>
        <w:t>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4F5B" w14:paraId="16CC2DF5" w14:textId="77777777" w:rsidTr="000F0EE0">
        <w:trPr>
          <w:jc w:val="center"/>
        </w:trPr>
        <w:tc>
          <w:tcPr>
            <w:tcW w:w="9752" w:type="dxa"/>
            <w:gridSpan w:val="2"/>
          </w:tcPr>
          <w:p w14:paraId="795396C6" w14:textId="77777777" w:rsidR="00624F5B" w:rsidRPr="00E21AAB" w:rsidRDefault="00624F5B" w:rsidP="000F0EE0">
            <w:pPr>
              <w:keepNext/>
            </w:pPr>
          </w:p>
        </w:tc>
      </w:tr>
      <w:tr w:rsidR="00624F5B" w14:paraId="1FDB6C64" w14:textId="77777777" w:rsidTr="000F0EE0">
        <w:trPr>
          <w:jc w:val="center"/>
        </w:trPr>
        <w:tc>
          <w:tcPr>
            <w:tcW w:w="4876" w:type="dxa"/>
          </w:tcPr>
          <w:p w14:paraId="320BC594" w14:textId="77777777" w:rsidR="00624F5B" w:rsidRPr="00E21AAB" w:rsidRDefault="00624F5B" w:rsidP="000F0EE0">
            <w:pPr>
              <w:pStyle w:val="AmColumnHeading"/>
              <w:keepNext/>
            </w:pPr>
            <w:r>
              <w:t>Texte proposé par la Commission</w:t>
            </w:r>
          </w:p>
        </w:tc>
        <w:tc>
          <w:tcPr>
            <w:tcW w:w="4876" w:type="dxa"/>
          </w:tcPr>
          <w:p w14:paraId="08A793BD" w14:textId="77777777" w:rsidR="00624F5B" w:rsidRPr="00E21AAB" w:rsidRDefault="00624F5B" w:rsidP="000F0EE0">
            <w:pPr>
              <w:pStyle w:val="AmColumnHeading"/>
              <w:keepNext/>
            </w:pPr>
            <w:r>
              <w:t>Amendement</w:t>
            </w:r>
          </w:p>
        </w:tc>
      </w:tr>
      <w:tr w:rsidR="00624F5B" w14:paraId="59979341" w14:textId="77777777" w:rsidTr="000F0EE0">
        <w:trPr>
          <w:jc w:val="center"/>
        </w:trPr>
        <w:tc>
          <w:tcPr>
            <w:tcW w:w="4876" w:type="dxa"/>
          </w:tcPr>
          <w:p w14:paraId="3FD9EAAE" w14:textId="20A08F18" w:rsidR="00624F5B" w:rsidRPr="00E21AAB" w:rsidRDefault="00624F5B" w:rsidP="000F0EE0">
            <w:pPr>
              <w:pStyle w:val="Normal6a"/>
            </w:pPr>
            <w:r>
              <w:t>(16)</w:t>
            </w:r>
            <w:r w:rsidR="002C2F3E">
              <w:rPr>
                <w:b/>
                <w:i/>
              </w:rPr>
              <w:tab/>
            </w:r>
            <w:r>
              <w:t xml:space="preserve">Compte tenu du report de </w:t>
            </w:r>
            <w:r>
              <w:rPr>
                <w:b/>
                <w:i/>
              </w:rPr>
              <w:t>la date à partir</w:t>
            </w:r>
            <w:r>
              <w:t xml:space="preserve"> de </w:t>
            </w:r>
            <w:r>
              <w:rPr>
                <w:b/>
                <w:i/>
              </w:rPr>
              <w:t xml:space="preserve">laquelle </w:t>
            </w:r>
            <w:proofErr w:type="gramStart"/>
            <w:r>
              <w:rPr>
                <w:b/>
                <w:i/>
              </w:rPr>
              <w:t>les micro</w:t>
            </w:r>
            <w:proofErr w:type="gramEnd"/>
            <w:r>
              <w:rPr>
                <w:b/>
                <w:i/>
              </w:rPr>
              <w:t xml:space="preserve"> et petits opérateurs sont tenus de se conformer au</w:t>
            </w:r>
            <w:r>
              <w:t xml:space="preserve"> règlement</w:t>
            </w:r>
            <w:r>
              <w:rPr>
                <w:b/>
                <w:i/>
              </w:rPr>
              <w:t xml:space="preserve"> </w:t>
            </w:r>
            <w:r>
              <w:t>(UE)</w:t>
            </w:r>
            <w:r>
              <w:rPr>
                <w:b/>
                <w:i/>
              </w:rPr>
              <w:t xml:space="preserve"> </w:t>
            </w:r>
            <w:r>
              <w:t xml:space="preserve">2023/1115, il convient d’adapter en conséquence les dates figurant dans d’autres dispositions connexes, à </w:t>
            </w:r>
            <w:r>
              <w:lastRenderedPageBreak/>
              <w:t>savoir l’abrogation du règlement</w:t>
            </w:r>
            <w:r>
              <w:rPr>
                <w:b/>
                <w:i/>
              </w:rPr>
              <w:t xml:space="preserve"> </w:t>
            </w:r>
            <w:r>
              <w:t>(UE)</w:t>
            </w:r>
            <w:r>
              <w:rPr>
                <w:b/>
                <w:i/>
              </w:rPr>
              <w:t xml:space="preserve"> </w:t>
            </w:r>
            <w:r>
              <w:t>nº 995/2010 du Parlement</w:t>
            </w:r>
            <w:r>
              <w:rPr>
                <w:b/>
                <w:i/>
              </w:rPr>
              <w:t xml:space="preserve"> </w:t>
            </w:r>
            <w:r>
              <w:t>européen et du Conseil</w:t>
            </w:r>
            <w:r>
              <w:rPr>
                <w:b/>
                <w:i/>
                <w:vertAlign w:val="superscript"/>
              </w:rPr>
              <w:t>8</w:t>
            </w:r>
            <w:r>
              <w:t xml:space="preserve">, les dispositions </w:t>
            </w:r>
            <w:r>
              <w:rPr>
                <w:b/>
                <w:i/>
              </w:rPr>
              <w:t xml:space="preserve">transitoires et les dispositions </w:t>
            </w:r>
            <w:r>
              <w:t>relatives à l’application différée du règlement</w:t>
            </w:r>
            <w:r>
              <w:rPr>
                <w:b/>
                <w:i/>
              </w:rPr>
              <w:t xml:space="preserve"> </w:t>
            </w:r>
            <w:r>
              <w:t>(UE)</w:t>
            </w:r>
            <w:r>
              <w:rPr>
                <w:b/>
                <w:i/>
              </w:rPr>
              <w:t xml:space="preserve"> </w:t>
            </w:r>
            <w:r>
              <w:t>2023/1115 aux micro et petites entreprises. Afin que suffisamment de temps soit accordé à l’alignement des évolutions techniques de l’interface électronique sur la base de l’environnement du guichet unique de l’Union européenne pour les douanes, il convient d’adapter en conséquence la date butoir de mise en place de l’interface électronique.</w:t>
            </w:r>
          </w:p>
        </w:tc>
        <w:tc>
          <w:tcPr>
            <w:tcW w:w="4876" w:type="dxa"/>
          </w:tcPr>
          <w:p w14:paraId="260CF173" w14:textId="4A9E3DEC" w:rsidR="00624F5B" w:rsidRPr="00E21AAB" w:rsidRDefault="00624F5B" w:rsidP="000F0EE0">
            <w:pPr>
              <w:pStyle w:val="Normal6a"/>
              <w:rPr>
                <w:szCs w:val="24"/>
              </w:rPr>
            </w:pPr>
            <w:r>
              <w:lastRenderedPageBreak/>
              <w:t>(16)</w:t>
            </w:r>
            <w:r w:rsidR="002C2F3E">
              <w:rPr>
                <w:b/>
                <w:i/>
              </w:rPr>
              <w:tab/>
            </w:r>
            <w:r>
              <w:t xml:space="preserve">Compte tenu du report de </w:t>
            </w:r>
            <w:r>
              <w:rPr>
                <w:b/>
                <w:i/>
              </w:rPr>
              <w:t>douze mois</w:t>
            </w:r>
            <w:r>
              <w:t xml:space="preserve"> de </w:t>
            </w:r>
            <w:r>
              <w:rPr>
                <w:b/>
                <w:i/>
              </w:rPr>
              <w:t>la date d’application fixée à l’article 38, paragraphe 2, du</w:t>
            </w:r>
            <w:r>
              <w:t xml:space="preserve"> règlement</w:t>
            </w:r>
            <w:r>
              <w:rPr>
                <w:b/>
                <w:i/>
              </w:rPr>
              <w:t> </w:t>
            </w:r>
            <w:r>
              <w:t>(UE)</w:t>
            </w:r>
            <w:r>
              <w:rPr>
                <w:b/>
                <w:i/>
              </w:rPr>
              <w:t> </w:t>
            </w:r>
            <w:r>
              <w:t xml:space="preserve">2023/1115, il convient d’adapter en conséquence les dates figurant dans d’autres dispositions connexes, à </w:t>
            </w:r>
            <w:r>
              <w:lastRenderedPageBreak/>
              <w:t>savoir l’abrogation du règlement</w:t>
            </w:r>
            <w:r>
              <w:rPr>
                <w:b/>
                <w:i/>
              </w:rPr>
              <w:t> </w:t>
            </w:r>
            <w:r>
              <w:t>(UE)</w:t>
            </w:r>
            <w:r>
              <w:rPr>
                <w:b/>
                <w:i/>
              </w:rPr>
              <w:t> </w:t>
            </w:r>
            <w:r>
              <w:t>nº 995/2010 du Parlement</w:t>
            </w:r>
            <w:r>
              <w:rPr>
                <w:b/>
                <w:i/>
              </w:rPr>
              <w:t> </w:t>
            </w:r>
            <w:r>
              <w:t>européen et du Conseil, les dispositions relatives à l’application différée du règlement</w:t>
            </w:r>
            <w:r>
              <w:rPr>
                <w:b/>
                <w:i/>
              </w:rPr>
              <w:t> </w:t>
            </w:r>
            <w:r>
              <w:t>(UE)</w:t>
            </w:r>
            <w:r>
              <w:rPr>
                <w:b/>
                <w:i/>
              </w:rPr>
              <w:t> </w:t>
            </w:r>
            <w:r>
              <w:t>2023/1115</w:t>
            </w:r>
            <w:r>
              <w:rPr>
                <w:b/>
                <w:i/>
              </w:rPr>
              <w:t xml:space="preserve"> aux personnes physiques,</w:t>
            </w:r>
            <w:r>
              <w:t xml:space="preserve"> </w:t>
            </w:r>
            <w:proofErr w:type="gramStart"/>
            <w:r>
              <w:t>aux micro</w:t>
            </w:r>
            <w:proofErr w:type="gramEnd"/>
            <w:r>
              <w:t xml:space="preserve"> et petites entreprises. Afin que suffisamment de temps soit accordé à l’alignement des évolutions techniques de l’interface électronique sur la base de l’environnement du guichet unique de l’Union européenne pour les douanes, il convient d’adapter en conséquence la date butoir de mise en place de l’interface électronique.</w:t>
            </w:r>
          </w:p>
        </w:tc>
      </w:tr>
    </w:tbl>
    <w:p w14:paraId="76A0A9D3" w14:textId="77777777" w:rsidR="002C2F3E" w:rsidRDefault="002C2F3E" w:rsidP="00624F5B">
      <w:pPr>
        <w:pStyle w:val="AmNumberTabs"/>
        <w:spacing w:before="120"/>
        <w:rPr>
          <w:lang w:val="fr-BE"/>
        </w:rPr>
      </w:pPr>
    </w:p>
    <w:p w14:paraId="26F91395" w14:textId="79E2388E" w:rsidR="00624F5B" w:rsidRPr="00E51FF2" w:rsidRDefault="00624F5B" w:rsidP="00624F5B">
      <w:pPr>
        <w:pStyle w:val="AmNumberTabs"/>
        <w:spacing w:before="120"/>
        <w:rPr>
          <w:lang w:val="fr-BE"/>
        </w:rPr>
      </w:pPr>
      <w:r w:rsidRPr="00E51FF2">
        <w:rPr>
          <w:lang w:val="fr-BE"/>
        </w:rPr>
        <w:t>Amendement</w:t>
      </w:r>
      <w:r w:rsidRPr="00E51FF2">
        <w:rPr>
          <w:lang w:val="fr-BE"/>
        </w:rPr>
        <w:tab/>
      </w:r>
      <w:r w:rsidRPr="00E51FF2">
        <w:rPr>
          <w:lang w:val="fr-BE"/>
        </w:rPr>
        <w:tab/>
        <w:t>112</w:t>
      </w:r>
    </w:p>
    <w:p w14:paraId="3C711558" w14:textId="77777777" w:rsidR="00624F5B" w:rsidRPr="009E28C1" w:rsidRDefault="00624F5B" w:rsidP="00624F5B">
      <w:pPr>
        <w:pStyle w:val="NormalBold"/>
        <w:spacing w:before="120"/>
        <w:rPr>
          <w:lang w:val="fr-BE"/>
        </w:rPr>
      </w:pPr>
      <w:r w:rsidRPr="009E28C1">
        <w:rPr>
          <w:lang w:val="fr-BE"/>
        </w:rPr>
        <w:t>Proposition de règlement</w:t>
      </w:r>
    </w:p>
    <w:p w14:paraId="594C9F1E" w14:textId="77777777" w:rsidR="00624F5B" w:rsidRPr="00E51FF2" w:rsidRDefault="00624F5B" w:rsidP="00624F5B">
      <w:pPr>
        <w:pStyle w:val="NormalBold"/>
        <w:rPr>
          <w:lang w:val="fr-BE"/>
        </w:rPr>
      </w:pPr>
      <w:r w:rsidRPr="00E51FF2">
        <w:rPr>
          <w:lang w:val="fr-BE"/>
        </w:rPr>
        <w:t>Considérant 20 (nouveau)</w:t>
      </w:r>
    </w:p>
    <w:p w14:paraId="6B812D0B" w14:textId="77777777" w:rsidR="00624F5B" w:rsidRPr="00870773" w:rsidRDefault="00624F5B" w:rsidP="00624F5B"/>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4F5B" w14:paraId="743A6A15" w14:textId="77777777" w:rsidTr="000F0EE0">
        <w:trPr>
          <w:jc w:val="center"/>
        </w:trPr>
        <w:tc>
          <w:tcPr>
            <w:tcW w:w="9752" w:type="dxa"/>
            <w:gridSpan w:val="2"/>
          </w:tcPr>
          <w:p w14:paraId="55A9F575" w14:textId="77777777" w:rsidR="00624F5B" w:rsidRPr="00870773" w:rsidRDefault="00624F5B" w:rsidP="000F0EE0">
            <w:pPr>
              <w:keepNext/>
            </w:pPr>
          </w:p>
        </w:tc>
      </w:tr>
      <w:tr w:rsidR="00624F5B" w14:paraId="634A1E91" w14:textId="77777777" w:rsidTr="000F0EE0">
        <w:trPr>
          <w:jc w:val="center"/>
        </w:trPr>
        <w:tc>
          <w:tcPr>
            <w:tcW w:w="4876" w:type="dxa"/>
          </w:tcPr>
          <w:p w14:paraId="0004AD01" w14:textId="77777777" w:rsidR="00624F5B" w:rsidRPr="004A34CF" w:rsidRDefault="00624F5B" w:rsidP="000F0EE0">
            <w:pPr>
              <w:pStyle w:val="AmColumnHeading"/>
              <w:keepNext/>
            </w:pPr>
            <w:r>
              <w:t>Texte proposé par la Commission</w:t>
            </w:r>
          </w:p>
        </w:tc>
        <w:tc>
          <w:tcPr>
            <w:tcW w:w="4876" w:type="dxa"/>
          </w:tcPr>
          <w:p w14:paraId="4E6DBF20" w14:textId="77777777" w:rsidR="00624F5B" w:rsidRPr="00870773" w:rsidRDefault="00624F5B" w:rsidP="000F0EE0">
            <w:pPr>
              <w:pStyle w:val="AmColumnHeading"/>
              <w:keepNext/>
            </w:pPr>
            <w:r>
              <w:t>Amendement</w:t>
            </w:r>
          </w:p>
        </w:tc>
      </w:tr>
      <w:tr w:rsidR="00624F5B" w14:paraId="29244F84" w14:textId="77777777" w:rsidTr="000F0EE0">
        <w:trPr>
          <w:jc w:val="center"/>
        </w:trPr>
        <w:tc>
          <w:tcPr>
            <w:tcW w:w="4876" w:type="dxa"/>
          </w:tcPr>
          <w:p w14:paraId="2D83969D" w14:textId="77777777" w:rsidR="00624F5B" w:rsidRPr="00870773" w:rsidRDefault="00624F5B" w:rsidP="000F0EE0">
            <w:pPr>
              <w:pStyle w:val="Normal6a"/>
              <w:rPr>
                <w:b/>
                <w:bCs/>
                <w:i/>
                <w:iCs/>
              </w:rPr>
            </w:pPr>
          </w:p>
        </w:tc>
        <w:tc>
          <w:tcPr>
            <w:tcW w:w="4876" w:type="dxa"/>
          </w:tcPr>
          <w:p w14:paraId="2C35DB21" w14:textId="77777777" w:rsidR="00624F5B" w:rsidRPr="004A34CF" w:rsidRDefault="00624F5B" w:rsidP="000F0EE0">
            <w:pPr>
              <w:pStyle w:val="Normal6a"/>
              <w:rPr>
                <w:szCs w:val="24"/>
              </w:rPr>
            </w:pPr>
            <w:r>
              <w:rPr>
                <w:b/>
                <w:i/>
              </w:rPr>
              <w:t>(20)</w:t>
            </w:r>
            <w:r>
              <w:rPr>
                <w:b/>
                <w:i/>
              </w:rPr>
              <w:tab/>
              <w:t xml:space="preserve">Compte tenu de l’urgence d’adopter des simplifications ciblées et de reporter l’entrée en vigueur du règlement (UE) 2023/1115, il s’avère approprié d’invoquer l’exception au délai de </w:t>
            </w:r>
            <w:proofErr w:type="gramStart"/>
            <w:r>
              <w:rPr>
                <w:b/>
                <w:i/>
              </w:rPr>
              <w:t>huit semaines prévue</w:t>
            </w:r>
            <w:proofErr w:type="gramEnd"/>
            <w:r>
              <w:rPr>
                <w:b/>
                <w:i/>
              </w:rPr>
              <w:t xml:space="preserve"> à l’article 4 du protocole nº 1 sur le rôle des parlements nationaux dans l’Union européenne, annexé au traité sur l’Union européenne, au traité sur le fonctionnement de l’Union européenne et au traité instituant la Communauté européenne de l’énergie atomique.</w:t>
            </w:r>
          </w:p>
        </w:tc>
      </w:tr>
    </w:tbl>
    <w:p w14:paraId="0EEC95B7" w14:textId="77777777" w:rsidR="00624F5B" w:rsidRDefault="00624F5B" w:rsidP="00463CEB">
      <w:pPr>
        <w:pStyle w:val="NormalBold"/>
        <w:spacing w:after="120"/>
        <w:rPr>
          <w:lang w:val="fr-BE"/>
        </w:rPr>
      </w:pPr>
    </w:p>
    <w:p w14:paraId="61839D56" w14:textId="1A74D3C3" w:rsidR="00463CEB" w:rsidRPr="00463CEB" w:rsidRDefault="00463CEB" w:rsidP="00463CEB">
      <w:pPr>
        <w:pStyle w:val="NormalBold"/>
        <w:spacing w:after="120"/>
        <w:rPr>
          <w:lang w:val="fr-BE"/>
        </w:rPr>
      </w:pPr>
      <w:r w:rsidRPr="00463CEB">
        <w:rPr>
          <w:lang w:val="fr-BE"/>
        </w:rPr>
        <w:t>Amendement 113</w:t>
      </w:r>
    </w:p>
    <w:p w14:paraId="4E3F88A3" w14:textId="212FAF8C" w:rsidR="00463CEB" w:rsidRPr="00463CEB" w:rsidRDefault="00463CEB" w:rsidP="00463CEB">
      <w:pPr>
        <w:pStyle w:val="NormalBold"/>
        <w:rPr>
          <w:lang w:val="fr-BE"/>
        </w:rPr>
      </w:pPr>
      <w:r w:rsidRPr="00463CEB">
        <w:rPr>
          <w:lang w:val="fr-BE"/>
        </w:rPr>
        <w:t>Proposition de règlement</w:t>
      </w:r>
    </w:p>
    <w:p w14:paraId="7669BA84" w14:textId="24806E0E" w:rsidR="00463CEB" w:rsidRPr="00463CEB" w:rsidRDefault="00463CEB" w:rsidP="00463CEB">
      <w:pPr>
        <w:pStyle w:val="NormalBold"/>
        <w:rPr>
          <w:lang w:val="fr-BE"/>
        </w:rPr>
      </w:pPr>
      <w:r w:rsidRPr="00463CEB">
        <w:rPr>
          <w:lang w:val="fr-BE"/>
        </w:rPr>
        <w:t>Article 1 – point 1 – sous-point b</w:t>
      </w:r>
    </w:p>
    <w:p w14:paraId="512560F9" w14:textId="3D583537" w:rsidR="00463CEB" w:rsidRPr="00870773" w:rsidRDefault="00463CEB" w:rsidP="00463CEB">
      <w:r>
        <w:t>Règlement (UE) 2023/1115</w:t>
      </w:r>
    </w:p>
    <w:p w14:paraId="22061696" w14:textId="4A8A3AD2" w:rsidR="00463CEB" w:rsidRPr="00870773" w:rsidRDefault="00463CEB" w:rsidP="00463CEB">
      <w:r>
        <w:t>Article 2 – point 15 bis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3CEB" w14:paraId="51FC949D" w14:textId="77777777" w:rsidTr="00851FB6">
        <w:trPr>
          <w:jc w:val="center"/>
        </w:trPr>
        <w:tc>
          <w:tcPr>
            <w:tcW w:w="9752" w:type="dxa"/>
            <w:gridSpan w:val="2"/>
          </w:tcPr>
          <w:p w14:paraId="5E9D4212" w14:textId="77777777" w:rsidR="00463CEB" w:rsidRPr="00870773" w:rsidRDefault="00463CEB" w:rsidP="00851FB6">
            <w:pPr>
              <w:keepNext/>
            </w:pPr>
          </w:p>
        </w:tc>
      </w:tr>
      <w:tr w:rsidR="00463CEB" w14:paraId="79AE2A04" w14:textId="77777777" w:rsidTr="00851FB6">
        <w:trPr>
          <w:jc w:val="center"/>
        </w:trPr>
        <w:tc>
          <w:tcPr>
            <w:tcW w:w="4876" w:type="dxa"/>
          </w:tcPr>
          <w:p w14:paraId="61DE3056" w14:textId="77777777" w:rsidR="00463CEB" w:rsidRPr="004A34CF" w:rsidRDefault="00463CEB" w:rsidP="00851FB6">
            <w:pPr>
              <w:pStyle w:val="AmColumnHeading"/>
              <w:keepNext/>
            </w:pPr>
            <w:r>
              <w:t>Texte proposé par la Commission</w:t>
            </w:r>
          </w:p>
        </w:tc>
        <w:tc>
          <w:tcPr>
            <w:tcW w:w="4876" w:type="dxa"/>
          </w:tcPr>
          <w:p w14:paraId="23F14343" w14:textId="77777777" w:rsidR="00463CEB" w:rsidRPr="00870773" w:rsidRDefault="00463CEB" w:rsidP="00851FB6">
            <w:pPr>
              <w:pStyle w:val="AmColumnHeading"/>
              <w:keepNext/>
            </w:pPr>
            <w:r>
              <w:t>Amendement</w:t>
            </w:r>
          </w:p>
        </w:tc>
      </w:tr>
      <w:tr w:rsidR="00463CEB" w14:paraId="507974EF" w14:textId="77777777" w:rsidTr="00851FB6">
        <w:trPr>
          <w:jc w:val="center"/>
        </w:trPr>
        <w:tc>
          <w:tcPr>
            <w:tcW w:w="4876" w:type="dxa"/>
          </w:tcPr>
          <w:p w14:paraId="298EE300" w14:textId="77777777" w:rsidR="00463CEB" w:rsidRPr="004A34CF" w:rsidRDefault="00463CEB" w:rsidP="00851FB6">
            <w:pPr>
              <w:pStyle w:val="Normal6a"/>
              <w:rPr>
                <w:b/>
                <w:bCs/>
                <w:i/>
                <w:iCs/>
              </w:rPr>
            </w:pPr>
            <w:r>
              <w:t>15 bis)</w:t>
            </w:r>
            <w:r>
              <w:tab/>
              <w:t xml:space="preserve">“micro ou petit opérateur </w:t>
            </w:r>
            <w:proofErr w:type="spellStart"/>
            <w:r>
              <w:t>primaire”:un</w:t>
            </w:r>
            <w:proofErr w:type="spellEnd"/>
            <w:r>
              <w:t xml:space="preserve"> opérateur qui est une personne physique ou une micro ou petite entreprise au sens de l’article 3, </w:t>
            </w:r>
            <w:r>
              <w:lastRenderedPageBreak/>
              <w:t>paragraphe 1, et de l'article 3, paragraphe 2, premier</w:t>
            </w:r>
            <w:r>
              <w:rPr>
                <w:b/>
                <w:i/>
              </w:rPr>
              <w:t xml:space="preserve"> </w:t>
            </w:r>
            <w:r>
              <w:t>alinéa, de la directive 2013/34/UE du Parlement</w:t>
            </w:r>
            <w:r>
              <w:rPr>
                <w:b/>
                <w:i/>
              </w:rPr>
              <w:t xml:space="preserve"> </w:t>
            </w:r>
            <w:r>
              <w:t>européen et du Conseil*, quelle que soit sa forme juridique, établie dans un pays classé comme présentant un risque faible conformément à l’article 29 du présent règlement, et qui, dans le cadre d’une activité commerciale, met sur le marché ou exporte les produits en cause que cet opérateur a lui-même cultivés, récoltés, ou obtenus sur des parcelles concernées ou élevés sur ces parcelles ou, dans le cas des bovins, dans des établissements;</w:t>
            </w:r>
          </w:p>
        </w:tc>
        <w:tc>
          <w:tcPr>
            <w:tcW w:w="4876" w:type="dxa"/>
          </w:tcPr>
          <w:p w14:paraId="69A7411A" w14:textId="77777777" w:rsidR="00463CEB" w:rsidRPr="004A34CF" w:rsidRDefault="00463CEB" w:rsidP="00851FB6">
            <w:pPr>
              <w:pStyle w:val="Normal6a"/>
              <w:rPr>
                <w:szCs w:val="24"/>
              </w:rPr>
            </w:pPr>
            <w:r>
              <w:lastRenderedPageBreak/>
              <w:t>15 bis)</w:t>
            </w:r>
            <w:r>
              <w:tab/>
              <w:t>“micro ou petit opérateur primaire”:</w:t>
            </w:r>
            <w:r>
              <w:rPr>
                <w:b/>
                <w:i/>
              </w:rPr>
              <w:t xml:space="preserve"> </w:t>
            </w:r>
            <w:r>
              <w:t xml:space="preserve">un opérateur qui est une personne physique ou une micro ou petite entreprise au sens de l’article 3, paragraphe 1, et de </w:t>
            </w:r>
            <w:r>
              <w:lastRenderedPageBreak/>
              <w:t>l’article 3, paragraphe 2, premier</w:t>
            </w:r>
            <w:r>
              <w:rPr>
                <w:b/>
                <w:i/>
              </w:rPr>
              <w:t> </w:t>
            </w:r>
            <w:r>
              <w:t>alinéa, de la directive 2013/34/UE du Parlement</w:t>
            </w:r>
            <w:r>
              <w:rPr>
                <w:b/>
                <w:i/>
              </w:rPr>
              <w:t> </w:t>
            </w:r>
            <w:r>
              <w:t>européen et du Conseil*, quelle que soit sa forme juridique, établie dans un pays classé comme présentant un risque faible conformément à l’article 29 du présent règlement, et qui, dans le cadre d’une activité commerciale, met sur le marché ou exporte les produits en cause que cet opérateur a lui-même cultivés, récoltés, ou obtenus sur des parcelles concernées ou élevés sur ces parcelles ou, dans le cas des bovins, dans des établissements</w:t>
            </w:r>
            <w:r>
              <w:rPr>
                <w:b/>
                <w:i/>
              </w:rPr>
              <w:t>, situés dans ce pays; cela inclut les opérateurs qui dépassent les limites d’au moins deux des trois critères énoncés à l’article 3, paragraphe 1, et paragraphe 2, premier alinéa, de la directive 2013/34/UE, mais qui peuvent démontrer que les parties de leur bilan annuel, de leur chiffre d’affaires net et du nombre moyen de salariés au cours de l’exercice qui se rapportent à leurs activités couvertes par le présent règlement ne dépassent pas les limites d’au moins deux des trois critères;</w:t>
            </w:r>
          </w:p>
        </w:tc>
      </w:tr>
    </w:tbl>
    <w:p w14:paraId="3F395C04" w14:textId="2F4C921C" w:rsidR="00463CEB" w:rsidRPr="00463CEB" w:rsidRDefault="00463CEB" w:rsidP="00463CEB">
      <w:pPr>
        <w:pStyle w:val="NormalBold"/>
        <w:spacing w:after="120"/>
        <w:rPr>
          <w:lang w:val="fr-BE"/>
        </w:rPr>
      </w:pPr>
      <w:r w:rsidRPr="00463CEB">
        <w:rPr>
          <w:lang w:val="fr-BE"/>
        </w:rPr>
        <w:lastRenderedPageBreak/>
        <w:t>Amendement</w:t>
      </w:r>
      <w:r>
        <w:rPr>
          <w:lang w:val="fr-BE"/>
        </w:rPr>
        <w:t>s</w:t>
      </w:r>
      <w:r w:rsidRPr="00463CEB">
        <w:rPr>
          <w:lang w:val="fr-BE"/>
        </w:rPr>
        <w:t xml:space="preserve"> </w:t>
      </w:r>
      <w:r>
        <w:rPr>
          <w:lang w:val="fr-BE"/>
        </w:rPr>
        <w:t xml:space="preserve">74 et </w:t>
      </w:r>
      <w:r w:rsidRPr="00463CEB">
        <w:rPr>
          <w:lang w:val="fr-BE"/>
        </w:rPr>
        <w:t>11</w:t>
      </w:r>
      <w:r>
        <w:rPr>
          <w:lang w:val="fr-BE"/>
        </w:rPr>
        <w:t>4</w:t>
      </w:r>
    </w:p>
    <w:p w14:paraId="17EB9671" w14:textId="0FFC7C32" w:rsidR="00463CEB" w:rsidRPr="00463CEB" w:rsidRDefault="00463CEB" w:rsidP="00463CEB">
      <w:pPr>
        <w:pStyle w:val="NormalBold"/>
        <w:rPr>
          <w:lang w:val="fr-BE"/>
        </w:rPr>
      </w:pPr>
      <w:r w:rsidRPr="00463CEB">
        <w:rPr>
          <w:lang w:val="fr-BE"/>
        </w:rPr>
        <w:t>Proposition de règlement</w:t>
      </w:r>
    </w:p>
    <w:p w14:paraId="43F72087" w14:textId="351151FF" w:rsidR="00463CEB" w:rsidRPr="00463CEB" w:rsidRDefault="00463CEB" w:rsidP="00463CEB">
      <w:pPr>
        <w:pStyle w:val="NormalBold"/>
        <w:rPr>
          <w:lang w:val="fr-BE"/>
        </w:rPr>
      </w:pPr>
      <w:r w:rsidRPr="00463CEB">
        <w:rPr>
          <w:lang w:val="fr-BE"/>
        </w:rPr>
        <w:t>Article 1 – point 5</w:t>
      </w:r>
    </w:p>
    <w:p w14:paraId="7AA7ACB6" w14:textId="5059457B" w:rsidR="00463CEB" w:rsidRPr="00870773" w:rsidRDefault="00463CEB" w:rsidP="00463CEB">
      <w:r>
        <w:t>Règlement (UE) 2023/1115</w:t>
      </w:r>
    </w:p>
    <w:p w14:paraId="0D99C1E0" w14:textId="6AFFAA43" w:rsidR="00463CEB" w:rsidRPr="00870773" w:rsidRDefault="00463CEB" w:rsidP="00463CEB">
      <w:r>
        <w:t>Article 4 bis – paragraphe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3CEB" w14:paraId="078F0DC9" w14:textId="77777777" w:rsidTr="00851FB6">
        <w:trPr>
          <w:jc w:val="center"/>
        </w:trPr>
        <w:tc>
          <w:tcPr>
            <w:tcW w:w="9752" w:type="dxa"/>
            <w:gridSpan w:val="2"/>
          </w:tcPr>
          <w:p w14:paraId="5EAF564F" w14:textId="77777777" w:rsidR="00463CEB" w:rsidRPr="00870773" w:rsidRDefault="00463CEB" w:rsidP="00851FB6">
            <w:pPr>
              <w:keepNext/>
            </w:pPr>
          </w:p>
        </w:tc>
      </w:tr>
      <w:tr w:rsidR="00463CEB" w14:paraId="196058DA" w14:textId="77777777" w:rsidTr="00851FB6">
        <w:trPr>
          <w:jc w:val="center"/>
        </w:trPr>
        <w:tc>
          <w:tcPr>
            <w:tcW w:w="4876" w:type="dxa"/>
          </w:tcPr>
          <w:p w14:paraId="16109FE1" w14:textId="77777777" w:rsidR="00463CEB" w:rsidRPr="004A34CF" w:rsidRDefault="00463CEB" w:rsidP="00851FB6">
            <w:pPr>
              <w:pStyle w:val="AmColumnHeading"/>
              <w:keepNext/>
            </w:pPr>
            <w:r>
              <w:t>Texte proposé par la Commission</w:t>
            </w:r>
          </w:p>
        </w:tc>
        <w:tc>
          <w:tcPr>
            <w:tcW w:w="4876" w:type="dxa"/>
          </w:tcPr>
          <w:p w14:paraId="16D235A2" w14:textId="77777777" w:rsidR="00463CEB" w:rsidRPr="00870773" w:rsidRDefault="00463CEB" w:rsidP="00851FB6">
            <w:pPr>
              <w:pStyle w:val="AmColumnHeading"/>
              <w:keepNext/>
            </w:pPr>
            <w:r>
              <w:t>Amendement</w:t>
            </w:r>
          </w:p>
        </w:tc>
      </w:tr>
      <w:tr w:rsidR="00463CEB" w14:paraId="6D177421" w14:textId="77777777" w:rsidTr="00851FB6">
        <w:trPr>
          <w:jc w:val="center"/>
        </w:trPr>
        <w:tc>
          <w:tcPr>
            <w:tcW w:w="4876" w:type="dxa"/>
          </w:tcPr>
          <w:p w14:paraId="203D643C" w14:textId="77777777" w:rsidR="00463CEB" w:rsidRPr="004A34CF" w:rsidRDefault="00463CEB" w:rsidP="00851FB6">
            <w:pPr>
              <w:pStyle w:val="Normal6a"/>
              <w:rPr>
                <w:b/>
                <w:bCs/>
                <w:i/>
                <w:iCs/>
              </w:rPr>
            </w:pPr>
            <w:r>
              <w:t xml:space="preserve">1. </w:t>
            </w:r>
            <w:r>
              <w:tab/>
              <w:t xml:space="preserve">Les obligations prévues à l’article 4, </w:t>
            </w:r>
            <w:r>
              <w:rPr>
                <w:b/>
                <w:i/>
              </w:rPr>
              <w:t>paragraphes</w:t>
            </w:r>
            <w:r>
              <w:t> 2</w:t>
            </w:r>
            <w:r>
              <w:rPr>
                <w:b/>
                <w:i/>
              </w:rPr>
              <w:t xml:space="preserve"> et</w:t>
            </w:r>
            <w:r>
              <w:t xml:space="preserve"> 3, et paragraphe 4, point c), ne s’appliquent pas </w:t>
            </w:r>
            <w:proofErr w:type="gramStart"/>
            <w:r>
              <w:t>aux micro</w:t>
            </w:r>
            <w:proofErr w:type="gramEnd"/>
            <w:r>
              <w:t xml:space="preserve"> et petits opérateurs primaires.</w:t>
            </w:r>
          </w:p>
        </w:tc>
        <w:tc>
          <w:tcPr>
            <w:tcW w:w="4876" w:type="dxa"/>
          </w:tcPr>
          <w:p w14:paraId="6E3B1EBF" w14:textId="77777777" w:rsidR="00463CEB" w:rsidRPr="004A34CF" w:rsidRDefault="00463CEB" w:rsidP="00851FB6">
            <w:pPr>
              <w:pStyle w:val="Normal6a"/>
              <w:rPr>
                <w:szCs w:val="24"/>
              </w:rPr>
            </w:pPr>
            <w:r>
              <w:t>1.</w:t>
            </w:r>
            <w:r>
              <w:tab/>
              <w:t xml:space="preserve">Les obligations prévues à l’article 4, </w:t>
            </w:r>
            <w:r>
              <w:rPr>
                <w:b/>
                <w:i/>
              </w:rPr>
              <w:t>paragraphe</w:t>
            </w:r>
            <w:r>
              <w:t> 2</w:t>
            </w:r>
            <w:r>
              <w:rPr>
                <w:b/>
                <w:i/>
              </w:rPr>
              <w:t>, à la deuxième phrase de l’article 4, paragraphe</w:t>
            </w:r>
            <w:r>
              <w:t> 3, et</w:t>
            </w:r>
            <w:r>
              <w:rPr>
                <w:b/>
                <w:i/>
              </w:rPr>
              <w:t xml:space="preserve"> à l’article 4,</w:t>
            </w:r>
            <w:r>
              <w:t xml:space="preserve"> paragraphe 4, point c), ne s’appliquent pas </w:t>
            </w:r>
            <w:proofErr w:type="gramStart"/>
            <w:r>
              <w:t>aux micro</w:t>
            </w:r>
            <w:proofErr w:type="gramEnd"/>
            <w:r>
              <w:t xml:space="preserve"> et petits opérateurs primaires.</w:t>
            </w:r>
          </w:p>
        </w:tc>
      </w:tr>
    </w:tbl>
    <w:p w14:paraId="41117099" w14:textId="2AA7FAB8" w:rsidR="00463CEB" w:rsidRPr="00463CEB" w:rsidRDefault="00463CEB" w:rsidP="00463CEB">
      <w:pPr>
        <w:pStyle w:val="NormalBold"/>
        <w:spacing w:after="120"/>
        <w:rPr>
          <w:lang w:val="fr-BE"/>
        </w:rPr>
      </w:pPr>
      <w:r w:rsidRPr="00463CEB">
        <w:rPr>
          <w:lang w:val="fr-BE"/>
        </w:rPr>
        <w:t>Amendement</w:t>
      </w:r>
      <w:r>
        <w:rPr>
          <w:lang w:val="fr-BE"/>
        </w:rPr>
        <w:t>s</w:t>
      </w:r>
      <w:r w:rsidRPr="00463CEB">
        <w:rPr>
          <w:lang w:val="fr-BE"/>
        </w:rPr>
        <w:t xml:space="preserve"> </w:t>
      </w:r>
      <w:r>
        <w:rPr>
          <w:lang w:val="fr-BE"/>
        </w:rPr>
        <w:t xml:space="preserve">75 et </w:t>
      </w:r>
      <w:r w:rsidRPr="00463CEB">
        <w:rPr>
          <w:lang w:val="fr-BE"/>
        </w:rPr>
        <w:t>11</w:t>
      </w:r>
      <w:r>
        <w:rPr>
          <w:lang w:val="fr-BE"/>
        </w:rPr>
        <w:t>5</w:t>
      </w:r>
    </w:p>
    <w:p w14:paraId="6FD3AEEB" w14:textId="25E62ABB" w:rsidR="00463CEB" w:rsidRPr="00463CEB" w:rsidRDefault="00463CEB" w:rsidP="00463CEB">
      <w:pPr>
        <w:pStyle w:val="NormalBold"/>
        <w:rPr>
          <w:lang w:val="fr-BE"/>
        </w:rPr>
      </w:pPr>
      <w:r w:rsidRPr="00463CEB">
        <w:rPr>
          <w:lang w:val="fr-BE"/>
        </w:rPr>
        <w:t>Proposition de règlement</w:t>
      </w:r>
    </w:p>
    <w:p w14:paraId="26EA707F" w14:textId="06E690DC" w:rsidR="00463CEB" w:rsidRPr="00463CEB" w:rsidRDefault="00463CEB" w:rsidP="00463CEB">
      <w:pPr>
        <w:pStyle w:val="NormalBold"/>
        <w:rPr>
          <w:lang w:val="fr-BE"/>
        </w:rPr>
      </w:pPr>
      <w:r w:rsidRPr="00463CEB">
        <w:rPr>
          <w:lang w:val="fr-BE"/>
        </w:rPr>
        <w:t>Article 1 – point 5</w:t>
      </w:r>
    </w:p>
    <w:p w14:paraId="0AEA8D2F" w14:textId="18BCF3EE" w:rsidR="00463CEB" w:rsidRPr="00870773" w:rsidRDefault="00463CEB" w:rsidP="00463CEB">
      <w:r>
        <w:t>Règlement (UE) 2023/1115</w:t>
      </w:r>
    </w:p>
    <w:p w14:paraId="6336FDC4" w14:textId="662BC34E" w:rsidR="00463CEB" w:rsidRPr="00870773" w:rsidRDefault="00463CEB" w:rsidP="00463CEB">
      <w:r>
        <w:t>Article 4 bis – paragraphe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3CEB" w14:paraId="04C75883" w14:textId="77777777" w:rsidTr="00851FB6">
        <w:trPr>
          <w:jc w:val="center"/>
        </w:trPr>
        <w:tc>
          <w:tcPr>
            <w:tcW w:w="9752" w:type="dxa"/>
            <w:gridSpan w:val="2"/>
          </w:tcPr>
          <w:p w14:paraId="4FB24329" w14:textId="77777777" w:rsidR="00463CEB" w:rsidRPr="00870773" w:rsidRDefault="00463CEB" w:rsidP="00851FB6">
            <w:pPr>
              <w:keepNext/>
            </w:pPr>
          </w:p>
        </w:tc>
      </w:tr>
      <w:tr w:rsidR="00463CEB" w14:paraId="1D085FED" w14:textId="77777777" w:rsidTr="00851FB6">
        <w:trPr>
          <w:jc w:val="center"/>
        </w:trPr>
        <w:tc>
          <w:tcPr>
            <w:tcW w:w="4876" w:type="dxa"/>
          </w:tcPr>
          <w:p w14:paraId="6E9B3A2E" w14:textId="77777777" w:rsidR="00463CEB" w:rsidRPr="004A34CF" w:rsidRDefault="00463CEB" w:rsidP="00851FB6">
            <w:pPr>
              <w:pStyle w:val="AmColumnHeading"/>
              <w:keepNext/>
            </w:pPr>
            <w:r>
              <w:t>Texte proposé par la Commission</w:t>
            </w:r>
          </w:p>
        </w:tc>
        <w:tc>
          <w:tcPr>
            <w:tcW w:w="4876" w:type="dxa"/>
          </w:tcPr>
          <w:p w14:paraId="5413F770" w14:textId="77777777" w:rsidR="00463CEB" w:rsidRPr="00870773" w:rsidRDefault="00463CEB" w:rsidP="00851FB6">
            <w:pPr>
              <w:pStyle w:val="AmColumnHeading"/>
              <w:keepNext/>
            </w:pPr>
            <w:r>
              <w:t>Amendement</w:t>
            </w:r>
          </w:p>
        </w:tc>
      </w:tr>
      <w:tr w:rsidR="00463CEB" w14:paraId="44378DBA" w14:textId="77777777" w:rsidTr="00851FB6">
        <w:trPr>
          <w:jc w:val="center"/>
        </w:trPr>
        <w:tc>
          <w:tcPr>
            <w:tcW w:w="4876" w:type="dxa"/>
          </w:tcPr>
          <w:p w14:paraId="6554D193" w14:textId="77777777" w:rsidR="00463CEB" w:rsidRPr="004A34CF" w:rsidRDefault="00463CEB" w:rsidP="00851FB6">
            <w:pPr>
              <w:pStyle w:val="Normal6a"/>
              <w:rPr>
                <w:b/>
                <w:bCs/>
                <w:i/>
                <w:iCs/>
              </w:rPr>
            </w:pPr>
            <w:r>
              <w:t>2.</w:t>
            </w:r>
            <w:r>
              <w:tab/>
              <w:t xml:space="preserve">Les micro et petits opérateurs primaires présentent une déclaration </w:t>
            </w:r>
            <w:r>
              <w:lastRenderedPageBreak/>
              <w:t>simplifiée unique par l’intermédiaire du système d’information visé à l’article 33 avant de mettre sur le marché des produits en cause ou de les exporter. Un identifiant de déclaration leur est attribué après qu’ils ont présenté leur déclaration simplifiée.</w:t>
            </w:r>
          </w:p>
        </w:tc>
        <w:tc>
          <w:tcPr>
            <w:tcW w:w="4876" w:type="dxa"/>
          </w:tcPr>
          <w:p w14:paraId="01F8E360" w14:textId="77777777" w:rsidR="00463CEB" w:rsidRPr="004A34CF" w:rsidRDefault="00463CEB" w:rsidP="00851FB6">
            <w:pPr>
              <w:pStyle w:val="Normal6a"/>
              <w:rPr>
                <w:szCs w:val="24"/>
              </w:rPr>
            </w:pPr>
            <w:r>
              <w:lastRenderedPageBreak/>
              <w:t>2.</w:t>
            </w:r>
            <w:r>
              <w:tab/>
              <w:t xml:space="preserve">Les micro et petits opérateurs primaires présentent une déclaration </w:t>
            </w:r>
            <w:r>
              <w:lastRenderedPageBreak/>
              <w:t xml:space="preserve">simplifiée unique par l’intermédiaire du système d’information visé à l’article 33 avant de mettre sur le marché des produits en cause ou de les exporter. Un identifiant de déclaration leur est attribué après qu’ils ont présenté leur déclaration </w:t>
            </w:r>
            <w:r>
              <w:rPr>
                <w:b/>
                <w:i/>
              </w:rPr>
              <w:t xml:space="preserve">unique </w:t>
            </w:r>
            <w:r>
              <w:t>simplifiée.</w:t>
            </w:r>
          </w:p>
        </w:tc>
      </w:tr>
    </w:tbl>
    <w:p w14:paraId="199B3F87" w14:textId="3222A19C" w:rsidR="00463CEB" w:rsidRPr="00463CEB" w:rsidRDefault="00463CEB" w:rsidP="00463CEB">
      <w:pPr>
        <w:pStyle w:val="NormalBold"/>
        <w:spacing w:after="120"/>
        <w:rPr>
          <w:lang w:val="fr-BE"/>
        </w:rPr>
      </w:pPr>
      <w:r w:rsidRPr="00463CEB">
        <w:rPr>
          <w:lang w:val="fr-BE"/>
        </w:rPr>
        <w:lastRenderedPageBreak/>
        <w:t>Amendement 11</w:t>
      </w:r>
      <w:r>
        <w:rPr>
          <w:lang w:val="fr-BE"/>
        </w:rPr>
        <w:t>6</w:t>
      </w:r>
    </w:p>
    <w:p w14:paraId="73E0CC1F" w14:textId="77777777" w:rsidR="00463CEB" w:rsidRPr="00463CEB" w:rsidRDefault="00463CEB" w:rsidP="00463CEB">
      <w:pPr>
        <w:pStyle w:val="NormalBold"/>
        <w:rPr>
          <w:lang w:val="fr-BE"/>
        </w:rPr>
      </w:pPr>
      <w:r w:rsidRPr="00463CEB">
        <w:rPr>
          <w:lang w:val="fr-BE"/>
        </w:rPr>
        <w:t>Proposition de règlement</w:t>
      </w:r>
    </w:p>
    <w:p w14:paraId="1203B64E" w14:textId="77777777" w:rsidR="00463CEB" w:rsidRPr="00463CEB" w:rsidRDefault="00463CEB" w:rsidP="00463CEB">
      <w:pPr>
        <w:pStyle w:val="NormalBold"/>
        <w:rPr>
          <w:lang w:val="fr-BE"/>
        </w:rPr>
      </w:pPr>
      <w:r w:rsidRPr="00463CEB">
        <w:rPr>
          <w:lang w:val="fr-BE"/>
        </w:rPr>
        <w:t>Article 1 – point 5</w:t>
      </w:r>
    </w:p>
    <w:p w14:paraId="33757753" w14:textId="77777777" w:rsidR="00463CEB" w:rsidRPr="00870773" w:rsidRDefault="00463CEB" w:rsidP="00463CEB">
      <w:r>
        <w:t>Règlement (UE) 2023/1115</w:t>
      </w:r>
    </w:p>
    <w:p w14:paraId="3C6F6C57" w14:textId="75FFED01" w:rsidR="00463CEB" w:rsidRPr="00870773" w:rsidRDefault="00463CEB" w:rsidP="00463CEB">
      <w:r>
        <w:t>Article 4 bis – paragraphe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3CEB" w14:paraId="03F7C16E" w14:textId="77777777" w:rsidTr="00851FB6">
        <w:trPr>
          <w:jc w:val="center"/>
        </w:trPr>
        <w:tc>
          <w:tcPr>
            <w:tcW w:w="9752" w:type="dxa"/>
            <w:gridSpan w:val="2"/>
          </w:tcPr>
          <w:p w14:paraId="7D215CF3" w14:textId="77777777" w:rsidR="00463CEB" w:rsidRPr="00870773" w:rsidRDefault="00463CEB" w:rsidP="00851FB6">
            <w:pPr>
              <w:keepNext/>
            </w:pPr>
          </w:p>
        </w:tc>
      </w:tr>
      <w:tr w:rsidR="00463CEB" w14:paraId="52BE4ECE" w14:textId="77777777" w:rsidTr="00851FB6">
        <w:trPr>
          <w:jc w:val="center"/>
        </w:trPr>
        <w:tc>
          <w:tcPr>
            <w:tcW w:w="4876" w:type="dxa"/>
          </w:tcPr>
          <w:p w14:paraId="52C442D8" w14:textId="77777777" w:rsidR="00463CEB" w:rsidRPr="004A34CF" w:rsidRDefault="00463CEB" w:rsidP="00851FB6">
            <w:pPr>
              <w:pStyle w:val="AmColumnHeading"/>
              <w:keepNext/>
            </w:pPr>
            <w:r>
              <w:t>Texte proposé par la Commission</w:t>
            </w:r>
          </w:p>
        </w:tc>
        <w:tc>
          <w:tcPr>
            <w:tcW w:w="4876" w:type="dxa"/>
          </w:tcPr>
          <w:p w14:paraId="4E4546EA" w14:textId="77777777" w:rsidR="00463CEB" w:rsidRPr="00870773" w:rsidRDefault="00463CEB" w:rsidP="00851FB6">
            <w:pPr>
              <w:pStyle w:val="AmColumnHeading"/>
              <w:keepNext/>
            </w:pPr>
            <w:r>
              <w:t>Amendement</w:t>
            </w:r>
          </w:p>
        </w:tc>
      </w:tr>
      <w:tr w:rsidR="00463CEB" w14:paraId="563784AB" w14:textId="77777777" w:rsidTr="00851FB6">
        <w:trPr>
          <w:jc w:val="center"/>
        </w:trPr>
        <w:tc>
          <w:tcPr>
            <w:tcW w:w="4876" w:type="dxa"/>
          </w:tcPr>
          <w:p w14:paraId="69E21FD5" w14:textId="77777777" w:rsidR="00463CEB" w:rsidRPr="004A34CF" w:rsidRDefault="00463CEB" w:rsidP="00851FB6">
            <w:pPr>
              <w:pStyle w:val="Normal6a"/>
              <w:rPr>
                <w:b/>
                <w:bCs/>
                <w:i/>
                <w:iCs/>
              </w:rPr>
            </w:pPr>
            <w:r>
              <w:t>3.</w:t>
            </w:r>
            <w:r>
              <w:tab/>
              <w:t xml:space="preserve">Les micro et petits opérateurs primaires fournissent les informations visées à l’annexe III lorsqu’ils présentent la déclaration simplifiée par l’intermédiaire du système d’information. Ils </w:t>
            </w:r>
            <w:r>
              <w:rPr>
                <w:b/>
                <w:i/>
              </w:rPr>
              <w:t>mettent</w:t>
            </w:r>
            <w:r>
              <w:t xml:space="preserve"> à jour les informations contenues dans leur déclaration simplifiée à la suite de toute modification des informations qu’ils ont fournies. </w:t>
            </w:r>
          </w:p>
        </w:tc>
        <w:tc>
          <w:tcPr>
            <w:tcW w:w="4876" w:type="dxa"/>
          </w:tcPr>
          <w:p w14:paraId="22EC16E8" w14:textId="77777777" w:rsidR="00463CEB" w:rsidRPr="004A34CF" w:rsidRDefault="00463CEB" w:rsidP="00851FB6">
            <w:pPr>
              <w:pStyle w:val="Normal6a"/>
              <w:rPr>
                <w:szCs w:val="24"/>
              </w:rPr>
            </w:pPr>
            <w:r>
              <w:t>3.</w:t>
            </w:r>
            <w:r>
              <w:tab/>
              <w:t xml:space="preserve">Les micro et petits opérateurs primaires fournissent les informations visées à l’annexe III lorsqu’ils présentent la déclaration simplifiée par l’intermédiaire du système d’information. Ils </w:t>
            </w:r>
            <w:r>
              <w:rPr>
                <w:b/>
                <w:i/>
              </w:rPr>
              <w:t>peuvent mettre</w:t>
            </w:r>
            <w:r>
              <w:t xml:space="preserve"> à jour les informations contenues dans leur déclaration simplifiée à la suite de toute modification</w:t>
            </w:r>
            <w:r>
              <w:rPr>
                <w:b/>
                <w:i/>
              </w:rPr>
              <w:t xml:space="preserve"> majeure</w:t>
            </w:r>
            <w:r>
              <w:t xml:space="preserve"> des informations qu’ils ont fournies. </w:t>
            </w:r>
          </w:p>
        </w:tc>
      </w:tr>
    </w:tbl>
    <w:p w14:paraId="2D1DF166" w14:textId="77777777" w:rsidR="00463CEB" w:rsidRDefault="00463CEB" w:rsidP="00463CEB">
      <w:pPr>
        <w:tabs>
          <w:tab w:val="left" w:pos="-774"/>
          <w:tab w:val="left" w:pos="-114"/>
          <w:tab w:val="left" w:pos="1107"/>
        </w:tabs>
        <w:spacing w:after="240"/>
        <w:ind w:left="567" w:hanging="567"/>
      </w:pPr>
    </w:p>
    <w:p w14:paraId="50192FDD" w14:textId="7D7C83F7" w:rsidR="00463CEB" w:rsidRPr="00463CEB" w:rsidRDefault="00463CEB" w:rsidP="00463CEB">
      <w:pPr>
        <w:pStyle w:val="NormalBold"/>
        <w:spacing w:after="120"/>
        <w:rPr>
          <w:lang w:val="fr-BE"/>
        </w:rPr>
      </w:pPr>
      <w:r w:rsidRPr="00463CEB">
        <w:rPr>
          <w:lang w:val="fr-BE"/>
        </w:rPr>
        <w:t>Amendement</w:t>
      </w:r>
      <w:r>
        <w:rPr>
          <w:lang w:val="fr-BE"/>
        </w:rPr>
        <w:t>s 77 et</w:t>
      </w:r>
      <w:r w:rsidRPr="00463CEB">
        <w:rPr>
          <w:lang w:val="fr-BE"/>
        </w:rPr>
        <w:t xml:space="preserve"> 11</w:t>
      </w:r>
      <w:r>
        <w:rPr>
          <w:lang w:val="fr-BE"/>
        </w:rPr>
        <w:t>7</w:t>
      </w:r>
    </w:p>
    <w:p w14:paraId="714E0760" w14:textId="77777777" w:rsidR="00463CEB" w:rsidRPr="00463CEB" w:rsidRDefault="00463CEB" w:rsidP="00463CEB">
      <w:pPr>
        <w:pStyle w:val="NormalBold"/>
        <w:rPr>
          <w:lang w:val="fr-BE"/>
        </w:rPr>
      </w:pPr>
      <w:r w:rsidRPr="00463CEB">
        <w:rPr>
          <w:lang w:val="fr-BE"/>
        </w:rPr>
        <w:t>Proposition de règlement</w:t>
      </w:r>
    </w:p>
    <w:p w14:paraId="597DE2C3" w14:textId="77777777" w:rsidR="00463CEB" w:rsidRPr="00463CEB" w:rsidRDefault="00463CEB" w:rsidP="00463CEB">
      <w:pPr>
        <w:pStyle w:val="NormalBold"/>
        <w:rPr>
          <w:lang w:val="fr-BE"/>
        </w:rPr>
      </w:pPr>
      <w:r w:rsidRPr="00463CEB">
        <w:rPr>
          <w:lang w:val="fr-BE"/>
        </w:rPr>
        <w:t>Article 1 – point 5</w:t>
      </w:r>
    </w:p>
    <w:p w14:paraId="4D713A77" w14:textId="77777777" w:rsidR="00463CEB" w:rsidRPr="00870773" w:rsidRDefault="00463CEB" w:rsidP="00463CEB">
      <w:r>
        <w:t>Règlement (UE) 2023/1115</w:t>
      </w:r>
    </w:p>
    <w:p w14:paraId="0BDCC917" w14:textId="6BC3EBEE" w:rsidR="00463CEB" w:rsidRPr="00870773" w:rsidRDefault="00463CEB" w:rsidP="00463CEB">
      <w:r>
        <w:t>Article 4 bis – paragraphe 4</w:t>
      </w:r>
    </w:p>
    <w:p w14:paraId="2E1515E7" w14:textId="77777777" w:rsidR="00463CEB" w:rsidRDefault="00463CEB" w:rsidP="00463CEB">
      <w:pPr>
        <w:tabs>
          <w:tab w:val="left" w:pos="-774"/>
          <w:tab w:val="left" w:pos="-114"/>
          <w:tab w:val="left" w:pos="1107"/>
        </w:tabs>
        <w:spacing w:after="240"/>
        <w:ind w:left="567" w:hanging="567"/>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3CEB" w:rsidRPr="00870773" w14:paraId="2CC27191" w14:textId="77777777" w:rsidTr="00851FB6">
        <w:trPr>
          <w:jc w:val="center"/>
        </w:trPr>
        <w:tc>
          <w:tcPr>
            <w:tcW w:w="4876" w:type="dxa"/>
          </w:tcPr>
          <w:p w14:paraId="415B1CD9" w14:textId="77777777" w:rsidR="00463CEB" w:rsidRPr="004A34CF" w:rsidRDefault="00463CEB" w:rsidP="00851FB6">
            <w:pPr>
              <w:pStyle w:val="AmColumnHeading"/>
              <w:keepNext/>
            </w:pPr>
            <w:r>
              <w:t>Texte proposé par la Commission</w:t>
            </w:r>
          </w:p>
        </w:tc>
        <w:tc>
          <w:tcPr>
            <w:tcW w:w="4876" w:type="dxa"/>
          </w:tcPr>
          <w:p w14:paraId="5F6E7D1C" w14:textId="77777777" w:rsidR="00463CEB" w:rsidRPr="00870773" w:rsidRDefault="00463CEB" w:rsidP="00851FB6">
            <w:pPr>
              <w:pStyle w:val="AmColumnHeading"/>
              <w:keepNext/>
            </w:pPr>
            <w:r>
              <w:t>Amendement</w:t>
            </w:r>
          </w:p>
        </w:tc>
      </w:tr>
      <w:tr w:rsidR="00463CEB" w:rsidRPr="004A34CF" w14:paraId="1F267355" w14:textId="77777777" w:rsidTr="00851FB6">
        <w:trPr>
          <w:jc w:val="center"/>
        </w:trPr>
        <w:tc>
          <w:tcPr>
            <w:tcW w:w="4876" w:type="dxa"/>
          </w:tcPr>
          <w:p w14:paraId="3A8B8BB6" w14:textId="77777777" w:rsidR="00463CEB" w:rsidRPr="004A34CF" w:rsidRDefault="00463CEB" w:rsidP="00851FB6">
            <w:pPr>
              <w:pStyle w:val="Normal6a"/>
              <w:rPr>
                <w:b/>
                <w:bCs/>
                <w:i/>
                <w:iCs/>
              </w:rPr>
            </w:pPr>
            <w:r>
              <w:t>4.</w:t>
            </w:r>
            <w:r>
              <w:tab/>
              <w:t>Lorsque toutes les informations énumérées à l’annexe III sont disponibles dans un système ou une base de données qui existe en vertu de la législation de l’Union ou des États</w:t>
            </w:r>
            <w:r>
              <w:rPr>
                <w:b/>
                <w:i/>
              </w:rPr>
              <w:t xml:space="preserve"> </w:t>
            </w:r>
            <w:r>
              <w:t xml:space="preserve">membres, autre que le système d’information visé à l’article 33, </w:t>
            </w:r>
            <w:proofErr w:type="gramStart"/>
            <w:r>
              <w:t>les micro</w:t>
            </w:r>
            <w:proofErr w:type="gramEnd"/>
            <w:r>
              <w:t xml:space="preserve"> et petits opérateurs primaires ne sont pas tenus de présenter une déclaration simplifiée conformément au paragraphe 2 du présent article. Les États membres mettent ces informations par opérateur à disposition dans le système d’information visé à l’article 33. Le micro ou petit opérateur primaire ne met les produits en cause sur le marché de l’Union ou ne les </w:t>
            </w:r>
            <w:r>
              <w:lastRenderedPageBreak/>
              <w:t>exporte qu’après s’être vu attribuer un identifiant de déclaration.</w:t>
            </w:r>
          </w:p>
        </w:tc>
        <w:tc>
          <w:tcPr>
            <w:tcW w:w="4876" w:type="dxa"/>
          </w:tcPr>
          <w:p w14:paraId="167B9C43" w14:textId="77777777" w:rsidR="00463CEB" w:rsidRPr="004A34CF" w:rsidRDefault="00463CEB" w:rsidP="00851FB6">
            <w:pPr>
              <w:pStyle w:val="Normal6a"/>
              <w:rPr>
                <w:szCs w:val="24"/>
              </w:rPr>
            </w:pPr>
            <w:r>
              <w:lastRenderedPageBreak/>
              <w:t>4.</w:t>
            </w:r>
            <w:r>
              <w:tab/>
              <w:t>Lorsque toutes les informations énumérées à l’annexe III sont disponibles dans un système ou une base de données qui existe en vertu de la législation de l’Union ou des États</w:t>
            </w:r>
            <w:r>
              <w:rPr>
                <w:b/>
                <w:i/>
              </w:rPr>
              <w:t> </w:t>
            </w:r>
            <w:r>
              <w:t xml:space="preserve">membres, autre que le système d’information visé à l’article 33, </w:t>
            </w:r>
            <w:proofErr w:type="gramStart"/>
            <w:r>
              <w:t>les micro</w:t>
            </w:r>
            <w:proofErr w:type="gramEnd"/>
            <w:r>
              <w:t xml:space="preserve"> et petits opérateurs primaires ne sont pas tenus de présenter une déclaration simplifiée</w:t>
            </w:r>
            <w:r>
              <w:rPr>
                <w:b/>
                <w:i/>
              </w:rPr>
              <w:t xml:space="preserve"> unique</w:t>
            </w:r>
            <w:r>
              <w:t xml:space="preserve"> conformément au paragraphe 2 du présent article. Les États membres mettent ces informations par opérateur à disposition dans le système d’information visé à l’article 33. Le micro ou petit opérateur primaire ne met les produits en cause sur le marché de l’Union </w:t>
            </w:r>
            <w:r>
              <w:lastRenderedPageBreak/>
              <w:t>ou ne les exporte qu’après s’être vu attribuer un identifiant de déclaration.</w:t>
            </w:r>
          </w:p>
        </w:tc>
      </w:tr>
    </w:tbl>
    <w:p w14:paraId="224FF42E" w14:textId="77777777" w:rsidR="00463CEB" w:rsidRDefault="00463CEB" w:rsidP="00463CEB">
      <w:pPr>
        <w:tabs>
          <w:tab w:val="left" w:pos="-774"/>
          <w:tab w:val="left" w:pos="-114"/>
          <w:tab w:val="left" w:pos="1107"/>
        </w:tabs>
        <w:spacing w:after="240"/>
        <w:ind w:left="567" w:hanging="567"/>
      </w:pPr>
    </w:p>
    <w:p w14:paraId="6C0741F4" w14:textId="7F889D9E" w:rsidR="00463CEB" w:rsidRPr="00463CEB" w:rsidRDefault="00463CEB" w:rsidP="00463CEB">
      <w:pPr>
        <w:pStyle w:val="NormalBold"/>
        <w:spacing w:after="120"/>
        <w:rPr>
          <w:lang w:val="fr-BE"/>
        </w:rPr>
      </w:pPr>
      <w:r w:rsidRPr="00463CEB">
        <w:rPr>
          <w:lang w:val="fr-BE"/>
        </w:rPr>
        <w:t>Amendement</w:t>
      </w:r>
      <w:r>
        <w:rPr>
          <w:lang w:val="fr-BE"/>
        </w:rPr>
        <w:t>s</w:t>
      </w:r>
      <w:r w:rsidRPr="00463CEB">
        <w:rPr>
          <w:lang w:val="fr-BE"/>
        </w:rPr>
        <w:t xml:space="preserve"> </w:t>
      </w:r>
      <w:r>
        <w:rPr>
          <w:lang w:val="fr-BE"/>
        </w:rPr>
        <w:t xml:space="preserve">78 et </w:t>
      </w:r>
      <w:r w:rsidRPr="00463CEB">
        <w:rPr>
          <w:lang w:val="fr-BE"/>
        </w:rPr>
        <w:t>11</w:t>
      </w:r>
      <w:r>
        <w:rPr>
          <w:lang w:val="fr-BE"/>
        </w:rPr>
        <w:t>8</w:t>
      </w:r>
    </w:p>
    <w:p w14:paraId="6D7A2DC4" w14:textId="77777777" w:rsidR="00463CEB" w:rsidRPr="00463CEB" w:rsidRDefault="00463CEB" w:rsidP="00463CEB">
      <w:pPr>
        <w:pStyle w:val="NormalBold"/>
        <w:rPr>
          <w:lang w:val="fr-BE"/>
        </w:rPr>
      </w:pPr>
      <w:r w:rsidRPr="00463CEB">
        <w:rPr>
          <w:lang w:val="fr-BE"/>
        </w:rPr>
        <w:t>Proposition de règlement</w:t>
      </w:r>
    </w:p>
    <w:p w14:paraId="033AA96C" w14:textId="77777777" w:rsidR="00463CEB" w:rsidRPr="00463CEB" w:rsidRDefault="00463CEB" w:rsidP="00463CEB">
      <w:pPr>
        <w:pStyle w:val="NormalBold"/>
        <w:rPr>
          <w:lang w:val="fr-BE"/>
        </w:rPr>
      </w:pPr>
      <w:r w:rsidRPr="00463CEB">
        <w:rPr>
          <w:lang w:val="fr-BE"/>
        </w:rPr>
        <w:t>Article 1 – point 5</w:t>
      </w:r>
    </w:p>
    <w:p w14:paraId="7C825964" w14:textId="77777777" w:rsidR="00463CEB" w:rsidRPr="00870773" w:rsidRDefault="00463CEB" w:rsidP="00463CEB">
      <w:r>
        <w:t>Règlement (UE) 2023/1115</w:t>
      </w:r>
    </w:p>
    <w:p w14:paraId="2FAC4446" w14:textId="148E54BB" w:rsidR="00463CEB" w:rsidRPr="00870773" w:rsidRDefault="00463CEB" w:rsidP="00463CEB">
      <w:r>
        <w:t>Article 4 bis – paragraphe 5</w:t>
      </w:r>
    </w:p>
    <w:p w14:paraId="5D120E29" w14:textId="77777777" w:rsidR="00463CEB" w:rsidRDefault="00463CEB" w:rsidP="00463CEB">
      <w:pPr>
        <w:tabs>
          <w:tab w:val="left" w:pos="-774"/>
          <w:tab w:val="left" w:pos="-114"/>
          <w:tab w:val="left" w:pos="1107"/>
        </w:tabs>
        <w:spacing w:after="240"/>
        <w:ind w:left="567" w:hanging="567"/>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63CEB" w:rsidRPr="00870773" w14:paraId="124131C3" w14:textId="77777777" w:rsidTr="00851FB6">
        <w:trPr>
          <w:jc w:val="center"/>
        </w:trPr>
        <w:tc>
          <w:tcPr>
            <w:tcW w:w="4876" w:type="dxa"/>
          </w:tcPr>
          <w:p w14:paraId="19316DA3" w14:textId="77777777" w:rsidR="00463CEB" w:rsidRPr="004A34CF" w:rsidRDefault="00463CEB" w:rsidP="00851FB6">
            <w:pPr>
              <w:pStyle w:val="AmColumnHeading"/>
              <w:keepNext/>
            </w:pPr>
            <w:r>
              <w:t>Texte proposé par la Commission</w:t>
            </w:r>
          </w:p>
        </w:tc>
        <w:tc>
          <w:tcPr>
            <w:tcW w:w="4876" w:type="dxa"/>
          </w:tcPr>
          <w:p w14:paraId="1847B6EC" w14:textId="77777777" w:rsidR="00463CEB" w:rsidRPr="00870773" w:rsidRDefault="00463CEB" w:rsidP="00851FB6">
            <w:pPr>
              <w:pStyle w:val="AmColumnHeading"/>
              <w:keepNext/>
            </w:pPr>
            <w:r>
              <w:t>Amendement</w:t>
            </w:r>
          </w:p>
        </w:tc>
      </w:tr>
      <w:tr w:rsidR="00463CEB" w:rsidRPr="004A34CF" w14:paraId="7FF9FE8C" w14:textId="77777777" w:rsidTr="00851FB6">
        <w:trPr>
          <w:jc w:val="center"/>
        </w:trPr>
        <w:tc>
          <w:tcPr>
            <w:tcW w:w="4876" w:type="dxa"/>
          </w:tcPr>
          <w:p w14:paraId="6A1EB7E4" w14:textId="77777777" w:rsidR="00463CEB" w:rsidRPr="004A34CF" w:rsidRDefault="00463CEB" w:rsidP="00851FB6">
            <w:pPr>
              <w:pStyle w:val="Normal6a"/>
              <w:rPr>
                <w:b/>
                <w:bCs/>
                <w:i/>
                <w:iCs/>
              </w:rPr>
            </w:pPr>
            <w:r>
              <w:t>5.</w:t>
            </w:r>
            <w:r>
              <w:tab/>
              <w:t xml:space="preserve">Dans le cas </w:t>
            </w:r>
            <w:proofErr w:type="gramStart"/>
            <w:r>
              <w:t>des micro</w:t>
            </w:r>
            <w:proofErr w:type="gramEnd"/>
            <w:r>
              <w:t xml:space="preserve"> et petits opérateurs primaires, la géolocalisation visée à l’article 9, paragraphe 1, point d), peut être remplacée par l’adresse postale de toutes les parcelles </w:t>
            </w:r>
            <w:r>
              <w:rPr>
                <w:b/>
                <w:i/>
              </w:rPr>
              <w:t>sur lesquelles</w:t>
            </w:r>
            <w:r>
              <w:t xml:space="preserve"> ont été produits les produits de base en cause que contient le produit en cause, ou à partir desquels le produit en cause a été fabriqué.»</w:t>
            </w:r>
            <w:r>
              <w:rPr>
                <w:b/>
                <w:i/>
              </w:rPr>
              <w:t>.</w:t>
            </w:r>
          </w:p>
        </w:tc>
        <w:tc>
          <w:tcPr>
            <w:tcW w:w="4876" w:type="dxa"/>
          </w:tcPr>
          <w:p w14:paraId="37818C8E" w14:textId="77777777" w:rsidR="00463CEB" w:rsidRPr="004A34CF" w:rsidRDefault="00463CEB" w:rsidP="00851FB6">
            <w:pPr>
              <w:pStyle w:val="Normal6a"/>
              <w:rPr>
                <w:szCs w:val="24"/>
              </w:rPr>
            </w:pPr>
            <w:r>
              <w:t>5.</w:t>
            </w:r>
            <w:r>
              <w:tab/>
              <w:t xml:space="preserve">Dans le cas </w:t>
            </w:r>
            <w:proofErr w:type="gramStart"/>
            <w:r>
              <w:t>des micro</w:t>
            </w:r>
            <w:proofErr w:type="gramEnd"/>
            <w:r>
              <w:t xml:space="preserve"> et petits opérateurs primaires, la géolocalisation visée à l’article 9, paragraphe 1, point d), peut être remplacée par l’adresse postale de toutes les parcelles </w:t>
            </w:r>
            <w:r>
              <w:rPr>
                <w:b/>
                <w:i/>
              </w:rPr>
              <w:t>ou l’adresse postale de l’établissement où</w:t>
            </w:r>
            <w:r>
              <w:t xml:space="preserve"> ont été produits les produits de base en cause que contient le produit en cause, ou à partir desquels le produit en cause a été fabriqué.»</w:t>
            </w:r>
            <w:r>
              <w:rPr>
                <w:b/>
                <w:i/>
              </w:rPr>
              <w:t>;</w:t>
            </w:r>
          </w:p>
        </w:tc>
      </w:tr>
    </w:tbl>
    <w:p w14:paraId="3C2795F2" w14:textId="77777777" w:rsidR="00463CEB" w:rsidRDefault="00463CEB" w:rsidP="00463CEB">
      <w:pPr>
        <w:tabs>
          <w:tab w:val="left" w:pos="-774"/>
          <w:tab w:val="left" w:pos="-114"/>
          <w:tab w:val="left" w:pos="1107"/>
        </w:tabs>
        <w:spacing w:after="240"/>
        <w:ind w:left="567" w:hanging="567"/>
      </w:pPr>
    </w:p>
    <w:p w14:paraId="3D1B9849" w14:textId="29F03655" w:rsidR="00463CEB" w:rsidRPr="00463CEB" w:rsidRDefault="00463CEB" w:rsidP="00463CEB">
      <w:pPr>
        <w:pStyle w:val="NormalBold"/>
        <w:spacing w:after="120"/>
        <w:rPr>
          <w:lang w:val="fr-BE"/>
        </w:rPr>
      </w:pPr>
      <w:r w:rsidRPr="00463CEB">
        <w:rPr>
          <w:lang w:val="fr-BE"/>
        </w:rPr>
        <w:t>Amendement</w:t>
      </w:r>
      <w:r>
        <w:rPr>
          <w:lang w:val="fr-BE"/>
        </w:rPr>
        <w:t>s</w:t>
      </w:r>
      <w:r w:rsidRPr="00463CEB">
        <w:rPr>
          <w:lang w:val="fr-BE"/>
        </w:rPr>
        <w:t xml:space="preserve"> </w:t>
      </w:r>
      <w:r>
        <w:rPr>
          <w:lang w:val="fr-BE"/>
        </w:rPr>
        <w:t xml:space="preserve">79 et </w:t>
      </w:r>
      <w:r w:rsidRPr="00463CEB">
        <w:rPr>
          <w:lang w:val="fr-BE"/>
        </w:rPr>
        <w:t>11</w:t>
      </w:r>
      <w:r>
        <w:rPr>
          <w:lang w:val="fr-BE"/>
        </w:rPr>
        <w:t>9</w:t>
      </w:r>
    </w:p>
    <w:p w14:paraId="66AE1025" w14:textId="77777777" w:rsidR="00463CEB" w:rsidRPr="00463CEB" w:rsidRDefault="00463CEB" w:rsidP="00463CEB">
      <w:pPr>
        <w:pStyle w:val="NormalBold"/>
        <w:rPr>
          <w:lang w:val="fr-BE"/>
        </w:rPr>
      </w:pPr>
      <w:r w:rsidRPr="00463CEB">
        <w:rPr>
          <w:lang w:val="fr-BE"/>
        </w:rPr>
        <w:t>Proposition de règlement</w:t>
      </w:r>
    </w:p>
    <w:p w14:paraId="3EAE3D4C" w14:textId="0147BE1E" w:rsidR="00463CEB" w:rsidRPr="00463CEB" w:rsidRDefault="00463CEB" w:rsidP="00463CEB">
      <w:pPr>
        <w:pStyle w:val="NormalBold"/>
        <w:rPr>
          <w:lang w:val="fr-BE"/>
        </w:rPr>
      </w:pPr>
      <w:r w:rsidRPr="00463CEB">
        <w:rPr>
          <w:lang w:val="fr-BE"/>
        </w:rPr>
        <w:t xml:space="preserve">Article 1 – point </w:t>
      </w:r>
      <w:r w:rsidR="006549F9">
        <w:rPr>
          <w:lang w:val="fr-BE"/>
        </w:rPr>
        <w:t>6</w:t>
      </w:r>
    </w:p>
    <w:p w14:paraId="3D726EFE" w14:textId="77777777" w:rsidR="00463CEB" w:rsidRPr="00870773" w:rsidRDefault="00463CEB" w:rsidP="00463CEB">
      <w:r>
        <w:t>Règlement (UE) 2023/1115</w:t>
      </w:r>
    </w:p>
    <w:p w14:paraId="6A18CCB4" w14:textId="1CC231C8" w:rsidR="00463CEB" w:rsidRPr="00870773" w:rsidRDefault="00463CEB" w:rsidP="00463CEB">
      <w:r>
        <w:t>Article 5 – paragraphe 1</w:t>
      </w:r>
    </w:p>
    <w:p w14:paraId="0BA834F5" w14:textId="77777777" w:rsidR="0027128B" w:rsidRDefault="0027128B" w:rsidP="00463CEB">
      <w:pPr>
        <w:tabs>
          <w:tab w:val="left" w:pos="-774"/>
          <w:tab w:val="left" w:pos="-114"/>
          <w:tab w:val="left" w:pos="1107"/>
        </w:tabs>
        <w:spacing w:after="240"/>
        <w:ind w:left="567" w:hanging="567"/>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128B" w:rsidRPr="00870773" w14:paraId="5FB56913" w14:textId="77777777" w:rsidTr="00851FB6">
        <w:trPr>
          <w:jc w:val="center"/>
        </w:trPr>
        <w:tc>
          <w:tcPr>
            <w:tcW w:w="4876" w:type="dxa"/>
          </w:tcPr>
          <w:p w14:paraId="646540D1" w14:textId="77777777" w:rsidR="0027128B" w:rsidRPr="004A34CF" w:rsidRDefault="0027128B" w:rsidP="00851FB6">
            <w:pPr>
              <w:pStyle w:val="AmColumnHeading"/>
              <w:keepNext/>
            </w:pPr>
            <w:r>
              <w:t>Texte proposé par la Commission</w:t>
            </w:r>
          </w:p>
        </w:tc>
        <w:tc>
          <w:tcPr>
            <w:tcW w:w="4876" w:type="dxa"/>
          </w:tcPr>
          <w:p w14:paraId="1B74823F" w14:textId="77777777" w:rsidR="0027128B" w:rsidRPr="00870773" w:rsidRDefault="0027128B" w:rsidP="00851FB6">
            <w:pPr>
              <w:pStyle w:val="AmColumnHeading"/>
              <w:keepNext/>
            </w:pPr>
            <w:r>
              <w:t>Amendement</w:t>
            </w:r>
          </w:p>
        </w:tc>
      </w:tr>
      <w:tr w:rsidR="0027128B" w:rsidRPr="004A34CF" w14:paraId="60B88869" w14:textId="77777777" w:rsidTr="00851FB6">
        <w:trPr>
          <w:jc w:val="center"/>
        </w:trPr>
        <w:tc>
          <w:tcPr>
            <w:tcW w:w="4876" w:type="dxa"/>
          </w:tcPr>
          <w:p w14:paraId="4D8CF4F7" w14:textId="77777777" w:rsidR="0027128B" w:rsidRPr="004A34CF" w:rsidRDefault="0027128B" w:rsidP="00851FB6">
            <w:pPr>
              <w:pStyle w:val="Normal6a"/>
              <w:rPr>
                <w:b/>
                <w:bCs/>
                <w:i/>
                <w:iCs/>
              </w:rPr>
            </w:pPr>
            <w:r>
              <w:t>1.</w:t>
            </w:r>
            <w:r>
              <w:tab/>
              <w:t xml:space="preserve">Les opérateurs en aval et les commerçants ne mettent </w:t>
            </w:r>
            <w:r>
              <w:rPr>
                <w:b/>
                <w:i/>
              </w:rPr>
              <w:t>des produits en cause</w:t>
            </w:r>
            <w:r>
              <w:t xml:space="preserve"> à disposition sur le marché que s’ils sont en possession des informations requises en application du paragraphe 3.</w:t>
            </w:r>
          </w:p>
        </w:tc>
        <w:tc>
          <w:tcPr>
            <w:tcW w:w="4876" w:type="dxa"/>
          </w:tcPr>
          <w:p w14:paraId="339E7342" w14:textId="77777777" w:rsidR="0027128B" w:rsidRPr="004A34CF" w:rsidRDefault="0027128B" w:rsidP="00851FB6">
            <w:pPr>
              <w:pStyle w:val="Normal6a"/>
              <w:rPr>
                <w:szCs w:val="24"/>
              </w:rPr>
            </w:pPr>
            <w:r>
              <w:t>1.</w:t>
            </w:r>
            <w:r>
              <w:tab/>
              <w:t xml:space="preserve">Les opérateurs en aval et les commerçants ne mettent </w:t>
            </w:r>
            <w:r>
              <w:rPr>
                <w:b/>
                <w:i/>
              </w:rPr>
              <w:t>sur le marché, ne mettent</w:t>
            </w:r>
            <w:r>
              <w:t xml:space="preserve"> à disposition sur le marché</w:t>
            </w:r>
            <w:r>
              <w:rPr>
                <w:b/>
                <w:i/>
              </w:rPr>
              <w:t xml:space="preserve"> ou n’exportent des produits en cause</w:t>
            </w:r>
            <w:r>
              <w:t xml:space="preserve"> que s’ils sont en possession des informations requises en application du paragraphe 3.</w:t>
            </w:r>
          </w:p>
        </w:tc>
      </w:tr>
    </w:tbl>
    <w:p w14:paraId="72FBB996" w14:textId="77777777" w:rsidR="0027128B" w:rsidRDefault="0027128B" w:rsidP="00463CEB">
      <w:pPr>
        <w:tabs>
          <w:tab w:val="left" w:pos="-774"/>
          <w:tab w:val="left" w:pos="-114"/>
          <w:tab w:val="left" w:pos="1107"/>
        </w:tabs>
        <w:spacing w:after="240"/>
        <w:ind w:left="567" w:hanging="567"/>
      </w:pPr>
    </w:p>
    <w:p w14:paraId="6CB2E661" w14:textId="213F507D" w:rsidR="0027128B" w:rsidRPr="00463CEB" w:rsidRDefault="0027128B" w:rsidP="0027128B">
      <w:pPr>
        <w:pStyle w:val="NormalBold"/>
        <w:spacing w:after="120"/>
        <w:rPr>
          <w:lang w:val="fr-BE"/>
        </w:rPr>
      </w:pPr>
      <w:r w:rsidRPr="00463CEB">
        <w:rPr>
          <w:lang w:val="fr-BE"/>
        </w:rPr>
        <w:t>Amendement</w:t>
      </w:r>
      <w:r>
        <w:rPr>
          <w:lang w:val="fr-BE"/>
        </w:rPr>
        <w:t>s</w:t>
      </w:r>
      <w:r w:rsidRPr="00463CEB">
        <w:rPr>
          <w:lang w:val="fr-BE"/>
        </w:rPr>
        <w:t xml:space="preserve"> </w:t>
      </w:r>
      <w:r>
        <w:rPr>
          <w:lang w:val="fr-BE"/>
        </w:rPr>
        <w:t>50, 80 et 120</w:t>
      </w:r>
    </w:p>
    <w:p w14:paraId="263D1BA3" w14:textId="77777777" w:rsidR="0027128B" w:rsidRPr="00463CEB" w:rsidRDefault="0027128B" w:rsidP="0027128B">
      <w:pPr>
        <w:pStyle w:val="NormalBold"/>
        <w:rPr>
          <w:lang w:val="fr-BE"/>
        </w:rPr>
      </w:pPr>
      <w:r w:rsidRPr="00463CEB">
        <w:rPr>
          <w:lang w:val="fr-BE"/>
        </w:rPr>
        <w:t>Proposition de règlement</w:t>
      </w:r>
    </w:p>
    <w:p w14:paraId="115A148F" w14:textId="77777777" w:rsidR="0027128B" w:rsidRPr="00463CEB" w:rsidRDefault="0027128B" w:rsidP="0027128B">
      <w:pPr>
        <w:pStyle w:val="NormalBold"/>
        <w:rPr>
          <w:lang w:val="fr-BE"/>
        </w:rPr>
      </w:pPr>
      <w:r w:rsidRPr="00463CEB">
        <w:rPr>
          <w:lang w:val="fr-BE"/>
        </w:rPr>
        <w:t xml:space="preserve">Article 1 – point </w:t>
      </w:r>
      <w:r>
        <w:rPr>
          <w:lang w:val="fr-BE"/>
        </w:rPr>
        <w:t>6</w:t>
      </w:r>
    </w:p>
    <w:p w14:paraId="47D36B58" w14:textId="77777777" w:rsidR="0027128B" w:rsidRPr="00870773" w:rsidRDefault="0027128B" w:rsidP="0027128B">
      <w:r>
        <w:t>Règlement (UE) 2023/1115</w:t>
      </w:r>
    </w:p>
    <w:p w14:paraId="14C9EE0E" w14:textId="6A330AC9" w:rsidR="0027128B" w:rsidRPr="00870773" w:rsidRDefault="0027128B" w:rsidP="0027128B">
      <w:r>
        <w:t>Article 5 – paragraphe 3 – point a</w:t>
      </w:r>
    </w:p>
    <w:p w14:paraId="5F8006EF" w14:textId="77777777" w:rsidR="0027128B" w:rsidRDefault="0027128B" w:rsidP="00463CEB">
      <w:pPr>
        <w:tabs>
          <w:tab w:val="left" w:pos="-774"/>
          <w:tab w:val="left" w:pos="-114"/>
          <w:tab w:val="left" w:pos="1107"/>
        </w:tabs>
        <w:spacing w:after="240"/>
        <w:ind w:left="567" w:hanging="567"/>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128B" w:rsidRPr="00870773" w14:paraId="31138A65" w14:textId="77777777" w:rsidTr="00851FB6">
        <w:trPr>
          <w:jc w:val="center"/>
        </w:trPr>
        <w:tc>
          <w:tcPr>
            <w:tcW w:w="4876" w:type="dxa"/>
          </w:tcPr>
          <w:p w14:paraId="5CB6B78B" w14:textId="77777777" w:rsidR="0027128B" w:rsidRPr="004A34CF" w:rsidRDefault="0027128B" w:rsidP="00851FB6">
            <w:pPr>
              <w:pStyle w:val="AmColumnHeading"/>
              <w:keepNext/>
            </w:pPr>
            <w:r>
              <w:lastRenderedPageBreak/>
              <w:t>Texte proposé par la Commission</w:t>
            </w:r>
          </w:p>
        </w:tc>
        <w:tc>
          <w:tcPr>
            <w:tcW w:w="4876" w:type="dxa"/>
          </w:tcPr>
          <w:p w14:paraId="68AC3253" w14:textId="77777777" w:rsidR="0027128B" w:rsidRPr="00870773" w:rsidRDefault="0027128B" w:rsidP="00851FB6">
            <w:pPr>
              <w:pStyle w:val="AmColumnHeading"/>
              <w:keepNext/>
            </w:pPr>
            <w:r>
              <w:t>Amendement</w:t>
            </w:r>
          </w:p>
        </w:tc>
      </w:tr>
      <w:tr w:rsidR="0027128B" w:rsidRPr="004A34CF" w14:paraId="5AA89C30" w14:textId="77777777" w:rsidTr="00851FB6">
        <w:trPr>
          <w:jc w:val="center"/>
        </w:trPr>
        <w:tc>
          <w:tcPr>
            <w:tcW w:w="4876" w:type="dxa"/>
          </w:tcPr>
          <w:p w14:paraId="55B12247" w14:textId="77777777" w:rsidR="0027128B" w:rsidRPr="004A34CF" w:rsidRDefault="0027128B" w:rsidP="00851FB6">
            <w:pPr>
              <w:pStyle w:val="Normal6a"/>
              <w:rPr>
                <w:b/>
                <w:bCs/>
                <w:i/>
                <w:iCs/>
              </w:rPr>
            </w:pPr>
            <w:r>
              <w:t>a)</w:t>
            </w:r>
            <w:r>
              <w:tab/>
              <w:t>le nom, la raison sociale ou la marque déposée, l’adresse postale, l’adresse électronique et, le cas échéant, l’adresse internet des opérateurs, des opérateurs en aval ou des commerçants qui leur ont fourni les produits en cause, ainsi que les numéros de référence des déclarations de diligence raisonnée ou les identifiants de déclaration liés à ces produits;</w:t>
            </w:r>
          </w:p>
        </w:tc>
        <w:tc>
          <w:tcPr>
            <w:tcW w:w="4876" w:type="dxa"/>
          </w:tcPr>
          <w:p w14:paraId="077CD29E" w14:textId="77777777" w:rsidR="0027128B" w:rsidRPr="004A34CF" w:rsidRDefault="0027128B" w:rsidP="00851FB6">
            <w:pPr>
              <w:pStyle w:val="Normal6a"/>
              <w:rPr>
                <w:szCs w:val="24"/>
              </w:rPr>
            </w:pPr>
            <w:r>
              <w:t>a)</w:t>
            </w:r>
            <w:r>
              <w:tab/>
              <w:t>le nom, la raison sociale ou la marque déposée, l’adresse postale, l’adresse électronique et, le cas échéant, l’adresse internet des opérateurs, des opérateurs en aval ou des commerçants qui leur ont fourni les produits en cause, ainsi que les numéros de référence des déclarations de diligence raisonnée ou les identifiants de déclaration liés à ces produits</w:t>
            </w:r>
            <w:r>
              <w:rPr>
                <w:b/>
                <w:i/>
              </w:rPr>
              <w:t xml:space="preserve"> uniquement dans le cas où leur fournisseur est un opérateur</w:t>
            </w:r>
            <w:r>
              <w:t>;</w:t>
            </w:r>
          </w:p>
        </w:tc>
      </w:tr>
    </w:tbl>
    <w:p w14:paraId="1E1F37C8" w14:textId="77777777" w:rsidR="0027128B" w:rsidRDefault="0027128B" w:rsidP="00463CEB">
      <w:pPr>
        <w:tabs>
          <w:tab w:val="left" w:pos="-774"/>
          <w:tab w:val="left" w:pos="-114"/>
          <w:tab w:val="left" w:pos="1107"/>
        </w:tabs>
        <w:spacing w:after="240"/>
        <w:ind w:left="567" w:hanging="567"/>
      </w:pPr>
    </w:p>
    <w:p w14:paraId="4B049A56" w14:textId="5AFC9F55" w:rsidR="00B357F2" w:rsidRPr="00463CEB" w:rsidRDefault="00B357F2" w:rsidP="00B357F2">
      <w:pPr>
        <w:pStyle w:val="NormalBold"/>
        <w:spacing w:after="120"/>
        <w:rPr>
          <w:lang w:val="fr-BE"/>
        </w:rPr>
      </w:pPr>
      <w:r w:rsidRPr="00463CEB">
        <w:rPr>
          <w:lang w:val="fr-BE"/>
        </w:rPr>
        <w:t>Amendement</w:t>
      </w:r>
      <w:r>
        <w:rPr>
          <w:lang w:val="fr-BE"/>
        </w:rPr>
        <w:t>s</w:t>
      </w:r>
      <w:r w:rsidRPr="00463CEB">
        <w:rPr>
          <w:lang w:val="fr-BE"/>
        </w:rPr>
        <w:t xml:space="preserve"> </w:t>
      </w:r>
      <w:r>
        <w:rPr>
          <w:lang w:val="fr-BE"/>
        </w:rPr>
        <w:t>34, 49, 81 et 121</w:t>
      </w:r>
    </w:p>
    <w:p w14:paraId="18F00BDD" w14:textId="77777777" w:rsidR="00B357F2" w:rsidRPr="00463CEB" w:rsidRDefault="00B357F2" w:rsidP="00B357F2">
      <w:pPr>
        <w:pStyle w:val="NormalBold"/>
        <w:rPr>
          <w:lang w:val="fr-BE"/>
        </w:rPr>
      </w:pPr>
      <w:r w:rsidRPr="00463CEB">
        <w:rPr>
          <w:lang w:val="fr-BE"/>
        </w:rPr>
        <w:t>Proposition de règlement</w:t>
      </w:r>
    </w:p>
    <w:p w14:paraId="4C03D914" w14:textId="77777777" w:rsidR="00B357F2" w:rsidRPr="00463CEB" w:rsidRDefault="00B357F2" w:rsidP="00B357F2">
      <w:pPr>
        <w:pStyle w:val="NormalBold"/>
        <w:rPr>
          <w:lang w:val="fr-BE"/>
        </w:rPr>
      </w:pPr>
      <w:r w:rsidRPr="00463CEB">
        <w:rPr>
          <w:lang w:val="fr-BE"/>
        </w:rPr>
        <w:t xml:space="preserve">Article 1 – point </w:t>
      </w:r>
      <w:r>
        <w:rPr>
          <w:lang w:val="fr-BE"/>
        </w:rPr>
        <w:t>6</w:t>
      </w:r>
    </w:p>
    <w:p w14:paraId="4AABAC28" w14:textId="77777777" w:rsidR="00B357F2" w:rsidRPr="00870773" w:rsidRDefault="00B357F2" w:rsidP="00B357F2">
      <w:r>
        <w:t>Règlement (UE) 2023/1115</w:t>
      </w:r>
    </w:p>
    <w:p w14:paraId="36F856D8" w14:textId="2158E122" w:rsidR="00B357F2" w:rsidRPr="00870773" w:rsidRDefault="00B357F2" w:rsidP="00B357F2">
      <w:r>
        <w:t>Article 5 – paragraphe 5</w:t>
      </w:r>
    </w:p>
    <w:p w14:paraId="47B8EDE4" w14:textId="77777777" w:rsidR="00B357F2" w:rsidRDefault="00B357F2" w:rsidP="00463CEB">
      <w:pPr>
        <w:tabs>
          <w:tab w:val="left" w:pos="-774"/>
          <w:tab w:val="left" w:pos="-114"/>
          <w:tab w:val="left" w:pos="1107"/>
        </w:tabs>
        <w:spacing w:after="240"/>
        <w:ind w:left="567" w:hanging="567"/>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357F2" w:rsidRPr="00870773" w14:paraId="65C277F8" w14:textId="77777777" w:rsidTr="00851FB6">
        <w:trPr>
          <w:jc w:val="center"/>
        </w:trPr>
        <w:tc>
          <w:tcPr>
            <w:tcW w:w="4876" w:type="dxa"/>
          </w:tcPr>
          <w:p w14:paraId="6E80611C" w14:textId="77777777" w:rsidR="00B357F2" w:rsidRPr="004A34CF" w:rsidRDefault="00B357F2" w:rsidP="00851FB6">
            <w:pPr>
              <w:pStyle w:val="AmColumnHeading"/>
              <w:keepNext/>
            </w:pPr>
            <w:r>
              <w:t>Texte proposé par la Commission</w:t>
            </w:r>
          </w:p>
        </w:tc>
        <w:tc>
          <w:tcPr>
            <w:tcW w:w="4876" w:type="dxa"/>
          </w:tcPr>
          <w:p w14:paraId="4E1A65DC" w14:textId="77777777" w:rsidR="00B357F2" w:rsidRPr="00870773" w:rsidRDefault="00B357F2" w:rsidP="00851FB6">
            <w:pPr>
              <w:pStyle w:val="AmColumnHeading"/>
              <w:keepNext/>
            </w:pPr>
            <w:r>
              <w:t>Amendement</w:t>
            </w:r>
          </w:p>
        </w:tc>
      </w:tr>
      <w:tr w:rsidR="00B357F2" w:rsidRPr="00870773" w14:paraId="58EE0449" w14:textId="77777777" w:rsidTr="00851FB6">
        <w:trPr>
          <w:jc w:val="center"/>
        </w:trPr>
        <w:tc>
          <w:tcPr>
            <w:tcW w:w="4876" w:type="dxa"/>
          </w:tcPr>
          <w:p w14:paraId="70815722" w14:textId="77777777" w:rsidR="00B357F2" w:rsidRPr="004A34CF" w:rsidRDefault="00B357F2" w:rsidP="00851FB6">
            <w:pPr>
              <w:pStyle w:val="Normal6a"/>
              <w:rPr>
                <w:b/>
                <w:bCs/>
                <w:i/>
                <w:iCs/>
              </w:rPr>
            </w:pPr>
            <w:r>
              <w:rPr>
                <w:b/>
                <w:i/>
              </w:rPr>
              <w:t>5.</w:t>
            </w:r>
            <w:r>
              <w:rPr>
                <w:b/>
                <w:i/>
              </w:rPr>
              <w:tab/>
              <w:t>Les opérateurs en aval et les commerçants communiquent aux opérateurs en aval et aux commerçants auxquels ils ont fourni les produits en cause les numéros de référence des déclarations de diligence raisonnée ou les identifiants de déclaration liés à ces produits en cause.</w:t>
            </w:r>
          </w:p>
        </w:tc>
        <w:tc>
          <w:tcPr>
            <w:tcW w:w="4876" w:type="dxa"/>
          </w:tcPr>
          <w:p w14:paraId="2CF89EBA" w14:textId="77777777" w:rsidR="00B357F2" w:rsidRPr="00870773" w:rsidRDefault="00B357F2" w:rsidP="00851FB6">
            <w:pPr>
              <w:pStyle w:val="Normal6a"/>
              <w:rPr>
                <w:szCs w:val="24"/>
              </w:rPr>
            </w:pPr>
            <w:r>
              <w:rPr>
                <w:b/>
                <w:i/>
              </w:rPr>
              <w:t>supprimé</w:t>
            </w:r>
          </w:p>
        </w:tc>
      </w:tr>
    </w:tbl>
    <w:p w14:paraId="3B9A0429" w14:textId="77777777" w:rsidR="00B357F2" w:rsidRDefault="00B357F2" w:rsidP="00463CEB">
      <w:pPr>
        <w:tabs>
          <w:tab w:val="left" w:pos="-774"/>
          <w:tab w:val="left" w:pos="-114"/>
          <w:tab w:val="left" w:pos="1107"/>
        </w:tabs>
        <w:spacing w:after="240"/>
        <w:ind w:left="567" w:hanging="567"/>
      </w:pPr>
    </w:p>
    <w:p w14:paraId="6022F7D1" w14:textId="2B548C71" w:rsidR="00B357F2" w:rsidRPr="00463CEB" w:rsidRDefault="00B357F2" w:rsidP="00B357F2">
      <w:pPr>
        <w:pStyle w:val="NormalBold"/>
        <w:spacing w:after="120"/>
        <w:rPr>
          <w:lang w:val="fr-BE"/>
        </w:rPr>
      </w:pPr>
      <w:r w:rsidRPr="00463CEB">
        <w:rPr>
          <w:lang w:val="fr-BE"/>
        </w:rPr>
        <w:t>Amendement</w:t>
      </w:r>
      <w:r>
        <w:rPr>
          <w:lang w:val="fr-BE"/>
        </w:rPr>
        <w:t xml:space="preserve">s </w:t>
      </w:r>
      <w:r w:rsidR="005A5DB4">
        <w:rPr>
          <w:lang w:val="fr-BE"/>
        </w:rPr>
        <w:t>82</w:t>
      </w:r>
      <w:r>
        <w:rPr>
          <w:lang w:val="fr-BE"/>
        </w:rPr>
        <w:t xml:space="preserve"> et</w:t>
      </w:r>
      <w:r w:rsidRPr="00463CEB">
        <w:rPr>
          <w:lang w:val="fr-BE"/>
        </w:rPr>
        <w:t xml:space="preserve"> 1</w:t>
      </w:r>
      <w:r w:rsidR="005A5DB4">
        <w:rPr>
          <w:lang w:val="fr-BE"/>
        </w:rPr>
        <w:t>22</w:t>
      </w:r>
    </w:p>
    <w:p w14:paraId="66C44454" w14:textId="77777777" w:rsidR="005A5DB4" w:rsidRPr="00463CEB" w:rsidRDefault="005A5DB4" w:rsidP="005A5DB4">
      <w:pPr>
        <w:pStyle w:val="NormalBold"/>
        <w:rPr>
          <w:lang w:val="fr-BE"/>
        </w:rPr>
      </w:pPr>
      <w:r w:rsidRPr="00463CEB">
        <w:rPr>
          <w:lang w:val="fr-BE"/>
        </w:rPr>
        <w:t>Proposition de règlement</w:t>
      </w:r>
    </w:p>
    <w:p w14:paraId="127E28B4" w14:textId="36386220" w:rsidR="005A5DB4" w:rsidRPr="00463CEB" w:rsidRDefault="005A5DB4" w:rsidP="005A5DB4">
      <w:pPr>
        <w:pStyle w:val="NormalBold"/>
        <w:rPr>
          <w:lang w:val="fr-BE"/>
        </w:rPr>
      </w:pPr>
      <w:r w:rsidRPr="00463CEB">
        <w:rPr>
          <w:lang w:val="fr-BE"/>
        </w:rPr>
        <w:t xml:space="preserve">Article 1 – point </w:t>
      </w:r>
      <w:r>
        <w:rPr>
          <w:lang w:val="fr-BE"/>
        </w:rPr>
        <w:t>16</w:t>
      </w:r>
      <w:r w:rsidRPr="005A5DB4">
        <w:rPr>
          <w:lang w:val="fr-BE"/>
        </w:rPr>
        <w:t xml:space="preserve"> – sous-point a</w:t>
      </w:r>
    </w:p>
    <w:p w14:paraId="0CEC413C" w14:textId="77777777" w:rsidR="005A5DB4" w:rsidRPr="00870773" w:rsidRDefault="005A5DB4" w:rsidP="005A5DB4">
      <w:r>
        <w:t>Règlement (UE) 2023/1115</w:t>
      </w:r>
    </w:p>
    <w:p w14:paraId="5E8F44FB" w14:textId="32AFE67C" w:rsidR="005A5DB4" w:rsidRPr="00870773" w:rsidRDefault="005A5DB4" w:rsidP="005A5DB4">
      <w:r>
        <w:t>Article 26 – paragraphe 4</w:t>
      </w:r>
    </w:p>
    <w:p w14:paraId="47AEAB25" w14:textId="77777777" w:rsidR="005A5DB4" w:rsidRDefault="005A5DB4" w:rsidP="005A5DB4">
      <w:pPr>
        <w:tabs>
          <w:tab w:val="left" w:pos="-774"/>
          <w:tab w:val="left" w:pos="-114"/>
          <w:tab w:val="left" w:pos="1300"/>
        </w:tabs>
        <w:spacing w:after="240"/>
        <w:ind w:left="567" w:hanging="567"/>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5DB4" w:rsidRPr="006348A1" w14:paraId="2A7BD868" w14:textId="77777777" w:rsidTr="00851FB6">
        <w:trPr>
          <w:jc w:val="center"/>
        </w:trPr>
        <w:tc>
          <w:tcPr>
            <w:tcW w:w="4876" w:type="dxa"/>
          </w:tcPr>
          <w:p w14:paraId="7621AAC2" w14:textId="77777777" w:rsidR="005A5DB4" w:rsidRPr="006348A1" w:rsidRDefault="005A5DB4" w:rsidP="00851FB6">
            <w:pPr>
              <w:pStyle w:val="AmColumnHeading"/>
              <w:keepNext/>
            </w:pPr>
            <w:r>
              <w:t>Texte proposé par la Commission</w:t>
            </w:r>
          </w:p>
        </w:tc>
        <w:tc>
          <w:tcPr>
            <w:tcW w:w="4876" w:type="dxa"/>
          </w:tcPr>
          <w:p w14:paraId="04A0DE46" w14:textId="77777777" w:rsidR="005A5DB4" w:rsidRPr="006348A1" w:rsidRDefault="005A5DB4" w:rsidP="00851FB6">
            <w:pPr>
              <w:pStyle w:val="AmColumnHeading"/>
              <w:keepNext/>
            </w:pPr>
            <w:r>
              <w:t>Amendement</w:t>
            </w:r>
          </w:p>
        </w:tc>
      </w:tr>
      <w:tr w:rsidR="005A5DB4" w:rsidRPr="006348A1" w14:paraId="2DABF243" w14:textId="77777777" w:rsidTr="00851FB6">
        <w:trPr>
          <w:jc w:val="center"/>
        </w:trPr>
        <w:tc>
          <w:tcPr>
            <w:tcW w:w="4876" w:type="dxa"/>
          </w:tcPr>
          <w:p w14:paraId="6C29D15D" w14:textId="5961886F" w:rsidR="005A5DB4" w:rsidRPr="006348A1" w:rsidRDefault="005A5DB4" w:rsidP="00CF553C">
            <w:pPr>
              <w:pStyle w:val="Normal6a"/>
              <w:tabs>
                <w:tab w:val="left" w:pos="540"/>
              </w:tabs>
            </w:pPr>
            <w:r>
              <w:t>4.</w:t>
            </w:r>
            <w:r w:rsidR="00CF553C">
              <w:tab/>
            </w:r>
            <w:r>
              <w:t xml:space="preserve">Le numéro de référence de la déclaration de diligence raisonnée ou l’identifiant de déclaration pour </w:t>
            </w:r>
            <w:proofErr w:type="gramStart"/>
            <w:r>
              <w:t>les micro</w:t>
            </w:r>
            <w:proofErr w:type="gramEnd"/>
            <w:r>
              <w:t xml:space="preserve"> et petits opérateurs primaires est mis à la disposition des autorités douanières avant la mise en libre pratique ou l’exportation d’un produit en cause entrant sur le marché </w:t>
            </w:r>
            <w:r>
              <w:lastRenderedPageBreak/>
              <w:t>ou quittant le marché. À cette fin, sauf lorsque la déclaration de diligence raisonnée est mise à disposition par l’intermédiaire de l’interface électronique visée à l’article 28, paragraphe 2, la personne qui dépose la déclaration en douane en vue de la mise en libre pratique ou de l’exportation d’un produit en cause met à la disposition des autorités douanières le numéro de référence de la déclaration de diligence raisonnée ou l’identifiant de déclaration pour les micro et petits opérateurs primaires attribué à ce produit en cause.</w:t>
            </w:r>
          </w:p>
        </w:tc>
        <w:tc>
          <w:tcPr>
            <w:tcW w:w="4876" w:type="dxa"/>
          </w:tcPr>
          <w:p w14:paraId="1B51D6D9" w14:textId="7CD9692B" w:rsidR="005A5DB4" w:rsidRPr="006348A1" w:rsidRDefault="005A5DB4" w:rsidP="00CF553C">
            <w:pPr>
              <w:pStyle w:val="Normal6a"/>
              <w:tabs>
                <w:tab w:val="left" w:pos="532"/>
              </w:tabs>
              <w:rPr>
                <w:szCs w:val="24"/>
              </w:rPr>
            </w:pPr>
            <w:r>
              <w:lastRenderedPageBreak/>
              <w:t>4.</w:t>
            </w:r>
            <w:r w:rsidR="00CF553C">
              <w:tab/>
            </w:r>
            <w:r>
              <w:t xml:space="preserve">Le numéro de référence de la déclaration de diligence raisonnée ou l’identifiant de déclaration pour </w:t>
            </w:r>
            <w:proofErr w:type="gramStart"/>
            <w:r>
              <w:t>les micro</w:t>
            </w:r>
            <w:proofErr w:type="gramEnd"/>
            <w:r>
              <w:t xml:space="preserve"> et petits opérateurs primaires est mis à la disposition des autorités douanières avant la mise en libre pratique ou l’exportation d’un produit en cause entrant sur le marché </w:t>
            </w:r>
            <w:r>
              <w:lastRenderedPageBreak/>
              <w:t>ou quittant le marché. À cette fin, sauf lorsque la déclaration de diligence raisonnée est mise à disposition par l’intermédiaire de l’interface électronique visée à l’article 28, paragraphe 2, la personne qui dépose la déclaration en douane en vue de la mise en libre pratique ou de l’exportation d’un produit en cause met à la disposition des autorités douanières le numéro de référence de la déclaration de diligence raisonnée ou l’identifiant de déclaration pour les micro et petits opérateurs primaires attribué à ce produit en cause.</w:t>
            </w:r>
            <w:r>
              <w:rPr>
                <w:b/>
                <w:i/>
              </w:rPr>
              <w:t xml:space="preserve"> Le présent paragraphe ne s’applique pas à l’exportation d’un produit en cause par un opérateur en aval.</w:t>
            </w:r>
          </w:p>
        </w:tc>
      </w:tr>
    </w:tbl>
    <w:p w14:paraId="5EBB9036" w14:textId="21790E0B" w:rsidR="005A5DB4" w:rsidRPr="00463CEB" w:rsidRDefault="005A5DB4" w:rsidP="005A5DB4">
      <w:pPr>
        <w:pStyle w:val="NormalBold"/>
        <w:spacing w:after="120"/>
        <w:rPr>
          <w:lang w:val="fr-BE"/>
        </w:rPr>
      </w:pPr>
      <w:r w:rsidRPr="00463CEB">
        <w:rPr>
          <w:lang w:val="fr-BE"/>
        </w:rPr>
        <w:lastRenderedPageBreak/>
        <w:t>Amendement</w:t>
      </w:r>
      <w:r>
        <w:rPr>
          <w:lang w:val="fr-BE"/>
        </w:rPr>
        <w:t>s 62 et</w:t>
      </w:r>
      <w:r w:rsidRPr="00463CEB">
        <w:rPr>
          <w:lang w:val="fr-BE"/>
        </w:rPr>
        <w:t xml:space="preserve"> 1</w:t>
      </w:r>
      <w:r>
        <w:rPr>
          <w:lang w:val="fr-BE"/>
        </w:rPr>
        <w:t>23</w:t>
      </w:r>
    </w:p>
    <w:p w14:paraId="17C2763F" w14:textId="6018DE8D" w:rsidR="005A5DB4" w:rsidRPr="005A5DB4" w:rsidRDefault="005A5DB4" w:rsidP="005A5DB4">
      <w:pPr>
        <w:pStyle w:val="NormalBold"/>
        <w:rPr>
          <w:lang w:val="fr-BE"/>
        </w:rPr>
      </w:pPr>
      <w:r w:rsidRPr="005A5DB4">
        <w:rPr>
          <w:lang w:val="fr-BE"/>
        </w:rPr>
        <w:t>Proposition de règlement</w:t>
      </w:r>
    </w:p>
    <w:p w14:paraId="1A3EFBFF" w14:textId="2B9C0448" w:rsidR="005A5DB4" w:rsidRPr="005A5DB4" w:rsidRDefault="005A5DB4" w:rsidP="005A5DB4">
      <w:pPr>
        <w:pStyle w:val="NormalBold"/>
        <w:rPr>
          <w:lang w:val="fr-BE"/>
        </w:rPr>
      </w:pPr>
      <w:r w:rsidRPr="005A5DB4">
        <w:rPr>
          <w:lang w:val="fr-BE"/>
        </w:rPr>
        <w:t>Article 1 – point 21</w:t>
      </w:r>
    </w:p>
    <w:p w14:paraId="7D562672" w14:textId="2A91E6D9" w:rsidR="005A5DB4" w:rsidRPr="006348A1" w:rsidRDefault="005A5DB4" w:rsidP="005A5DB4">
      <w:r>
        <w:t>Règlement (UE) 2023/1115</w:t>
      </w:r>
    </w:p>
    <w:p w14:paraId="6D0DE82F" w14:textId="6B76D562" w:rsidR="005A5DB4" w:rsidRPr="006348A1" w:rsidRDefault="005A5DB4" w:rsidP="005A5DB4">
      <w:r>
        <w:t>Article 34 – paragraphe 1 bis (nouveau)</w:t>
      </w:r>
    </w:p>
    <w:p w14:paraId="3BFC9198" w14:textId="77777777" w:rsidR="005A5DB4" w:rsidRDefault="005A5DB4" w:rsidP="005A5DB4">
      <w:pPr>
        <w:tabs>
          <w:tab w:val="left" w:pos="-774"/>
          <w:tab w:val="left" w:pos="-114"/>
          <w:tab w:val="left" w:pos="1300"/>
        </w:tabs>
        <w:spacing w:after="240"/>
        <w:ind w:left="567" w:hanging="567"/>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5DB4" w:rsidRPr="006348A1" w14:paraId="2D762EA9" w14:textId="77777777" w:rsidTr="00851FB6">
        <w:trPr>
          <w:jc w:val="center"/>
        </w:trPr>
        <w:tc>
          <w:tcPr>
            <w:tcW w:w="4876" w:type="dxa"/>
          </w:tcPr>
          <w:p w14:paraId="31ADE6AB" w14:textId="77777777" w:rsidR="005A5DB4" w:rsidRPr="006348A1" w:rsidRDefault="005A5DB4" w:rsidP="00851FB6">
            <w:pPr>
              <w:pStyle w:val="AmColumnHeading"/>
              <w:keepNext/>
            </w:pPr>
            <w:r>
              <w:t>Texte proposé par la Commission</w:t>
            </w:r>
          </w:p>
        </w:tc>
        <w:tc>
          <w:tcPr>
            <w:tcW w:w="4876" w:type="dxa"/>
          </w:tcPr>
          <w:p w14:paraId="77770E8D" w14:textId="77777777" w:rsidR="005A5DB4" w:rsidRPr="006348A1" w:rsidRDefault="005A5DB4" w:rsidP="00851FB6">
            <w:pPr>
              <w:pStyle w:val="AmColumnHeading"/>
              <w:keepNext/>
            </w:pPr>
            <w:r>
              <w:t>Amendement</w:t>
            </w:r>
          </w:p>
        </w:tc>
      </w:tr>
      <w:tr w:rsidR="005A5DB4" w:rsidRPr="006348A1" w14:paraId="3A4CA4CA" w14:textId="77777777" w:rsidTr="00851FB6">
        <w:trPr>
          <w:jc w:val="center"/>
        </w:trPr>
        <w:tc>
          <w:tcPr>
            <w:tcW w:w="4876" w:type="dxa"/>
          </w:tcPr>
          <w:p w14:paraId="29E8D18D" w14:textId="77777777" w:rsidR="005A5DB4" w:rsidRPr="006348A1" w:rsidRDefault="005A5DB4" w:rsidP="00851FB6">
            <w:pPr>
              <w:pStyle w:val="Normal6a"/>
            </w:pPr>
          </w:p>
        </w:tc>
        <w:tc>
          <w:tcPr>
            <w:tcW w:w="4876" w:type="dxa"/>
          </w:tcPr>
          <w:p w14:paraId="63BBE4FD" w14:textId="319A4CAA" w:rsidR="005A5DB4" w:rsidRPr="006348A1" w:rsidRDefault="005A5DB4" w:rsidP="00851FB6">
            <w:pPr>
              <w:pStyle w:val="Normal6a"/>
              <w:rPr>
                <w:szCs w:val="24"/>
              </w:rPr>
            </w:pPr>
            <w:r>
              <w:rPr>
                <w:b/>
                <w:i/>
              </w:rPr>
              <w:t>1 bis.</w:t>
            </w:r>
            <w:r w:rsidR="00CF553C">
              <w:rPr>
                <w:b/>
                <w:i/>
              </w:rPr>
              <w:tab/>
            </w:r>
            <w:r>
              <w:rPr>
                <w:b/>
                <w:i/>
              </w:rPr>
              <w:t>Au plus tard le 30 avril 2026, la Commission réexamine le présent règlement pour le simplifier et, sur cette base, présente un rapport au Parlement européen et au Conseil, accompagné, le cas échéant, d’une proposition législative.</w:t>
            </w:r>
          </w:p>
        </w:tc>
      </w:tr>
    </w:tbl>
    <w:p w14:paraId="27E5435C" w14:textId="5194868B" w:rsidR="005A5DB4" w:rsidRDefault="005A5DB4" w:rsidP="005A5DB4">
      <w:pPr>
        <w:pStyle w:val="NormalBold"/>
        <w:spacing w:after="120"/>
        <w:rPr>
          <w:lang w:val="fr-BE"/>
        </w:rPr>
      </w:pPr>
      <w:r w:rsidRPr="00463CEB">
        <w:rPr>
          <w:lang w:val="fr-BE"/>
        </w:rPr>
        <w:t>Amendement</w:t>
      </w:r>
      <w:r>
        <w:rPr>
          <w:lang w:val="fr-BE"/>
        </w:rPr>
        <w:t xml:space="preserve"> 48</w:t>
      </w:r>
    </w:p>
    <w:p w14:paraId="567A1551" w14:textId="4CA3183A" w:rsidR="005A5DB4" w:rsidRPr="005A5DB4" w:rsidRDefault="005A5DB4" w:rsidP="005A5DB4">
      <w:pPr>
        <w:pStyle w:val="NormalBold"/>
        <w:rPr>
          <w:lang w:val="fr-BE"/>
        </w:rPr>
      </w:pPr>
      <w:r w:rsidRPr="005A5DB4">
        <w:rPr>
          <w:lang w:val="fr-BE"/>
        </w:rPr>
        <w:t>Proposition de règlement</w:t>
      </w:r>
    </w:p>
    <w:p w14:paraId="249098A6" w14:textId="0C478D02" w:rsidR="005A5DB4" w:rsidRPr="005A5DB4" w:rsidRDefault="005A5DB4" w:rsidP="005A5DB4">
      <w:pPr>
        <w:pStyle w:val="NormalBold"/>
        <w:rPr>
          <w:lang w:val="fr-BE"/>
        </w:rPr>
      </w:pPr>
      <w:r w:rsidRPr="005A5DB4">
        <w:rPr>
          <w:lang w:val="fr-BE"/>
        </w:rPr>
        <w:t>Article 1 – alinéa 21</w:t>
      </w:r>
    </w:p>
    <w:p w14:paraId="5A3CD213" w14:textId="09FECCF8" w:rsidR="005A5DB4" w:rsidRPr="00403A8B" w:rsidRDefault="005A5DB4" w:rsidP="005A5DB4">
      <w:r>
        <w:t>Règlement (UE) 2023/1115</w:t>
      </w:r>
    </w:p>
    <w:p w14:paraId="6A53FE76" w14:textId="4110E5D5" w:rsidR="005A5DB4" w:rsidRPr="00403A8B" w:rsidRDefault="005A5DB4" w:rsidP="005A5DB4">
      <w:r>
        <w:t>Article 34 – paragraphe 2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5DB4" w14:paraId="0373C78B" w14:textId="77777777" w:rsidTr="00851FB6">
        <w:trPr>
          <w:jc w:val="center"/>
        </w:trPr>
        <w:tc>
          <w:tcPr>
            <w:tcW w:w="9752" w:type="dxa"/>
            <w:gridSpan w:val="2"/>
          </w:tcPr>
          <w:p w14:paraId="3355F3B9" w14:textId="77777777" w:rsidR="005A5DB4" w:rsidRPr="00403A8B" w:rsidRDefault="005A5DB4" w:rsidP="00851FB6">
            <w:pPr>
              <w:keepNext/>
            </w:pPr>
          </w:p>
        </w:tc>
      </w:tr>
      <w:tr w:rsidR="005A5DB4" w14:paraId="030C7BC1" w14:textId="77777777" w:rsidTr="00851FB6">
        <w:trPr>
          <w:jc w:val="center"/>
        </w:trPr>
        <w:tc>
          <w:tcPr>
            <w:tcW w:w="4876" w:type="dxa"/>
          </w:tcPr>
          <w:p w14:paraId="0BBACFFA" w14:textId="77777777" w:rsidR="005A5DB4" w:rsidRPr="00403A8B" w:rsidRDefault="005A5DB4" w:rsidP="00851FB6">
            <w:pPr>
              <w:pStyle w:val="AmColumnHeading"/>
              <w:keepNext/>
            </w:pPr>
            <w:r>
              <w:t>Texte proposé par la Commission</w:t>
            </w:r>
          </w:p>
        </w:tc>
        <w:tc>
          <w:tcPr>
            <w:tcW w:w="4876" w:type="dxa"/>
          </w:tcPr>
          <w:p w14:paraId="18C9714E" w14:textId="77777777" w:rsidR="005A5DB4" w:rsidRPr="00403A8B" w:rsidRDefault="005A5DB4" w:rsidP="00851FB6">
            <w:pPr>
              <w:pStyle w:val="AmColumnHeading"/>
              <w:keepNext/>
            </w:pPr>
            <w:r>
              <w:t>Amendement</w:t>
            </w:r>
          </w:p>
        </w:tc>
      </w:tr>
      <w:tr w:rsidR="005A5DB4" w14:paraId="3A83C445" w14:textId="77777777" w:rsidTr="00851FB6">
        <w:trPr>
          <w:jc w:val="center"/>
        </w:trPr>
        <w:tc>
          <w:tcPr>
            <w:tcW w:w="4876" w:type="dxa"/>
          </w:tcPr>
          <w:p w14:paraId="10F45A5B" w14:textId="77777777" w:rsidR="005A5DB4" w:rsidRPr="00403A8B" w:rsidRDefault="005A5DB4" w:rsidP="00851FB6">
            <w:pPr>
              <w:pStyle w:val="Normal6a"/>
            </w:pPr>
          </w:p>
        </w:tc>
        <w:tc>
          <w:tcPr>
            <w:tcW w:w="4876" w:type="dxa"/>
          </w:tcPr>
          <w:p w14:paraId="093B143B" w14:textId="77777777" w:rsidR="005A5DB4" w:rsidRPr="00403A8B" w:rsidRDefault="005A5DB4" w:rsidP="00851FB6">
            <w:pPr>
              <w:pStyle w:val="Normal6a"/>
              <w:rPr>
                <w:szCs w:val="24"/>
              </w:rPr>
            </w:pPr>
            <w:r>
              <w:rPr>
                <w:b/>
                <w:i/>
              </w:rPr>
              <w:t>2 bis.</w:t>
            </w:r>
            <w:r>
              <w:rPr>
                <w:b/>
                <w:i/>
              </w:rPr>
              <w:tab/>
              <w:t>La Commission établit un groupe permanent de parties prenantes et veille à maintenir les échanges avec les experts, les parties prenantes et les opérateurs afin de formuler les meilleures pratiques et de recueillir des informations techniques après l’entrée en vigueur du règlement.</w:t>
            </w:r>
          </w:p>
        </w:tc>
      </w:tr>
    </w:tbl>
    <w:p w14:paraId="6224B8AF" w14:textId="77777777" w:rsidR="005A5DB4" w:rsidRDefault="005A5DB4" w:rsidP="005A5DB4">
      <w:pPr>
        <w:tabs>
          <w:tab w:val="left" w:pos="-774"/>
          <w:tab w:val="left" w:pos="-114"/>
          <w:tab w:val="left" w:pos="1300"/>
        </w:tabs>
        <w:spacing w:after="240"/>
        <w:ind w:left="567" w:hanging="567"/>
      </w:pPr>
    </w:p>
    <w:p w14:paraId="479F3B11" w14:textId="51AF4447" w:rsidR="005A5DB4" w:rsidRPr="00463CEB" w:rsidRDefault="005A5DB4" w:rsidP="005A5DB4">
      <w:pPr>
        <w:pStyle w:val="NormalBold"/>
        <w:spacing w:after="120"/>
        <w:rPr>
          <w:lang w:val="fr-BE"/>
        </w:rPr>
      </w:pPr>
      <w:r w:rsidRPr="00463CEB">
        <w:rPr>
          <w:lang w:val="fr-BE"/>
        </w:rPr>
        <w:lastRenderedPageBreak/>
        <w:t>Amendement</w:t>
      </w:r>
      <w:r>
        <w:rPr>
          <w:lang w:val="fr-BE"/>
        </w:rPr>
        <w:t>s 55 et</w:t>
      </w:r>
      <w:r w:rsidRPr="00463CEB">
        <w:rPr>
          <w:lang w:val="fr-BE"/>
        </w:rPr>
        <w:t xml:space="preserve"> 1</w:t>
      </w:r>
      <w:r>
        <w:rPr>
          <w:lang w:val="fr-BE"/>
        </w:rPr>
        <w:t>24</w:t>
      </w:r>
    </w:p>
    <w:p w14:paraId="08837966" w14:textId="1ABF5C90" w:rsidR="005A5DB4" w:rsidRPr="005A5DB4" w:rsidRDefault="005A5DB4" w:rsidP="005A5DB4">
      <w:pPr>
        <w:pStyle w:val="NormalBold"/>
        <w:rPr>
          <w:lang w:val="fr-BE"/>
        </w:rPr>
      </w:pPr>
      <w:r w:rsidRPr="005A5DB4">
        <w:rPr>
          <w:lang w:val="fr-BE"/>
        </w:rPr>
        <w:t>Proposition de règlement</w:t>
      </w:r>
    </w:p>
    <w:p w14:paraId="36D4E039" w14:textId="64F68642" w:rsidR="005A5DB4" w:rsidRPr="005A5DB4" w:rsidRDefault="005A5DB4" w:rsidP="005A5DB4">
      <w:pPr>
        <w:pStyle w:val="NormalBold"/>
        <w:rPr>
          <w:lang w:val="fr-BE"/>
        </w:rPr>
      </w:pPr>
      <w:r w:rsidRPr="005A5DB4">
        <w:rPr>
          <w:lang w:val="fr-BE"/>
        </w:rPr>
        <w:t>Article 1 – point 22</w:t>
      </w:r>
    </w:p>
    <w:p w14:paraId="1FAABDF4" w14:textId="18A6337B" w:rsidR="005A5DB4" w:rsidRPr="006348A1" w:rsidRDefault="005A5DB4" w:rsidP="005A5DB4">
      <w:r>
        <w:t>Règlement (UE) 2023/1115</w:t>
      </w:r>
    </w:p>
    <w:p w14:paraId="74460BE9" w14:textId="33598830" w:rsidR="005A5DB4" w:rsidRPr="006348A1" w:rsidRDefault="005A5DB4" w:rsidP="005A5DB4">
      <w:r>
        <w:t>Article 37 – paragraphe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5DB4" w14:paraId="4B38E091" w14:textId="77777777" w:rsidTr="00851FB6">
        <w:trPr>
          <w:jc w:val="center"/>
        </w:trPr>
        <w:tc>
          <w:tcPr>
            <w:tcW w:w="9752" w:type="dxa"/>
            <w:gridSpan w:val="2"/>
          </w:tcPr>
          <w:p w14:paraId="3E43D46B" w14:textId="77777777" w:rsidR="005A5DB4" w:rsidRPr="006348A1" w:rsidRDefault="005A5DB4" w:rsidP="00851FB6">
            <w:pPr>
              <w:keepNext/>
            </w:pPr>
          </w:p>
        </w:tc>
      </w:tr>
      <w:tr w:rsidR="005A5DB4" w14:paraId="64183C87" w14:textId="77777777" w:rsidTr="00851FB6">
        <w:trPr>
          <w:jc w:val="center"/>
        </w:trPr>
        <w:tc>
          <w:tcPr>
            <w:tcW w:w="4876" w:type="dxa"/>
          </w:tcPr>
          <w:p w14:paraId="600BF064" w14:textId="77777777" w:rsidR="005A5DB4" w:rsidRPr="006348A1" w:rsidRDefault="005A5DB4" w:rsidP="00851FB6">
            <w:pPr>
              <w:pStyle w:val="AmColumnHeading"/>
              <w:keepNext/>
            </w:pPr>
            <w:r>
              <w:t>Texte proposé par la Commission</w:t>
            </w:r>
          </w:p>
        </w:tc>
        <w:tc>
          <w:tcPr>
            <w:tcW w:w="4876" w:type="dxa"/>
          </w:tcPr>
          <w:p w14:paraId="451224BD" w14:textId="77777777" w:rsidR="005A5DB4" w:rsidRPr="006348A1" w:rsidRDefault="005A5DB4" w:rsidP="00851FB6">
            <w:pPr>
              <w:pStyle w:val="AmColumnHeading"/>
              <w:keepNext/>
            </w:pPr>
            <w:r>
              <w:t>Amendement</w:t>
            </w:r>
          </w:p>
        </w:tc>
      </w:tr>
      <w:tr w:rsidR="005A5DB4" w14:paraId="37BDE35B" w14:textId="77777777" w:rsidTr="00851FB6">
        <w:trPr>
          <w:jc w:val="center"/>
        </w:trPr>
        <w:tc>
          <w:tcPr>
            <w:tcW w:w="4876" w:type="dxa"/>
          </w:tcPr>
          <w:p w14:paraId="10D6E708" w14:textId="34A7202A" w:rsidR="005A5DB4" w:rsidRPr="006348A1" w:rsidRDefault="005A5DB4" w:rsidP="00CF553C">
            <w:pPr>
              <w:pStyle w:val="Normal6a"/>
              <w:tabs>
                <w:tab w:val="left" w:pos="570"/>
              </w:tabs>
            </w:pPr>
            <w:r>
              <w:t>1.</w:t>
            </w:r>
            <w:r w:rsidR="00CF553C">
              <w:tab/>
            </w:r>
            <w:r>
              <w:t>Le règlement (UE) nº 995/2010 est abrogé avec effet au 30 décembre </w:t>
            </w:r>
            <w:r>
              <w:rPr>
                <w:b/>
                <w:i/>
              </w:rPr>
              <w:t>2025</w:t>
            </w:r>
            <w:r>
              <w:t>.</w:t>
            </w:r>
          </w:p>
        </w:tc>
        <w:tc>
          <w:tcPr>
            <w:tcW w:w="4876" w:type="dxa"/>
          </w:tcPr>
          <w:p w14:paraId="1F69C52C" w14:textId="6310399B" w:rsidR="005A5DB4" w:rsidRPr="006348A1" w:rsidRDefault="005A5DB4" w:rsidP="00CF553C">
            <w:pPr>
              <w:pStyle w:val="Normal6a"/>
              <w:tabs>
                <w:tab w:val="left" w:pos="510"/>
              </w:tabs>
              <w:rPr>
                <w:szCs w:val="24"/>
              </w:rPr>
            </w:pPr>
            <w:r>
              <w:t>1.</w:t>
            </w:r>
            <w:r w:rsidR="00CF553C">
              <w:tab/>
            </w:r>
            <w:r>
              <w:t>Le règlement (UE) nº 995/2010 est abrogé avec effet au 30 décembre </w:t>
            </w:r>
            <w:r>
              <w:rPr>
                <w:b/>
                <w:i/>
              </w:rPr>
              <w:t>2026</w:t>
            </w:r>
            <w:r>
              <w:t>.</w:t>
            </w:r>
          </w:p>
        </w:tc>
      </w:tr>
    </w:tbl>
    <w:p w14:paraId="1F5C5F61" w14:textId="77777777" w:rsidR="005A5DB4" w:rsidRDefault="005A5DB4" w:rsidP="005A5DB4">
      <w:pPr>
        <w:tabs>
          <w:tab w:val="left" w:pos="-774"/>
          <w:tab w:val="left" w:pos="-114"/>
          <w:tab w:val="left" w:pos="1300"/>
        </w:tabs>
        <w:spacing w:after="240"/>
        <w:ind w:left="567" w:hanging="567"/>
      </w:pPr>
    </w:p>
    <w:p w14:paraId="65A67DA5" w14:textId="007ED19E" w:rsidR="005A5DB4" w:rsidRDefault="005A5DB4" w:rsidP="005A5DB4">
      <w:pPr>
        <w:tabs>
          <w:tab w:val="left" w:pos="-774"/>
          <w:tab w:val="left" w:pos="-114"/>
          <w:tab w:val="left" w:pos="1300"/>
        </w:tabs>
        <w:spacing w:after="240"/>
        <w:ind w:left="567" w:hanging="567"/>
        <w:rPr>
          <w:b/>
          <w:bCs/>
          <w:lang w:val="fr-BE"/>
        </w:rPr>
      </w:pPr>
      <w:r w:rsidRPr="005A5DB4">
        <w:rPr>
          <w:b/>
          <w:bCs/>
          <w:lang w:val="fr-BE"/>
        </w:rPr>
        <w:t>Amendement 126</w:t>
      </w:r>
    </w:p>
    <w:p w14:paraId="39C9DD37" w14:textId="77777777" w:rsidR="005A5DB4" w:rsidRPr="005A5DB4" w:rsidRDefault="005A5DB4" w:rsidP="005A5DB4">
      <w:pPr>
        <w:pStyle w:val="NormalBold"/>
        <w:rPr>
          <w:lang w:val="fr-BE"/>
        </w:rPr>
      </w:pPr>
      <w:r w:rsidRPr="005A5DB4">
        <w:rPr>
          <w:lang w:val="fr-BE"/>
        </w:rPr>
        <w:t>Proposition de règlement</w:t>
      </w:r>
    </w:p>
    <w:p w14:paraId="103864DE" w14:textId="77777777" w:rsidR="005A5DB4" w:rsidRPr="005A5DB4" w:rsidRDefault="005A5DB4" w:rsidP="005A5DB4">
      <w:pPr>
        <w:pStyle w:val="NormalBold"/>
        <w:rPr>
          <w:lang w:val="fr-BE"/>
        </w:rPr>
      </w:pPr>
      <w:r w:rsidRPr="005A5DB4">
        <w:rPr>
          <w:lang w:val="fr-BE"/>
        </w:rPr>
        <w:t>Article 1 – point 22</w:t>
      </w:r>
    </w:p>
    <w:p w14:paraId="5E8262FA" w14:textId="77777777" w:rsidR="005A5DB4" w:rsidRPr="006348A1" w:rsidRDefault="005A5DB4" w:rsidP="005A5DB4">
      <w:r>
        <w:t>Règlement (UE) 2023/1115</w:t>
      </w:r>
    </w:p>
    <w:p w14:paraId="4B1BF1DA" w14:textId="6A46EB8F" w:rsidR="005A5DB4" w:rsidRPr="006348A1" w:rsidRDefault="005A5DB4" w:rsidP="005A5DB4">
      <w:r>
        <w:t>Article 37 – paragraphe 2</w:t>
      </w:r>
    </w:p>
    <w:p w14:paraId="18B1C759" w14:textId="77777777" w:rsidR="005A5DB4" w:rsidRPr="005A5DB4" w:rsidRDefault="005A5DB4" w:rsidP="005A5DB4">
      <w:pPr>
        <w:tabs>
          <w:tab w:val="left" w:pos="-774"/>
          <w:tab w:val="left" w:pos="-114"/>
          <w:tab w:val="left" w:pos="1300"/>
        </w:tabs>
        <w:spacing w:after="240"/>
        <w:ind w:left="567" w:hanging="567"/>
        <w:rPr>
          <w:b/>
          <w:bCs/>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5DB4" w:rsidRPr="006348A1" w14:paraId="6D07AE3A" w14:textId="77777777" w:rsidTr="00851FB6">
        <w:trPr>
          <w:jc w:val="center"/>
        </w:trPr>
        <w:tc>
          <w:tcPr>
            <w:tcW w:w="4876" w:type="dxa"/>
          </w:tcPr>
          <w:p w14:paraId="33C535EC" w14:textId="77777777" w:rsidR="005A5DB4" w:rsidRPr="006348A1" w:rsidRDefault="005A5DB4" w:rsidP="00851FB6">
            <w:pPr>
              <w:pStyle w:val="AmColumnHeading"/>
              <w:keepNext/>
            </w:pPr>
            <w:r>
              <w:t>Texte proposé par la Commission</w:t>
            </w:r>
          </w:p>
        </w:tc>
        <w:tc>
          <w:tcPr>
            <w:tcW w:w="4876" w:type="dxa"/>
          </w:tcPr>
          <w:p w14:paraId="2FB27A39" w14:textId="77777777" w:rsidR="005A5DB4" w:rsidRPr="006348A1" w:rsidRDefault="005A5DB4" w:rsidP="00851FB6">
            <w:pPr>
              <w:pStyle w:val="AmColumnHeading"/>
              <w:keepNext/>
            </w:pPr>
            <w:r>
              <w:t>Amendement</w:t>
            </w:r>
          </w:p>
        </w:tc>
      </w:tr>
      <w:tr w:rsidR="005A5DB4" w:rsidRPr="006348A1" w14:paraId="154145B3" w14:textId="77777777" w:rsidTr="00851FB6">
        <w:trPr>
          <w:jc w:val="center"/>
        </w:trPr>
        <w:tc>
          <w:tcPr>
            <w:tcW w:w="4876" w:type="dxa"/>
          </w:tcPr>
          <w:p w14:paraId="5AB3D8E3" w14:textId="77777777" w:rsidR="005A5DB4" w:rsidRPr="006348A1" w:rsidRDefault="005A5DB4" w:rsidP="00851FB6">
            <w:pPr>
              <w:pStyle w:val="Normal6a"/>
            </w:pPr>
            <w:r>
              <w:rPr>
                <w:b/>
                <w:i/>
              </w:rPr>
              <w:t>2. Le règlement (UE) nº 995/2010 continue de s’appliquer:</w:t>
            </w:r>
          </w:p>
        </w:tc>
        <w:tc>
          <w:tcPr>
            <w:tcW w:w="4876" w:type="dxa"/>
          </w:tcPr>
          <w:p w14:paraId="40945302" w14:textId="77777777" w:rsidR="005A5DB4" w:rsidRPr="006348A1" w:rsidRDefault="005A5DB4" w:rsidP="00851FB6">
            <w:pPr>
              <w:pStyle w:val="Normal6a"/>
              <w:rPr>
                <w:szCs w:val="24"/>
              </w:rPr>
            </w:pPr>
            <w:r>
              <w:rPr>
                <w:b/>
                <w:i/>
              </w:rPr>
              <w:t>supprimé</w:t>
            </w:r>
          </w:p>
        </w:tc>
      </w:tr>
      <w:tr w:rsidR="005A5DB4" w:rsidRPr="006348A1" w14:paraId="25432225" w14:textId="77777777" w:rsidTr="00851FB6">
        <w:trPr>
          <w:jc w:val="center"/>
        </w:trPr>
        <w:tc>
          <w:tcPr>
            <w:tcW w:w="4876" w:type="dxa"/>
          </w:tcPr>
          <w:p w14:paraId="041BB2EE" w14:textId="77777777" w:rsidR="005A5DB4" w:rsidRPr="006348A1" w:rsidRDefault="005A5DB4" w:rsidP="00851FB6">
            <w:pPr>
              <w:pStyle w:val="Normal6a"/>
            </w:pPr>
            <w:r>
              <w:rPr>
                <w:b/>
                <w:i/>
              </w:rPr>
              <w:t>a) jusqu’au 30 décembre 2026 au bois et aux produits dérivés au sens de l’article 2, point a), du règlement (UE) nº 995/2010 mis sur le marché par des micro et petits opérateurs primaires ou par des opérateurs qui, au plus tard le 31 décembre 2024, étaient établis en tant que microentreprises ou petites entreprises, au sens de l’article 3, paragraphe 1, ou de l'article 3, paragraphe 2, premier alinéa, de la directive 2013/34/UE, quelle que soit leur forme juridique;</w:t>
            </w:r>
          </w:p>
        </w:tc>
        <w:tc>
          <w:tcPr>
            <w:tcW w:w="4876" w:type="dxa"/>
          </w:tcPr>
          <w:p w14:paraId="35AC1234" w14:textId="77777777" w:rsidR="005A5DB4" w:rsidRPr="006348A1" w:rsidRDefault="005A5DB4" w:rsidP="00851FB6">
            <w:pPr>
              <w:pStyle w:val="Normal6a"/>
              <w:rPr>
                <w:b/>
                <w:bCs/>
                <w:i/>
                <w:iCs/>
              </w:rPr>
            </w:pPr>
          </w:p>
        </w:tc>
      </w:tr>
      <w:tr w:rsidR="005A5DB4" w:rsidRPr="006348A1" w14:paraId="2B0B9B30" w14:textId="77777777" w:rsidTr="00851FB6">
        <w:trPr>
          <w:jc w:val="center"/>
        </w:trPr>
        <w:tc>
          <w:tcPr>
            <w:tcW w:w="4876" w:type="dxa"/>
          </w:tcPr>
          <w:p w14:paraId="1B81A356" w14:textId="77777777" w:rsidR="005A5DB4" w:rsidRPr="006348A1" w:rsidRDefault="005A5DB4" w:rsidP="00851FB6">
            <w:pPr>
              <w:pStyle w:val="Normal6a"/>
            </w:pPr>
            <w:r>
              <w:rPr>
                <w:b/>
                <w:i/>
              </w:rPr>
              <w:t xml:space="preserve">b) jusqu’au 31 décembre 2028 au bois et aux produits dérivés au sens de l’article 2, point a), du règlement (UE) nº 995/2010 ayant été produits avant le 29 juin 2023 et mis sur le marché à partir du 30 décembre 2026 par des micro et petits opérateurs primaires ou par des opérateurs qui, au plus tard le 31 décembre 2024, étaient établis en tant que microentreprises ou petites entreprises au sens de l’article 3, paragraphe 1, ou de l'article 3, paragraphe 2, premier alinéa, de la </w:t>
            </w:r>
            <w:r>
              <w:rPr>
                <w:b/>
                <w:i/>
              </w:rPr>
              <w:lastRenderedPageBreak/>
              <w:t>directive 2013/34/UE, quelle que soit leur forme juridique;</w:t>
            </w:r>
          </w:p>
        </w:tc>
        <w:tc>
          <w:tcPr>
            <w:tcW w:w="4876" w:type="dxa"/>
          </w:tcPr>
          <w:p w14:paraId="5763CF11" w14:textId="77777777" w:rsidR="005A5DB4" w:rsidRPr="006348A1" w:rsidRDefault="005A5DB4" w:rsidP="00851FB6">
            <w:pPr>
              <w:pStyle w:val="Normal6a"/>
              <w:rPr>
                <w:b/>
                <w:bCs/>
                <w:i/>
                <w:iCs/>
              </w:rPr>
            </w:pPr>
          </w:p>
        </w:tc>
      </w:tr>
      <w:tr w:rsidR="005A5DB4" w:rsidRPr="006348A1" w14:paraId="6AE36EB5" w14:textId="77777777" w:rsidTr="00851FB6">
        <w:trPr>
          <w:jc w:val="center"/>
        </w:trPr>
        <w:tc>
          <w:tcPr>
            <w:tcW w:w="4876" w:type="dxa"/>
          </w:tcPr>
          <w:p w14:paraId="774D5C5F" w14:textId="77777777" w:rsidR="005A5DB4" w:rsidRPr="006348A1" w:rsidRDefault="005A5DB4" w:rsidP="00851FB6">
            <w:pPr>
              <w:pStyle w:val="Normal6a"/>
            </w:pPr>
            <w:r>
              <w:rPr>
                <w:b/>
                <w:i/>
              </w:rPr>
              <w:t>c) jusqu’au 31 décembre 2028 au bois et aux produits dérivés au sens de l’article 2, point a), du règlement (UE) nº 995/2010 ayant été produits avant le 29 juin 2023 et mis sur le marché à partir du 30 décembre 2025.</w:t>
            </w:r>
          </w:p>
        </w:tc>
        <w:tc>
          <w:tcPr>
            <w:tcW w:w="4876" w:type="dxa"/>
          </w:tcPr>
          <w:p w14:paraId="6DDDA3D7" w14:textId="77777777" w:rsidR="005A5DB4" w:rsidRPr="006348A1" w:rsidRDefault="005A5DB4" w:rsidP="00851FB6">
            <w:pPr>
              <w:pStyle w:val="Normal6a"/>
              <w:rPr>
                <w:b/>
                <w:bCs/>
                <w:i/>
                <w:iCs/>
              </w:rPr>
            </w:pPr>
          </w:p>
        </w:tc>
      </w:tr>
    </w:tbl>
    <w:p w14:paraId="33B48815" w14:textId="77777777" w:rsidR="005A5DB4" w:rsidRDefault="005A5DB4" w:rsidP="005A5DB4">
      <w:pPr>
        <w:tabs>
          <w:tab w:val="left" w:pos="-774"/>
          <w:tab w:val="left" w:pos="-114"/>
          <w:tab w:val="left" w:pos="1300"/>
        </w:tabs>
        <w:spacing w:after="240"/>
        <w:ind w:left="567" w:hanging="567"/>
      </w:pPr>
    </w:p>
    <w:p w14:paraId="2586163C" w14:textId="05867039" w:rsidR="005A5DB4" w:rsidRDefault="005A5DB4" w:rsidP="005A5DB4">
      <w:pPr>
        <w:tabs>
          <w:tab w:val="left" w:pos="-774"/>
          <w:tab w:val="left" w:pos="-114"/>
          <w:tab w:val="left" w:pos="1300"/>
        </w:tabs>
        <w:spacing w:after="240"/>
        <w:ind w:left="567" w:hanging="567"/>
        <w:rPr>
          <w:b/>
          <w:bCs/>
          <w:lang w:val="fr-BE"/>
        </w:rPr>
      </w:pPr>
      <w:r w:rsidRPr="005A5DB4">
        <w:rPr>
          <w:b/>
          <w:bCs/>
          <w:lang w:val="fr-BE"/>
        </w:rPr>
        <w:t>Amendement 12</w:t>
      </w:r>
      <w:r>
        <w:rPr>
          <w:b/>
          <w:bCs/>
          <w:lang w:val="fr-BE"/>
        </w:rPr>
        <w:t>5</w:t>
      </w:r>
    </w:p>
    <w:p w14:paraId="240FBE7C" w14:textId="77777777" w:rsidR="005A5DB4" w:rsidRPr="005A5DB4" w:rsidRDefault="005A5DB4" w:rsidP="005A5DB4">
      <w:pPr>
        <w:pStyle w:val="NormalBold"/>
        <w:rPr>
          <w:lang w:val="fr-BE"/>
        </w:rPr>
      </w:pPr>
      <w:r w:rsidRPr="005A5DB4">
        <w:rPr>
          <w:lang w:val="fr-BE"/>
        </w:rPr>
        <w:t>Proposition de règlement</w:t>
      </w:r>
    </w:p>
    <w:p w14:paraId="0B0B67DA" w14:textId="77777777" w:rsidR="005A5DB4" w:rsidRPr="005A5DB4" w:rsidRDefault="005A5DB4" w:rsidP="005A5DB4">
      <w:pPr>
        <w:pStyle w:val="NormalBold"/>
        <w:rPr>
          <w:lang w:val="fr-BE"/>
        </w:rPr>
      </w:pPr>
      <w:r w:rsidRPr="005A5DB4">
        <w:rPr>
          <w:lang w:val="fr-BE"/>
        </w:rPr>
        <w:t>Article 1 – point 22</w:t>
      </w:r>
    </w:p>
    <w:p w14:paraId="4F9BD0A4" w14:textId="77777777" w:rsidR="005A5DB4" w:rsidRPr="006348A1" w:rsidRDefault="005A5DB4" w:rsidP="005A5DB4">
      <w:r>
        <w:t>Règlement (UE) 2023/1115</w:t>
      </w:r>
    </w:p>
    <w:p w14:paraId="279FF121" w14:textId="1750E4E1" w:rsidR="005A5DB4" w:rsidRPr="006348A1" w:rsidRDefault="005A5DB4" w:rsidP="005A5DB4">
      <w:r>
        <w:t>Article 37 – paragraphe 2 bis</w:t>
      </w:r>
      <w:r w:rsidR="00CF553C">
        <w:t xml:space="preserve"> (nouveau)</w:t>
      </w:r>
    </w:p>
    <w:p w14:paraId="6CB7BCB8" w14:textId="77777777" w:rsidR="005A5DB4" w:rsidRDefault="005A5DB4" w:rsidP="005A5DB4">
      <w:pPr>
        <w:tabs>
          <w:tab w:val="left" w:pos="-774"/>
          <w:tab w:val="left" w:pos="-114"/>
          <w:tab w:val="left" w:pos="1300"/>
        </w:tabs>
        <w:spacing w:after="240"/>
        <w:ind w:left="567" w:hanging="567"/>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5DB4" w:rsidRPr="006348A1" w14:paraId="095C90CA" w14:textId="77777777" w:rsidTr="00851FB6">
        <w:trPr>
          <w:jc w:val="center"/>
        </w:trPr>
        <w:tc>
          <w:tcPr>
            <w:tcW w:w="4876" w:type="dxa"/>
          </w:tcPr>
          <w:p w14:paraId="782AE672" w14:textId="77777777" w:rsidR="005A5DB4" w:rsidRPr="006348A1" w:rsidRDefault="005A5DB4" w:rsidP="00851FB6">
            <w:pPr>
              <w:pStyle w:val="AmColumnHeading"/>
              <w:keepNext/>
            </w:pPr>
            <w:r>
              <w:t>Texte proposé par la Commission</w:t>
            </w:r>
          </w:p>
        </w:tc>
        <w:tc>
          <w:tcPr>
            <w:tcW w:w="4876" w:type="dxa"/>
          </w:tcPr>
          <w:p w14:paraId="20D7942F" w14:textId="77777777" w:rsidR="005A5DB4" w:rsidRPr="006348A1" w:rsidRDefault="005A5DB4" w:rsidP="00851FB6">
            <w:pPr>
              <w:pStyle w:val="AmColumnHeading"/>
              <w:keepNext/>
            </w:pPr>
            <w:r>
              <w:t>Amendement</w:t>
            </w:r>
          </w:p>
        </w:tc>
      </w:tr>
      <w:tr w:rsidR="005A5DB4" w:rsidRPr="006348A1" w14:paraId="73D476E0" w14:textId="77777777" w:rsidTr="00851FB6">
        <w:trPr>
          <w:jc w:val="center"/>
        </w:trPr>
        <w:tc>
          <w:tcPr>
            <w:tcW w:w="4876" w:type="dxa"/>
          </w:tcPr>
          <w:p w14:paraId="3F2B5453" w14:textId="77777777" w:rsidR="005A5DB4" w:rsidRPr="006348A1" w:rsidRDefault="005A5DB4" w:rsidP="00851FB6">
            <w:pPr>
              <w:pStyle w:val="Normal6a"/>
            </w:pPr>
          </w:p>
        </w:tc>
        <w:tc>
          <w:tcPr>
            <w:tcW w:w="4876" w:type="dxa"/>
          </w:tcPr>
          <w:p w14:paraId="7C4EBDCE" w14:textId="33BA5509" w:rsidR="005A5DB4" w:rsidRPr="006348A1" w:rsidRDefault="005A5DB4" w:rsidP="00851FB6">
            <w:pPr>
              <w:pStyle w:val="Normal6a"/>
              <w:rPr>
                <w:szCs w:val="24"/>
              </w:rPr>
            </w:pPr>
            <w:r>
              <w:rPr>
                <w:b/>
                <w:i/>
              </w:rPr>
              <w:t>2 bis.</w:t>
            </w:r>
            <w:r w:rsidR="00CF553C">
              <w:tab/>
            </w:r>
            <w:r>
              <w:rPr>
                <w:b/>
                <w:i/>
              </w:rPr>
              <w:t>Toutefois, le règlement (UE) nº 995/2010 continue de s’appliquer jusqu’au 31 décembre 2029 au bois et aux produits dérivés au sens de l’article 2, point a), du règlement (UE) nº 995/2010 ayant été produits avant le 29 juin 2023 et mis sur le marché à partir du 30 décembre 2026.</w:t>
            </w:r>
          </w:p>
        </w:tc>
      </w:tr>
    </w:tbl>
    <w:p w14:paraId="7AC34FDC" w14:textId="73011660" w:rsidR="005A5DB4" w:rsidRDefault="005A5DB4" w:rsidP="005A5DB4">
      <w:pPr>
        <w:tabs>
          <w:tab w:val="left" w:pos="-774"/>
          <w:tab w:val="left" w:pos="-114"/>
          <w:tab w:val="left" w:pos="1300"/>
        </w:tabs>
        <w:spacing w:after="240"/>
        <w:ind w:left="567" w:hanging="567"/>
        <w:rPr>
          <w:b/>
          <w:bCs/>
          <w:lang w:val="fr-BE"/>
        </w:rPr>
      </w:pPr>
      <w:r w:rsidRPr="005A5DB4">
        <w:rPr>
          <w:b/>
          <w:bCs/>
          <w:lang w:val="fr-BE"/>
        </w:rPr>
        <w:t>Amendement 12</w:t>
      </w:r>
      <w:r w:rsidR="0059471B">
        <w:rPr>
          <w:b/>
          <w:bCs/>
          <w:lang w:val="fr-BE"/>
        </w:rPr>
        <w:t>7</w:t>
      </w:r>
    </w:p>
    <w:p w14:paraId="31DB96E5" w14:textId="77777777" w:rsidR="005A5DB4" w:rsidRPr="005A5DB4" w:rsidRDefault="005A5DB4" w:rsidP="005A5DB4">
      <w:pPr>
        <w:pStyle w:val="NormalBold"/>
        <w:rPr>
          <w:lang w:val="fr-BE"/>
        </w:rPr>
      </w:pPr>
      <w:r w:rsidRPr="005A5DB4">
        <w:rPr>
          <w:lang w:val="fr-BE"/>
        </w:rPr>
        <w:t>Proposition de règlement</w:t>
      </w:r>
    </w:p>
    <w:p w14:paraId="50389F4A" w14:textId="77777777" w:rsidR="005A5DB4" w:rsidRPr="005A5DB4" w:rsidRDefault="005A5DB4" w:rsidP="005A5DB4">
      <w:pPr>
        <w:pStyle w:val="NormalBold"/>
        <w:rPr>
          <w:lang w:val="fr-BE"/>
        </w:rPr>
      </w:pPr>
      <w:r w:rsidRPr="005A5DB4">
        <w:rPr>
          <w:lang w:val="fr-BE"/>
        </w:rPr>
        <w:t>Article 1 – point 22</w:t>
      </w:r>
    </w:p>
    <w:p w14:paraId="2743BA64" w14:textId="77777777" w:rsidR="005A5DB4" w:rsidRPr="006348A1" w:rsidRDefault="005A5DB4" w:rsidP="005A5DB4">
      <w:r>
        <w:t>Règlement (UE) 2023/1115</w:t>
      </w:r>
    </w:p>
    <w:p w14:paraId="6C52665E" w14:textId="2FEA1548" w:rsidR="005A5DB4" w:rsidRPr="006348A1" w:rsidRDefault="005A5DB4" w:rsidP="005A5DB4">
      <w:r>
        <w:t xml:space="preserve">Article 37 – paragraphe </w:t>
      </w:r>
      <w:r w:rsidR="0059471B">
        <w:t>3</w:t>
      </w:r>
    </w:p>
    <w:p w14:paraId="1CE1389B" w14:textId="77777777" w:rsidR="005A5DB4" w:rsidRDefault="005A5DB4" w:rsidP="005A5DB4">
      <w:pPr>
        <w:tabs>
          <w:tab w:val="left" w:pos="-774"/>
          <w:tab w:val="left" w:pos="-114"/>
          <w:tab w:val="left" w:pos="1300"/>
        </w:tabs>
        <w:spacing w:after="240"/>
        <w:ind w:left="567" w:hanging="567"/>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A5DB4" w:rsidRPr="006348A1" w14:paraId="2A6DEF0C" w14:textId="77777777" w:rsidTr="00851FB6">
        <w:trPr>
          <w:jc w:val="center"/>
        </w:trPr>
        <w:tc>
          <w:tcPr>
            <w:tcW w:w="4876" w:type="dxa"/>
          </w:tcPr>
          <w:p w14:paraId="45F81903" w14:textId="77777777" w:rsidR="005A5DB4" w:rsidRPr="006348A1" w:rsidRDefault="005A5DB4" w:rsidP="00851FB6">
            <w:pPr>
              <w:pStyle w:val="AmColumnHeading"/>
              <w:keepNext/>
            </w:pPr>
            <w:r>
              <w:t>Texte proposé par la Commission</w:t>
            </w:r>
          </w:p>
        </w:tc>
        <w:tc>
          <w:tcPr>
            <w:tcW w:w="4876" w:type="dxa"/>
          </w:tcPr>
          <w:p w14:paraId="59E467C6" w14:textId="77777777" w:rsidR="005A5DB4" w:rsidRPr="006348A1" w:rsidRDefault="005A5DB4" w:rsidP="00851FB6">
            <w:pPr>
              <w:pStyle w:val="AmColumnHeading"/>
              <w:keepNext/>
            </w:pPr>
            <w:r>
              <w:t>Amendement</w:t>
            </w:r>
          </w:p>
        </w:tc>
      </w:tr>
      <w:tr w:rsidR="005A5DB4" w:rsidRPr="006348A1" w14:paraId="70F0A2C8" w14:textId="77777777" w:rsidTr="00851FB6">
        <w:trPr>
          <w:jc w:val="center"/>
        </w:trPr>
        <w:tc>
          <w:tcPr>
            <w:tcW w:w="4876" w:type="dxa"/>
          </w:tcPr>
          <w:p w14:paraId="56786A36" w14:textId="0E5D0CFE" w:rsidR="005A5DB4" w:rsidRPr="006348A1" w:rsidRDefault="005A5DB4" w:rsidP="008D5BB1">
            <w:pPr>
              <w:pStyle w:val="Normal6a"/>
              <w:tabs>
                <w:tab w:val="left" w:pos="532"/>
              </w:tabs>
            </w:pPr>
            <w:r>
              <w:t>3.</w:t>
            </w:r>
            <w:r w:rsidR="00CF553C">
              <w:tab/>
            </w:r>
            <w:r>
              <w:t>Par dérogation à l’article 1er, paragraphe 2, du présent règlement, le bois et les produits dérivés au sens de l’article 2, point a), du règlement</w:t>
            </w:r>
            <w:r>
              <w:rPr>
                <w:b/>
                <w:i/>
              </w:rPr>
              <w:t xml:space="preserve"> </w:t>
            </w:r>
            <w:r>
              <w:t>(UE) nº 995/2010 ayant été produits avant le</w:t>
            </w:r>
            <w:r>
              <w:rPr>
                <w:b/>
                <w:i/>
              </w:rPr>
              <w:t xml:space="preserve"> </w:t>
            </w:r>
            <w:r>
              <w:t>29 juin 2023 et mis sur le marché à partir du</w:t>
            </w:r>
            <w:r>
              <w:rPr>
                <w:b/>
                <w:i/>
              </w:rPr>
              <w:t xml:space="preserve"> </w:t>
            </w:r>
            <w:r>
              <w:t>31 décembre </w:t>
            </w:r>
            <w:r>
              <w:rPr>
                <w:b/>
                <w:i/>
              </w:rPr>
              <w:t>2028</w:t>
            </w:r>
            <w:r>
              <w:t xml:space="preserve"> sont conformes à l’article 3 du présent règlement.».</w:t>
            </w:r>
          </w:p>
        </w:tc>
        <w:tc>
          <w:tcPr>
            <w:tcW w:w="4876" w:type="dxa"/>
          </w:tcPr>
          <w:p w14:paraId="648F8510" w14:textId="22C83422" w:rsidR="005A5DB4" w:rsidRPr="006348A1" w:rsidRDefault="005A5DB4" w:rsidP="008D5BB1">
            <w:pPr>
              <w:pStyle w:val="Normal6a"/>
              <w:tabs>
                <w:tab w:val="left" w:pos="510"/>
              </w:tabs>
              <w:rPr>
                <w:szCs w:val="24"/>
              </w:rPr>
            </w:pPr>
            <w:r>
              <w:t>3.</w:t>
            </w:r>
            <w:r w:rsidR="00CF553C">
              <w:tab/>
            </w:r>
            <w:r>
              <w:t>Par dérogation à l’article 1</w:t>
            </w:r>
            <w:r>
              <w:rPr>
                <w:vertAlign w:val="superscript"/>
              </w:rPr>
              <w:t>er</w:t>
            </w:r>
            <w:r>
              <w:t>, paragraphe 2, du présent règlement, le bois et les produits dérivés au sens de l’article 2, point a), du règlement</w:t>
            </w:r>
            <w:r>
              <w:rPr>
                <w:b/>
                <w:i/>
              </w:rPr>
              <w:t> </w:t>
            </w:r>
            <w:r>
              <w:t>(UE) nº 995/2010 ayant été produits avant le</w:t>
            </w:r>
            <w:r>
              <w:rPr>
                <w:b/>
                <w:i/>
              </w:rPr>
              <w:t> </w:t>
            </w:r>
            <w:r>
              <w:t>29 juin 2023 et mis sur le marché à partir du</w:t>
            </w:r>
            <w:r>
              <w:rPr>
                <w:b/>
                <w:i/>
              </w:rPr>
              <w:t> </w:t>
            </w:r>
            <w:r>
              <w:t>31 décembre </w:t>
            </w:r>
            <w:r>
              <w:rPr>
                <w:b/>
                <w:i/>
              </w:rPr>
              <w:t>2029</w:t>
            </w:r>
            <w:r>
              <w:t xml:space="preserve"> sont conformes à l’article 3 du présent règlement.».</w:t>
            </w:r>
          </w:p>
        </w:tc>
      </w:tr>
    </w:tbl>
    <w:p w14:paraId="5E624855" w14:textId="77777777" w:rsidR="005A5DB4" w:rsidRDefault="005A5DB4" w:rsidP="005A5DB4">
      <w:pPr>
        <w:tabs>
          <w:tab w:val="left" w:pos="-774"/>
          <w:tab w:val="left" w:pos="-114"/>
          <w:tab w:val="left" w:pos="1300"/>
        </w:tabs>
        <w:spacing w:after="240"/>
        <w:ind w:left="567" w:hanging="567"/>
      </w:pPr>
    </w:p>
    <w:p w14:paraId="2DD1455A" w14:textId="03F42426" w:rsidR="0059471B" w:rsidRDefault="0059471B" w:rsidP="0059471B">
      <w:pPr>
        <w:tabs>
          <w:tab w:val="left" w:pos="-774"/>
          <w:tab w:val="left" w:pos="-114"/>
          <w:tab w:val="left" w:pos="1300"/>
        </w:tabs>
        <w:spacing w:after="240"/>
        <w:ind w:left="567" w:hanging="567"/>
        <w:rPr>
          <w:b/>
          <w:bCs/>
          <w:lang w:val="fr-BE"/>
        </w:rPr>
      </w:pPr>
      <w:r w:rsidRPr="005A5DB4">
        <w:rPr>
          <w:b/>
          <w:bCs/>
          <w:lang w:val="fr-BE"/>
        </w:rPr>
        <w:t>Amendement</w:t>
      </w:r>
      <w:r>
        <w:rPr>
          <w:b/>
          <w:bCs/>
          <w:lang w:val="fr-BE"/>
        </w:rPr>
        <w:t>s</w:t>
      </w:r>
      <w:r w:rsidRPr="005A5DB4">
        <w:rPr>
          <w:b/>
          <w:bCs/>
          <w:lang w:val="fr-BE"/>
        </w:rPr>
        <w:t xml:space="preserve"> </w:t>
      </w:r>
      <w:r>
        <w:rPr>
          <w:b/>
          <w:bCs/>
          <w:lang w:val="fr-BE"/>
        </w:rPr>
        <w:t xml:space="preserve">63 et </w:t>
      </w:r>
      <w:r w:rsidRPr="005A5DB4">
        <w:rPr>
          <w:b/>
          <w:bCs/>
          <w:lang w:val="fr-BE"/>
        </w:rPr>
        <w:t>12</w:t>
      </w:r>
      <w:r>
        <w:rPr>
          <w:b/>
          <w:bCs/>
          <w:lang w:val="fr-BE"/>
        </w:rPr>
        <w:t>8</w:t>
      </w:r>
    </w:p>
    <w:p w14:paraId="505E466A" w14:textId="77777777" w:rsidR="0059471B" w:rsidRPr="005A5DB4" w:rsidRDefault="0059471B" w:rsidP="0059471B">
      <w:pPr>
        <w:pStyle w:val="NormalBold"/>
        <w:rPr>
          <w:lang w:val="fr-BE"/>
        </w:rPr>
      </w:pPr>
      <w:r w:rsidRPr="005A5DB4">
        <w:rPr>
          <w:lang w:val="fr-BE"/>
        </w:rPr>
        <w:t>Proposition de règlement</w:t>
      </w:r>
    </w:p>
    <w:p w14:paraId="4BC03D9A" w14:textId="49259654" w:rsidR="0059471B" w:rsidRPr="005A5DB4" w:rsidRDefault="0059471B" w:rsidP="0059471B">
      <w:pPr>
        <w:pStyle w:val="NormalBold"/>
        <w:rPr>
          <w:lang w:val="fr-BE"/>
        </w:rPr>
      </w:pPr>
      <w:r w:rsidRPr="005A5DB4">
        <w:rPr>
          <w:lang w:val="fr-BE"/>
        </w:rPr>
        <w:lastRenderedPageBreak/>
        <w:t>Article 1 – point 2</w:t>
      </w:r>
      <w:r>
        <w:rPr>
          <w:lang w:val="fr-BE"/>
        </w:rPr>
        <w:t>3</w:t>
      </w:r>
    </w:p>
    <w:p w14:paraId="290828C5" w14:textId="77777777" w:rsidR="0059471B" w:rsidRPr="006348A1" w:rsidRDefault="0059471B" w:rsidP="0059471B">
      <w:r>
        <w:t>Règlement (UE) 2023/1115</w:t>
      </w:r>
    </w:p>
    <w:p w14:paraId="3910CFA7" w14:textId="1A1F2C10" w:rsidR="0059471B" w:rsidRPr="006348A1" w:rsidRDefault="0059471B" w:rsidP="0059471B">
      <w:r>
        <w:t>Article 38 – paragraphe 2</w:t>
      </w:r>
    </w:p>
    <w:p w14:paraId="3E077560" w14:textId="77777777" w:rsidR="0059471B" w:rsidRDefault="0059471B" w:rsidP="005A5DB4">
      <w:pPr>
        <w:tabs>
          <w:tab w:val="left" w:pos="-774"/>
          <w:tab w:val="left" w:pos="-114"/>
          <w:tab w:val="left" w:pos="1300"/>
        </w:tabs>
        <w:spacing w:after="240"/>
        <w:ind w:left="567" w:hanging="567"/>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9471B" w:rsidRPr="006348A1" w14:paraId="7B9B64D0" w14:textId="77777777" w:rsidTr="00851FB6">
        <w:trPr>
          <w:jc w:val="center"/>
        </w:trPr>
        <w:tc>
          <w:tcPr>
            <w:tcW w:w="4876" w:type="dxa"/>
          </w:tcPr>
          <w:p w14:paraId="324F7335" w14:textId="77777777" w:rsidR="0059471B" w:rsidRPr="006348A1" w:rsidRDefault="0059471B" w:rsidP="00851FB6">
            <w:pPr>
              <w:pStyle w:val="AmColumnHeading"/>
              <w:keepNext/>
            </w:pPr>
            <w:r>
              <w:t>Texte proposé par la Commission</w:t>
            </w:r>
          </w:p>
        </w:tc>
        <w:tc>
          <w:tcPr>
            <w:tcW w:w="4876" w:type="dxa"/>
          </w:tcPr>
          <w:p w14:paraId="2D038894" w14:textId="77777777" w:rsidR="0059471B" w:rsidRPr="006348A1" w:rsidRDefault="0059471B" w:rsidP="00851FB6">
            <w:pPr>
              <w:pStyle w:val="AmColumnHeading"/>
              <w:keepNext/>
            </w:pPr>
            <w:r>
              <w:t>Amendement</w:t>
            </w:r>
          </w:p>
        </w:tc>
      </w:tr>
      <w:tr w:rsidR="0059471B" w:rsidRPr="006348A1" w14:paraId="1541242C" w14:textId="77777777" w:rsidTr="00851FB6">
        <w:trPr>
          <w:jc w:val="center"/>
        </w:trPr>
        <w:tc>
          <w:tcPr>
            <w:tcW w:w="4876" w:type="dxa"/>
          </w:tcPr>
          <w:p w14:paraId="1377719B" w14:textId="7584B73E" w:rsidR="0059471B" w:rsidRPr="006348A1" w:rsidRDefault="0059471B" w:rsidP="008D5BB1">
            <w:pPr>
              <w:pStyle w:val="Normal6a"/>
              <w:tabs>
                <w:tab w:val="left" w:pos="540"/>
              </w:tabs>
            </w:pPr>
            <w:r>
              <w:t>2.</w:t>
            </w:r>
            <w:r w:rsidR="00CF553C">
              <w:tab/>
            </w:r>
            <w:r>
              <w:t>Les articles 3 à</w:t>
            </w:r>
            <w:r>
              <w:rPr>
                <w:b/>
                <w:i/>
              </w:rPr>
              <w:t> </w:t>
            </w:r>
            <w:r>
              <w:t>13</w:t>
            </w:r>
            <w:r>
              <w:rPr>
                <w:b/>
                <w:i/>
              </w:rPr>
              <w:t xml:space="preserve"> et</w:t>
            </w:r>
            <w:r>
              <w:t xml:space="preserve"> les articles </w:t>
            </w:r>
            <w:r>
              <w:rPr>
                <w:b/>
                <w:i/>
              </w:rPr>
              <w:t>20, 21, 23</w:t>
            </w:r>
            <w:r>
              <w:t>, 26, 31 et</w:t>
            </w:r>
            <w:r>
              <w:rPr>
                <w:b/>
                <w:i/>
              </w:rPr>
              <w:t xml:space="preserve"> </w:t>
            </w:r>
            <w:r>
              <w:t>32 sont applicables à partir du</w:t>
            </w:r>
            <w:r>
              <w:rPr>
                <w:b/>
                <w:i/>
              </w:rPr>
              <w:t xml:space="preserve"> </w:t>
            </w:r>
            <w:r>
              <w:t>30 décembre </w:t>
            </w:r>
            <w:r>
              <w:rPr>
                <w:b/>
                <w:i/>
              </w:rPr>
              <w:t>2025</w:t>
            </w:r>
            <w:r>
              <w:t xml:space="preserve">. </w:t>
            </w:r>
          </w:p>
        </w:tc>
        <w:tc>
          <w:tcPr>
            <w:tcW w:w="4876" w:type="dxa"/>
          </w:tcPr>
          <w:p w14:paraId="684E0C77" w14:textId="7F76BCE1" w:rsidR="0059471B" w:rsidRPr="006348A1" w:rsidRDefault="0059471B" w:rsidP="008D5BB1">
            <w:pPr>
              <w:pStyle w:val="Normal6a"/>
              <w:tabs>
                <w:tab w:val="left" w:pos="480"/>
              </w:tabs>
              <w:rPr>
                <w:szCs w:val="24"/>
              </w:rPr>
            </w:pPr>
            <w:r>
              <w:t>2.</w:t>
            </w:r>
            <w:r w:rsidR="00CF553C">
              <w:tab/>
            </w:r>
            <w:r>
              <w:rPr>
                <w:b/>
                <w:i/>
              </w:rPr>
              <w:t>Sous réserve du paragraphe 3 du présent article,</w:t>
            </w:r>
            <w:r>
              <w:t xml:space="preserve"> les articles 3 à</w:t>
            </w:r>
            <w:r>
              <w:rPr>
                <w:b/>
                <w:i/>
              </w:rPr>
              <w:t xml:space="preserve"> </w:t>
            </w:r>
            <w:r>
              <w:t>13</w:t>
            </w:r>
            <w:r>
              <w:rPr>
                <w:b/>
                <w:i/>
              </w:rPr>
              <w:t>,</w:t>
            </w:r>
            <w:r>
              <w:t xml:space="preserve"> les articles </w:t>
            </w:r>
            <w:r>
              <w:rPr>
                <w:b/>
                <w:i/>
              </w:rPr>
              <w:t>16 à 24</w:t>
            </w:r>
            <w:r>
              <w:t xml:space="preserve">, </w:t>
            </w:r>
            <w:r>
              <w:rPr>
                <w:b/>
                <w:i/>
              </w:rPr>
              <w:t>les articles </w:t>
            </w:r>
            <w:r>
              <w:t>26, 31 et</w:t>
            </w:r>
            <w:r>
              <w:rPr>
                <w:b/>
                <w:i/>
              </w:rPr>
              <w:t> </w:t>
            </w:r>
            <w:r>
              <w:t>32 sont applicables à partir du</w:t>
            </w:r>
            <w:r>
              <w:rPr>
                <w:b/>
                <w:i/>
              </w:rPr>
              <w:t> </w:t>
            </w:r>
            <w:r>
              <w:t>30 décembre </w:t>
            </w:r>
            <w:r>
              <w:rPr>
                <w:b/>
                <w:i/>
              </w:rPr>
              <w:t>2026</w:t>
            </w:r>
            <w:r>
              <w:t>.</w:t>
            </w:r>
          </w:p>
        </w:tc>
      </w:tr>
    </w:tbl>
    <w:p w14:paraId="45CD33A1" w14:textId="77777777" w:rsidR="0059471B" w:rsidRDefault="0059471B" w:rsidP="005A5DB4">
      <w:pPr>
        <w:tabs>
          <w:tab w:val="left" w:pos="-774"/>
          <w:tab w:val="left" w:pos="-114"/>
          <w:tab w:val="left" w:pos="1300"/>
        </w:tabs>
        <w:spacing w:after="240"/>
        <w:ind w:left="567" w:hanging="567"/>
      </w:pPr>
    </w:p>
    <w:p w14:paraId="736F5926" w14:textId="0EF19AAC" w:rsidR="0059471B" w:rsidRDefault="0059471B" w:rsidP="005A5DB4">
      <w:pPr>
        <w:tabs>
          <w:tab w:val="left" w:pos="-774"/>
          <w:tab w:val="left" w:pos="-114"/>
          <w:tab w:val="left" w:pos="1300"/>
        </w:tabs>
        <w:spacing w:after="240"/>
        <w:ind w:left="567" w:hanging="567"/>
      </w:pPr>
      <w:r w:rsidRPr="005A5DB4">
        <w:rPr>
          <w:b/>
          <w:bCs/>
          <w:lang w:val="fr-BE"/>
        </w:rPr>
        <w:t xml:space="preserve">Amendement </w:t>
      </w:r>
      <w:r>
        <w:rPr>
          <w:b/>
          <w:bCs/>
          <w:lang w:val="fr-BE"/>
        </w:rPr>
        <w:t>53</w:t>
      </w:r>
    </w:p>
    <w:p w14:paraId="20F7E39E" w14:textId="11E2E6FB" w:rsidR="0059471B" w:rsidRPr="0059471B" w:rsidRDefault="0059471B" w:rsidP="0059471B">
      <w:pPr>
        <w:pStyle w:val="NormalBold"/>
        <w:rPr>
          <w:lang w:val="fr-BE"/>
        </w:rPr>
      </w:pPr>
      <w:r w:rsidRPr="0059471B">
        <w:rPr>
          <w:lang w:val="fr-BE"/>
        </w:rPr>
        <w:t>Proposition de règlement</w:t>
      </w:r>
    </w:p>
    <w:p w14:paraId="60E3F95E" w14:textId="71FE048F" w:rsidR="0059471B" w:rsidRPr="0059471B" w:rsidRDefault="0059471B" w:rsidP="0059471B">
      <w:pPr>
        <w:pStyle w:val="NormalBold"/>
        <w:rPr>
          <w:lang w:val="fr-BE"/>
        </w:rPr>
      </w:pPr>
      <w:r w:rsidRPr="0059471B">
        <w:rPr>
          <w:lang w:val="fr-BE"/>
        </w:rPr>
        <w:t>Article 1 – point 23</w:t>
      </w:r>
    </w:p>
    <w:p w14:paraId="24E2643D" w14:textId="584ABC8D" w:rsidR="0059471B" w:rsidRPr="005C0EC3" w:rsidRDefault="0059471B" w:rsidP="0059471B">
      <w:r>
        <w:t>Règlement (UE) nº 2023/1115</w:t>
      </w:r>
    </w:p>
    <w:p w14:paraId="1C2C50E1" w14:textId="2135C46B" w:rsidR="0059471B" w:rsidRPr="005C0EC3" w:rsidRDefault="0059471B" w:rsidP="0059471B">
      <w:r>
        <w:t>Article 38 – paragraphe 2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9471B" w14:paraId="650ABA83" w14:textId="77777777" w:rsidTr="00851FB6">
        <w:trPr>
          <w:jc w:val="center"/>
        </w:trPr>
        <w:tc>
          <w:tcPr>
            <w:tcW w:w="9752" w:type="dxa"/>
            <w:gridSpan w:val="2"/>
          </w:tcPr>
          <w:p w14:paraId="6B277D9C" w14:textId="77777777" w:rsidR="0059471B" w:rsidRPr="005C0EC3" w:rsidRDefault="0059471B" w:rsidP="00851FB6">
            <w:pPr>
              <w:keepNext/>
            </w:pPr>
          </w:p>
        </w:tc>
      </w:tr>
      <w:tr w:rsidR="0059471B" w14:paraId="592AC730" w14:textId="77777777" w:rsidTr="00851FB6">
        <w:trPr>
          <w:jc w:val="center"/>
        </w:trPr>
        <w:tc>
          <w:tcPr>
            <w:tcW w:w="4876" w:type="dxa"/>
          </w:tcPr>
          <w:p w14:paraId="67A222B5" w14:textId="77777777" w:rsidR="0059471B" w:rsidRPr="005C0EC3" w:rsidRDefault="0059471B" w:rsidP="00851FB6">
            <w:pPr>
              <w:pStyle w:val="AmColumnHeading"/>
              <w:keepNext/>
            </w:pPr>
            <w:r>
              <w:t>Texte proposé par la Commission</w:t>
            </w:r>
          </w:p>
        </w:tc>
        <w:tc>
          <w:tcPr>
            <w:tcW w:w="4876" w:type="dxa"/>
          </w:tcPr>
          <w:p w14:paraId="521A61E7" w14:textId="77777777" w:rsidR="0059471B" w:rsidRPr="005C0EC3" w:rsidRDefault="0059471B" w:rsidP="00851FB6">
            <w:pPr>
              <w:pStyle w:val="AmColumnHeading"/>
              <w:keepNext/>
            </w:pPr>
            <w:r>
              <w:t>Amendement</w:t>
            </w:r>
          </w:p>
        </w:tc>
      </w:tr>
      <w:tr w:rsidR="0059471B" w14:paraId="30756545" w14:textId="77777777" w:rsidTr="00851FB6">
        <w:trPr>
          <w:jc w:val="center"/>
        </w:trPr>
        <w:tc>
          <w:tcPr>
            <w:tcW w:w="4876" w:type="dxa"/>
          </w:tcPr>
          <w:p w14:paraId="59286855" w14:textId="77777777" w:rsidR="0059471B" w:rsidRPr="005C0EC3" w:rsidRDefault="0059471B" w:rsidP="00851FB6">
            <w:pPr>
              <w:pStyle w:val="Normal6a"/>
            </w:pPr>
          </w:p>
        </w:tc>
        <w:tc>
          <w:tcPr>
            <w:tcW w:w="4876" w:type="dxa"/>
          </w:tcPr>
          <w:p w14:paraId="7E37744B" w14:textId="09391195" w:rsidR="0059471B" w:rsidRPr="005C0EC3" w:rsidRDefault="0059471B" w:rsidP="00851FB6">
            <w:pPr>
              <w:pStyle w:val="Normal6a"/>
              <w:rPr>
                <w:szCs w:val="24"/>
              </w:rPr>
            </w:pPr>
            <w:r>
              <w:rPr>
                <w:b/>
                <w:i/>
              </w:rPr>
              <w:t>2 bis.</w:t>
            </w:r>
            <w:r w:rsidR="00CF553C">
              <w:tab/>
            </w:r>
            <w:r>
              <w:rPr>
                <w:b/>
                <w:i/>
              </w:rPr>
              <w:t>Les autorités compétentes communiquent à la Commission toute difficulté, erreur ou perturbation documentée résultant des systèmes d’information de l’Union visés à l’article 33, afin de garantir que les opérateurs et les négociants soumis au délai de grâce ne se trouvent pas désavantagés par ces problèmes.</w:t>
            </w:r>
          </w:p>
        </w:tc>
      </w:tr>
    </w:tbl>
    <w:p w14:paraId="413C4130" w14:textId="77777777" w:rsidR="0059471B" w:rsidRDefault="0059471B" w:rsidP="005A5DB4">
      <w:pPr>
        <w:tabs>
          <w:tab w:val="left" w:pos="-774"/>
          <w:tab w:val="left" w:pos="-114"/>
          <w:tab w:val="left" w:pos="1300"/>
        </w:tabs>
        <w:spacing w:after="240"/>
        <w:ind w:left="567" w:hanging="567"/>
      </w:pPr>
    </w:p>
    <w:p w14:paraId="649C6E93" w14:textId="4BF0A2C5" w:rsidR="0059471B" w:rsidRDefault="0059471B" w:rsidP="0059471B">
      <w:pPr>
        <w:tabs>
          <w:tab w:val="left" w:pos="-774"/>
          <w:tab w:val="left" w:pos="-114"/>
          <w:tab w:val="left" w:pos="1300"/>
        </w:tabs>
        <w:spacing w:after="240"/>
        <w:ind w:left="567" w:hanging="567"/>
        <w:rPr>
          <w:b/>
          <w:bCs/>
          <w:lang w:val="fr-BE"/>
        </w:rPr>
      </w:pPr>
      <w:r w:rsidRPr="005A5DB4">
        <w:rPr>
          <w:b/>
          <w:bCs/>
          <w:lang w:val="fr-BE"/>
        </w:rPr>
        <w:t>Amendement</w:t>
      </w:r>
      <w:r>
        <w:rPr>
          <w:b/>
          <w:bCs/>
          <w:lang w:val="fr-BE"/>
        </w:rPr>
        <w:t>s</w:t>
      </w:r>
      <w:r w:rsidRPr="005A5DB4">
        <w:rPr>
          <w:b/>
          <w:bCs/>
          <w:lang w:val="fr-BE"/>
        </w:rPr>
        <w:t xml:space="preserve"> </w:t>
      </w:r>
      <w:r>
        <w:rPr>
          <w:b/>
          <w:bCs/>
          <w:lang w:val="fr-BE"/>
        </w:rPr>
        <w:t xml:space="preserve">64 et </w:t>
      </w:r>
      <w:r w:rsidRPr="005A5DB4">
        <w:rPr>
          <w:b/>
          <w:bCs/>
          <w:lang w:val="fr-BE"/>
        </w:rPr>
        <w:t>12</w:t>
      </w:r>
      <w:r>
        <w:rPr>
          <w:b/>
          <w:bCs/>
          <w:lang w:val="fr-BE"/>
        </w:rPr>
        <w:t>9</w:t>
      </w:r>
    </w:p>
    <w:p w14:paraId="4367F9E3" w14:textId="20B504FD" w:rsidR="0059471B" w:rsidRPr="0059471B" w:rsidRDefault="0059471B" w:rsidP="0059471B">
      <w:pPr>
        <w:pStyle w:val="NormalBold"/>
        <w:rPr>
          <w:lang w:val="fr-BE"/>
        </w:rPr>
      </w:pPr>
      <w:r w:rsidRPr="0059471B">
        <w:rPr>
          <w:lang w:val="fr-BE"/>
        </w:rPr>
        <w:t>Proposition de règlement</w:t>
      </w:r>
    </w:p>
    <w:p w14:paraId="06EA47C5" w14:textId="423E4D8B" w:rsidR="0059471B" w:rsidRPr="0059471B" w:rsidRDefault="0059471B" w:rsidP="0059471B">
      <w:pPr>
        <w:pStyle w:val="NormalBold"/>
        <w:rPr>
          <w:lang w:val="fr-BE"/>
        </w:rPr>
      </w:pPr>
      <w:r w:rsidRPr="0059471B">
        <w:rPr>
          <w:lang w:val="fr-BE"/>
        </w:rPr>
        <w:t>Article 1 – alinéa 1 – point 23</w:t>
      </w:r>
    </w:p>
    <w:p w14:paraId="64CFFCEC" w14:textId="39BD3DD8" w:rsidR="0059471B" w:rsidRPr="004363B4" w:rsidRDefault="0059471B" w:rsidP="0059471B">
      <w:r>
        <w:t>Règlement (UE) 2023/1115</w:t>
      </w:r>
    </w:p>
    <w:p w14:paraId="1A26D7F5" w14:textId="0182FA5F" w:rsidR="0059471B" w:rsidRPr="004363B4" w:rsidRDefault="0059471B" w:rsidP="0059471B">
      <w:r>
        <w:t>Article 38 – paragraphe 3</w:t>
      </w:r>
    </w:p>
    <w:p w14:paraId="6E2DAAAA" w14:textId="77777777" w:rsidR="0059471B" w:rsidRDefault="0059471B" w:rsidP="005A5DB4">
      <w:pPr>
        <w:tabs>
          <w:tab w:val="left" w:pos="-774"/>
          <w:tab w:val="left" w:pos="-114"/>
          <w:tab w:val="left" w:pos="1300"/>
        </w:tabs>
        <w:spacing w:after="240"/>
        <w:ind w:left="567" w:hanging="567"/>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9471B" w:rsidRPr="004363B4" w14:paraId="755F48FD" w14:textId="77777777" w:rsidTr="00851FB6">
        <w:trPr>
          <w:jc w:val="center"/>
        </w:trPr>
        <w:tc>
          <w:tcPr>
            <w:tcW w:w="4876" w:type="dxa"/>
          </w:tcPr>
          <w:p w14:paraId="24510FB6" w14:textId="77777777" w:rsidR="0059471B" w:rsidRPr="004363B4" w:rsidRDefault="0059471B" w:rsidP="00851FB6">
            <w:pPr>
              <w:pStyle w:val="AmColumnHeading"/>
              <w:keepNext/>
            </w:pPr>
            <w:r>
              <w:t>Texte proposé par la Commission</w:t>
            </w:r>
          </w:p>
        </w:tc>
        <w:tc>
          <w:tcPr>
            <w:tcW w:w="4876" w:type="dxa"/>
          </w:tcPr>
          <w:p w14:paraId="54D4737C" w14:textId="77777777" w:rsidR="0059471B" w:rsidRPr="004363B4" w:rsidRDefault="0059471B" w:rsidP="00851FB6">
            <w:pPr>
              <w:pStyle w:val="AmColumnHeading"/>
              <w:keepNext/>
            </w:pPr>
            <w:r>
              <w:t>Amendement</w:t>
            </w:r>
          </w:p>
        </w:tc>
      </w:tr>
      <w:tr w:rsidR="0059471B" w:rsidRPr="004363B4" w14:paraId="5A42649C" w14:textId="77777777" w:rsidTr="00851FB6">
        <w:trPr>
          <w:jc w:val="center"/>
        </w:trPr>
        <w:tc>
          <w:tcPr>
            <w:tcW w:w="4876" w:type="dxa"/>
          </w:tcPr>
          <w:p w14:paraId="63801628" w14:textId="77777777" w:rsidR="0059471B" w:rsidRPr="004363B4" w:rsidRDefault="0059471B" w:rsidP="008D5BB1">
            <w:pPr>
              <w:pStyle w:val="Normal6a"/>
              <w:tabs>
                <w:tab w:val="left" w:pos="600"/>
              </w:tabs>
            </w:pPr>
            <w:r>
              <w:t>3.</w:t>
            </w:r>
            <w:r>
              <w:tab/>
            </w:r>
            <w:r>
              <w:rPr>
                <w:b/>
                <w:i/>
              </w:rPr>
              <w:t>Pour les opérateurs</w:t>
            </w:r>
            <w:r>
              <w:t xml:space="preserve"> qui</w:t>
            </w:r>
            <w:r>
              <w:rPr>
                <w:b/>
                <w:i/>
              </w:rPr>
              <w:t>, au plus tard le 31 décembre</w:t>
            </w:r>
            <w:r>
              <w:t> </w:t>
            </w:r>
            <w:r>
              <w:rPr>
                <w:b/>
                <w:i/>
              </w:rPr>
              <w:t>2024</w:t>
            </w:r>
            <w:r>
              <w:t xml:space="preserve">, </w:t>
            </w:r>
            <w:r>
              <w:rPr>
                <w:b/>
                <w:i/>
              </w:rPr>
              <w:t>étaient établis en tant que</w:t>
            </w:r>
            <w:r>
              <w:t xml:space="preserve"> microentreprises ou petites entreprises au sens de l’article 3, paragraphe 1</w:t>
            </w:r>
            <w:r>
              <w:rPr>
                <w:b/>
                <w:i/>
              </w:rPr>
              <w:t>,</w:t>
            </w:r>
            <w:r>
              <w:t xml:space="preserve"> ou</w:t>
            </w:r>
            <w:r>
              <w:rPr>
                <w:b/>
                <w:i/>
              </w:rPr>
              <w:t xml:space="preserve"> de l'article 3, paragraphe</w:t>
            </w:r>
            <w:r>
              <w:t> 2</w:t>
            </w:r>
            <w:r>
              <w:rPr>
                <w:b/>
                <w:i/>
              </w:rPr>
              <w:t>, premier alinéa</w:t>
            </w:r>
            <w:r>
              <w:t xml:space="preserve">, de la directive 2013/34/UE, </w:t>
            </w:r>
            <w:r>
              <w:rPr>
                <w:b/>
                <w:i/>
              </w:rPr>
              <w:t>quelle que soit leur forme juridique</w:t>
            </w:r>
            <w:r>
              <w:t xml:space="preserve">, les articles visés au </w:t>
            </w:r>
            <w:r>
              <w:lastRenderedPageBreak/>
              <w:t xml:space="preserve">paragraphe 2 du présent article </w:t>
            </w:r>
            <w:r>
              <w:rPr>
                <w:b/>
                <w:i/>
              </w:rPr>
              <w:t>sont applicables</w:t>
            </w:r>
            <w:r>
              <w:t xml:space="preserve"> à partir du 30 </w:t>
            </w:r>
            <w:r>
              <w:rPr>
                <w:b/>
                <w:i/>
              </w:rPr>
              <w:t>décembre</w:t>
            </w:r>
            <w:r>
              <w:t> </w:t>
            </w:r>
            <w:r>
              <w:rPr>
                <w:b/>
                <w:i/>
              </w:rPr>
              <w:t>2026</w:t>
            </w:r>
            <w:r>
              <w:t>.</w:t>
            </w:r>
          </w:p>
        </w:tc>
        <w:tc>
          <w:tcPr>
            <w:tcW w:w="4876" w:type="dxa"/>
          </w:tcPr>
          <w:p w14:paraId="43DEED4C" w14:textId="77777777" w:rsidR="0059471B" w:rsidRPr="004363B4" w:rsidRDefault="0059471B" w:rsidP="008D5BB1">
            <w:pPr>
              <w:pStyle w:val="Normal6a"/>
              <w:tabs>
                <w:tab w:val="left" w:pos="517"/>
                <w:tab w:val="left" w:pos="795"/>
              </w:tabs>
              <w:rPr>
                <w:szCs w:val="24"/>
              </w:rPr>
            </w:pPr>
            <w:r>
              <w:lastRenderedPageBreak/>
              <w:t>3.</w:t>
            </w:r>
            <w:r>
              <w:tab/>
            </w:r>
            <w:r>
              <w:rPr>
                <w:b/>
                <w:i/>
              </w:rPr>
              <w:t>Sauf en ce</w:t>
            </w:r>
            <w:r>
              <w:t xml:space="preserve"> qui</w:t>
            </w:r>
            <w:r>
              <w:rPr>
                <w:b/>
                <w:i/>
              </w:rPr>
              <w:t xml:space="preserve"> concerne les produits mentionnés à l’annexe du règlement (UE) nº</w:t>
            </w:r>
            <w:r>
              <w:t> </w:t>
            </w:r>
            <w:r>
              <w:rPr>
                <w:b/>
                <w:i/>
              </w:rPr>
              <w:t>995/2010</w:t>
            </w:r>
            <w:r>
              <w:t xml:space="preserve">, </w:t>
            </w:r>
            <w:r>
              <w:rPr>
                <w:b/>
                <w:i/>
              </w:rPr>
              <w:t>pour les opérateurs, qu’il s’agisse de personnes physiques ou de</w:t>
            </w:r>
            <w:r>
              <w:t xml:space="preserve"> microentreprises ou petites entreprises au sens de l’article 3, paragraphe 1 ou 2, de la directive 2013/34/UE, </w:t>
            </w:r>
            <w:r>
              <w:rPr>
                <w:b/>
                <w:i/>
              </w:rPr>
              <w:t>qui étaient établis en cette qualité au 31 décembre 2024</w:t>
            </w:r>
            <w:r>
              <w:t xml:space="preserve">, les </w:t>
            </w:r>
            <w:r>
              <w:lastRenderedPageBreak/>
              <w:t xml:space="preserve">articles visés au paragraphe 2 du présent article </w:t>
            </w:r>
            <w:r>
              <w:rPr>
                <w:b/>
                <w:i/>
              </w:rPr>
              <w:t>s’appliquent</w:t>
            </w:r>
            <w:r>
              <w:t xml:space="preserve"> à partir du 30 </w:t>
            </w:r>
            <w:r>
              <w:rPr>
                <w:b/>
                <w:i/>
              </w:rPr>
              <w:t>juin</w:t>
            </w:r>
            <w:r>
              <w:t> </w:t>
            </w:r>
            <w:r>
              <w:rPr>
                <w:b/>
                <w:i/>
              </w:rPr>
              <w:t>2027</w:t>
            </w:r>
            <w:r>
              <w:t>.</w:t>
            </w:r>
            <w:r>
              <w:rPr>
                <w:b/>
                <w:i/>
              </w:rPr>
              <w:t xml:space="preserve"> </w:t>
            </w:r>
            <w:r>
              <w:rPr>
                <w:u w:val="single"/>
              </w:rPr>
              <w:t xml:space="preserve"> </w:t>
            </w:r>
          </w:p>
        </w:tc>
      </w:tr>
    </w:tbl>
    <w:p w14:paraId="4BBE268D" w14:textId="77777777" w:rsidR="0059471B" w:rsidRDefault="0059471B" w:rsidP="005A5DB4">
      <w:pPr>
        <w:tabs>
          <w:tab w:val="left" w:pos="-774"/>
          <w:tab w:val="left" w:pos="-114"/>
          <w:tab w:val="left" w:pos="1300"/>
        </w:tabs>
        <w:spacing w:after="240"/>
        <w:ind w:left="567" w:hanging="567"/>
      </w:pPr>
    </w:p>
    <w:p w14:paraId="3862D2CE" w14:textId="498A6AD0" w:rsidR="00D6658F" w:rsidRDefault="00D6658F" w:rsidP="00D6658F">
      <w:pPr>
        <w:tabs>
          <w:tab w:val="left" w:pos="-774"/>
          <w:tab w:val="left" w:pos="-114"/>
          <w:tab w:val="left" w:pos="1300"/>
        </w:tabs>
        <w:spacing w:after="240"/>
        <w:ind w:left="567" w:hanging="567"/>
        <w:rPr>
          <w:b/>
          <w:bCs/>
          <w:lang w:val="fr-BE"/>
        </w:rPr>
      </w:pPr>
      <w:r w:rsidRPr="005A5DB4">
        <w:rPr>
          <w:b/>
          <w:bCs/>
          <w:lang w:val="fr-BE"/>
        </w:rPr>
        <w:t>Amendement</w:t>
      </w:r>
      <w:r>
        <w:rPr>
          <w:b/>
          <w:bCs/>
          <w:lang w:val="fr-BE"/>
        </w:rPr>
        <w:t>s</w:t>
      </w:r>
      <w:r w:rsidRPr="005A5DB4">
        <w:rPr>
          <w:b/>
          <w:bCs/>
          <w:lang w:val="fr-BE"/>
        </w:rPr>
        <w:t xml:space="preserve"> </w:t>
      </w:r>
      <w:r>
        <w:rPr>
          <w:b/>
          <w:bCs/>
          <w:lang w:val="fr-BE"/>
        </w:rPr>
        <w:t xml:space="preserve">27, 89 et </w:t>
      </w:r>
      <w:r w:rsidRPr="005A5DB4">
        <w:rPr>
          <w:b/>
          <w:bCs/>
          <w:lang w:val="fr-BE"/>
        </w:rPr>
        <w:t>1</w:t>
      </w:r>
      <w:r>
        <w:rPr>
          <w:b/>
          <w:bCs/>
          <w:lang w:val="fr-BE"/>
        </w:rPr>
        <w:t>30</w:t>
      </w:r>
    </w:p>
    <w:p w14:paraId="1AE8209D" w14:textId="7C9FE00D" w:rsidR="00D6658F" w:rsidRPr="00D6658F" w:rsidRDefault="00D6658F" w:rsidP="00D6658F">
      <w:pPr>
        <w:pStyle w:val="NormalBold"/>
        <w:rPr>
          <w:lang w:val="fr-BE"/>
        </w:rPr>
      </w:pPr>
      <w:r w:rsidRPr="00D6658F">
        <w:rPr>
          <w:lang w:val="fr-BE"/>
        </w:rPr>
        <w:t>Proposition de règlement</w:t>
      </w:r>
    </w:p>
    <w:p w14:paraId="5637E00E" w14:textId="6EBE116E" w:rsidR="00D6658F" w:rsidRPr="00D6658F" w:rsidRDefault="00D6658F" w:rsidP="00D6658F">
      <w:pPr>
        <w:pStyle w:val="NormalBold"/>
        <w:rPr>
          <w:lang w:val="fr-BE"/>
        </w:rPr>
      </w:pPr>
      <w:r w:rsidRPr="00D6658F">
        <w:rPr>
          <w:lang w:val="fr-BE"/>
        </w:rPr>
        <w:t>Article 1 – point 23</w:t>
      </w:r>
    </w:p>
    <w:p w14:paraId="389B5BB1" w14:textId="2A748C00" w:rsidR="00D6658F" w:rsidRPr="006348A1" w:rsidRDefault="00D6658F" w:rsidP="00D6658F">
      <w:r>
        <w:t>Règlement (UE) 2023/1115</w:t>
      </w:r>
    </w:p>
    <w:p w14:paraId="3B1970A4" w14:textId="3E795332" w:rsidR="00D6658F" w:rsidRPr="006348A1" w:rsidRDefault="00D6658F" w:rsidP="00D6658F">
      <w:r>
        <w:t>Article 38 – paragraphe 4</w:t>
      </w:r>
    </w:p>
    <w:p w14:paraId="0CC27602" w14:textId="77777777" w:rsidR="0059471B" w:rsidRDefault="0059471B" w:rsidP="005A5DB4">
      <w:pPr>
        <w:tabs>
          <w:tab w:val="left" w:pos="-774"/>
          <w:tab w:val="left" w:pos="-114"/>
          <w:tab w:val="left" w:pos="1300"/>
        </w:tabs>
        <w:spacing w:after="240"/>
        <w:ind w:left="567" w:hanging="567"/>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6658F" w:rsidRPr="006348A1" w14:paraId="6BCC953C" w14:textId="77777777" w:rsidTr="00851FB6">
        <w:trPr>
          <w:jc w:val="center"/>
        </w:trPr>
        <w:tc>
          <w:tcPr>
            <w:tcW w:w="4876" w:type="dxa"/>
          </w:tcPr>
          <w:p w14:paraId="3BD4FEEE" w14:textId="77777777" w:rsidR="00D6658F" w:rsidRPr="006348A1" w:rsidRDefault="00D6658F" w:rsidP="00851FB6">
            <w:pPr>
              <w:pStyle w:val="AmColumnHeading"/>
              <w:keepNext/>
            </w:pPr>
            <w:r>
              <w:t>Texte proposé par la Commission</w:t>
            </w:r>
          </w:p>
        </w:tc>
        <w:tc>
          <w:tcPr>
            <w:tcW w:w="4876" w:type="dxa"/>
          </w:tcPr>
          <w:p w14:paraId="7544CF2B" w14:textId="77777777" w:rsidR="00D6658F" w:rsidRPr="006348A1" w:rsidRDefault="00D6658F" w:rsidP="00851FB6">
            <w:pPr>
              <w:pStyle w:val="AmColumnHeading"/>
              <w:keepNext/>
            </w:pPr>
            <w:r>
              <w:t>Amendement</w:t>
            </w:r>
          </w:p>
        </w:tc>
      </w:tr>
      <w:tr w:rsidR="00D6658F" w:rsidRPr="006348A1" w14:paraId="50226B4E" w14:textId="77777777" w:rsidTr="00851FB6">
        <w:trPr>
          <w:jc w:val="center"/>
        </w:trPr>
        <w:tc>
          <w:tcPr>
            <w:tcW w:w="4876" w:type="dxa"/>
          </w:tcPr>
          <w:p w14:paraId="22861F4D" w14:textId="6D642EC2" w:rsidR="00D6658F" w:rsidRPr="006348A1" w:rsidRDefault="00D6658F" w:rsidP="008D5BB1">
            <w:pPr>
              <w:pStyle w:val="Normal6a"/>
              <w:tabs>
                <w:tab w:val="left" w:pos="577"/>
              </w:tabs>
            </w:pPr>
            <w:r>
              <w:rPr>
                <w:b/>
                <w:i/>
              </w:rPr>
              <w:t>4.</w:t>
            </w:r>
            <w:r w:rsidR="00CF553C">
              <w:tab/>
            </w:r>
            <w:r>
              <w:rPr>
                <w:b/>
                <w:i/>
              </w:rPr>
              <w:t xml:space="preserve">Pour </w:t>
            </w:r>
            <w:proofErr w:type="gramStart"/>
            <w:r>
              <w:rPr>
                <w:b/>
                <w:i/>
              </w:rPr>
              <w:t>les micro</w:t>
            </w:r>
            <w:proofErr w:type="gramEnd"/>
            <w:r>
              <w:rPr>
                <w:b/>
                <w:i/>
              </w:rPr>
              <w:t xml:space="preserve"> et petits opérateurs primaires, les articles visés au paragraphe 2 du présent article sont applicables à partir du 30 décembre 2026.</w:t>
            </w:r>
          </w:p>
        </w:tc>
        <w:tc>
          <w:tcPr>
            <w:tcW w:w="4876" w:type="dxa"/>
          </w:tcPr>
          <w:p w14:paraId="0E6B943C" w14:textId="77777777" w:rsidR="00D6658F" w:rsidRPr="006348A1" w:rsidRDefault="00D6658F" w:rsidP="00851FB6">
            <w:pPr>
              <w:pStyle w:val="Normal6a"/>
              <w:rPr>
                <w:szCs w:val="24"/>
              </w:rPr>
            </w:pPr>
            <w:r>
              <w:rPr>
                <w:b/>
                <w:i/>
              </w:rPr>
              <w:t>supprimé</w:t>
            </w:r>
          </w:p>
        </w:tc>
      </w:tr>
    </w:tbl>
    <w:p w14:paraId="06F6D225" w14:textId="77777777" w:rsidR="0059471B" w:rsidRDefault="0059471B" w:rsidP="005A5DB4">
      <w:pPr>
        <w:tabs>
          <w:tab w:val="left" w:pos="-774"/>
          <w:tab w:val="left" w:pos="-114"/>
          <w:tab w:val="left" w:pos="1300"/>
        </w:tabs>
        <w:spacing w:after="240"/>
        <w:ind w:left="567" w:hanging="567"/>
      </w:pPr>
    </w:p>
    <w:p w14:paraId="527C634D" w14:textId="599331B0" w:rsidR="00D6658F" w:rsidRDefault="00D6658F" w:rsidP="00D6658F">
      <w:pPr>
        <w:tabs>
          <w:tab w:val="left" w:pos="-774"/>
          <w:tab w:val="left" w:pos="-114"/>
          <w:tab w:val="left" w:pos="1300"/>
        </w:tabs>
        <w:spacing w:after="240"/>
        <w:ind w:left="567" w:hanging="567"/>
        <w:rPr>
          <w:b/>
          <w:bCs/>
          <w:lang w:val="fr-BE"/>
        </w:rPr>
      </w:pPr>
      <w:r w:rsidRPr="005A5DB4">
        <w:rPr>
          <w:b/>
          <w:bCs/>
          <w:lang w:val="fr-BE"/>
        </w:rPr>
        <w:t>Amendement</w:t>
      </w:r>
      <w:r>
        <w:rPr>
          <w:b/>
          <w:bCs/>
          <w:lang w:val="fr-BE"/>
        </w:rPr>
        <w:t>s</w:t>
      </w:r>
      <w:r w:rsidRPr="005A5DB4">
        <w:rPr>
          <w:b/>
          <w:bCs/>
          <w:lang w:val="fr-BE"/>
        </w:rPr>
        <w:t xml:space="preserve"> </w:t>
      </w:r>
      <w:r>
        <w:rPr>
          <w:b/>
          <w:bCs/>
          <w:lang w:val="fr-BE"/>
        </w:rPr>
        <w:t xml:space="preserve">28, 90 et </w:t>
      </w:r>
      <w:r w:rsidRPr="005A5DB4">
        <w:rPr>
          <w:b/>
          <w:bCs/>
          <w:lang w:val="fr-BE"/>
        </w:rPr>
        <w:t>1</w:t>
      </w:r>
      <w:r>
        <w:rPr>
          <w:b/>
          <w:bCs/>
          <w:lang w:val="fr-BE"/>
        </w:rPr>
        <w:t>31</w:t>
      </w:r>
    </w:p>
    <w:p w14:paraId="35EA9281" w14:textId="1C4AFABE" w:rsidR="00D6658F" w:rsidRPr="00D6658F" w:rsidRDefault="00D6658F" w:rsidP="00D6658F">
      <w:pPr>
        <w:pStyle w:val="NormalBold"/>
        <w:rPr>
          <w:lang w:val="fr-BE"/>
        </w:rPr>
      </w:pPr>
      <w:r w:rsidRPr="00D6658F">
        <w:rPr>
          <w:lang w:val="fr-BE"/>
        </w:rPr>
        <w:t>Proposition de règlement</w:t>
      </w:r>
    </w:p>
    <w:p w14:paraId="0303394E" w14:textId="641881DF" w:rsidR="00D6658F" w:rsidRPr="00D6658F" w:rsidRDefault="00D6658F" w:rsidP="00D6658F">
      <w:pPr>
        <w:pStyle w:val="NormalBold"/>
        <w:rPr>
          <w:lang w:val="fr-BE"/>
        </w:rPr>
      </w:pPr>
      <w:r w:rsidRPr="00D6658F">
        <w:rPr>
          <w:lang w:val="fr-BE"/>
        </w:rPr>
        <w:t>Article 1 – point 23</w:t>
      </w:r>
    </w:p>
    <w:p w14:paraId="2DBA2208" w14:textId="0A56430C" w:rsidR="00D6658F" w:rsidRPr="006348A1" w:rsidRDefault="00D6658F" w:rsidP="00D6658F">
      <w:r>
        <w:t>Règlement (UE) 2023/1115</w:t>
      </w:r>
    </w:p>
    <w:p w14:paraId="58B84554" w14:textId="389FB9DB" w:rsidR="00D6658F" w:rsidRPr="006348A1" w:rsidRDefault="00D6658F" w:rsidP="00D6658F">
      <w:r>
        <w:t>Article 38 – paragraphe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6658F" w14:paraId="6ABF38E6" w14:textId="77777777" w:rsidTr="00851FB6">
        <w:trPr>
          <w:jc w:val="center"/>
        </w:trPr>
        <w:tc>
          <w:tcPr>
            <w:tcW w:w="9752" w:type="dxa"/>
            <w:gridSpan w:val="2"/>
          </w:tcPr>
          <w:p w14:paraId="30488FBE" w14:textId="77777777" w:rsidR="00D6658F" w:rsidRPr="006348A1" w:rsidRDefault="00D6658F" w:rsidP="00851FB6">
            <w:pPr>
              <w:keepNext/>
            </w:pPr>
          </w:p>
        </w:tc>
      </w:tr>
      <w:tr w:rsidR="00D6658F" w14:paraId="11130DD7" w14:textId="77777777" w:rsidTr="00851FB6">
        <w:trPr>
          <w:jc w:val="center"/>
        </w:trPr>
        <w:tc>
          <w:tcPr>
            <w:tcW w:w="4876" w:type="dxa"/>
          </w:tcPr>
          <w:p w14:paraId="44F6B755" w14:textId="77777777" w:rsidR="00D6658F" w:rsidRPr="006348A1" w:rsidRDefault="00D6658F" w:rsidP="00851FB6">
            <w:pPr>
              <w:pStyle w:val="AmColumnHeading"/>
              <w:keepNext/>
            </w:pPr>
            <w:r>
              <w:t>Texte proposé par la Commission</w:t>
            </w:r>
          </w:p>
        </w:tc>
        <w:tc>
          <w:tcPr>
            <w:tcW w:w="4876" w:type="dxa"/>
          </w:tcPr>
          <w:p w14:paraId="47E4014F" w14:textId="77777777" w:rsidR="00D6658F" w:rsidRPr="006348A1" w:rsidRDefault="00D6658F" w:rsidP="00851FB6">
            <w:pPr>
              <w:pStyle w:val="AmColumnHeading"/>
              <w:keepNext/>
            </w:pPr>
            <w:r>
              <w:t>Amendement</w:t>
            </w:r>
          </w:p>
        </w:tc>
      </w:tr>
      <w:tr w:rsidR="00D6658F" w14:paraId="3C0F901B" w14:textId="77777777" w:rsidTr="00851FB6">
        <w:trPr>
          <w:jc w:val="center"/>
        </w:trPr>
        <w:tc>
          <w:tcPr>
            <w:tcW w:w="4876" w:type="dxa"/>
          </w:tcPr>
          <w:p w14:paraId="2306B84A" w14:textId="3762BA12" w:rsidR="00D6658F" w:rsidRPr="006348A1" w:rsidRDefault="00D6658F" w:rsidP="008D5BB1">
            <w:pPr>
              <w:pStyle w:val="Normal6a"/>
              <w:tabs>
                <w:tab w:val="left" w:pos="655"/>
              </w:tabs>
              <w:rPr>
                <w:b/>
                <w:bCs/>
                <w:i/>
                <w:iCs/>
              </w:rPr>
            </w:pPr>
            <w:r>
              <w:rPr>
                <w:b/>
                <w:i/>
              </w:rPr>
              <w:t>5.</w:t>
            </w:r>
            <w:r w:rsidR="00CF553C">
              <w:tab/>
            </w:r>
            <w:r>
              <w:rPr>
                <w:b/>
                <w:i/>
              </w:rPr>
              <w:t>Les articles 16 à 19, l’article 22 et l’article 24 sont applicables à partir du 30 juin 2026 en ce qui concerne les mesures relatives aux opérateurs, aux opérateurs en aval et aux commerçants, et à partir du 30 décembre 2026 aux opérateurs visés aux paragraphes 3 et 4. Lorsqu’une autorité compétente constate une non-conformité au règlement (UE) 2023/1115 ou en est informée avant l’entrée en application des articles 16 à 19, de l’article 22 et de l’article 24, elle peut adresser aux opérateurs, aux opérateurs en aval et aux commerçants des avertissements assortis de recommandations visant à assurer le respect des dispositions.»</w:t>
            </w:r>
          </w:p>
        </w:tc>
        <w:tc>
          <w:tcPr>
            <w:tcW w:w="4876" w:type="dxa"/>
          </w:tcPr>
          <w:p w14:paraId="53D8B7CA" w14:textId="77777777" w:rsidR="00D6658F" w:rsidRPr="006348A1" w:rsidRDefault="00D6658F" w:rsidP="00851FB6">
            <w:pPr>
              <w:pStyle w:val="Normal6a"/>
              <w:rPr>
                <w:szCs w:val="24"/>
              </w:rPr>
            </w:pPr>
            <w:r>
              <w:rPr>
                <w:b/>
                <w:i/>
              </w:rPr>
              <w:t>supprimé</w:t>
            </w:r>
          </w:p>
        </w:tc>
      </w:tr>
    </w:tbl>
    <w:p w14:paraId="762464E5" w14:textId="77777777" w:rsidR="0059471B" w:rsidRDefault="0059471B" w:rsidP="005A5DB4">
      <w:pPr>
        <w:tabs>
          <w:tab w:val="left" w:pos="-774"/>
          <w:tab w:val="left" w:pos="-114"/>
          <w:tab w:val="left" w:pos="1300"/>
        </w:tabs>
        <w:spacing w:after="240"/>
        <w:ind w:left="567" w:hanging="567"/>
      </w:pPr>
    </w:p>
    <w:p w14:paraId="4B395DFC" w14:textId="2BD727DF" w:rsidR="00D6658F" w:rsidRDefault="00D6658F" w:rsidP="005A5DB4">
      <w:pPr>
        <w:tabs>
          <w:tab w:val="left" w:pos="-774"/>
          <w:tab w:val="left" w:pos="-114"/>
          <w:tab w:val="left" w:pos="1300"/>
        </w:tabs>
        <w:spacing w:after="240"/>
        <w:ind w:left="567" w:hanging="567"/>
        <w:rPr>
          <w:b/>
          <w:bCs/>
          <w:lang w:val="fr-BE"/>
        </w:rPr>
      </w:pPr>
      <w:r w:rsidRPr="005A5DB4">
        <w:rPr>
          <w:b/>
          <w:bCs/>
          <w:lang w:val="fr-BE"/>
        </w:rPr>
        <w:t>Amendement</w:t>
      </w:r>
      <w:r>
        <w:rPr>
          <w:b/>
          <w:bCs/>
          <w:lang w:val="fr-BE"/>
        </w:rPr>
        <w:t xml:space="preserve"> 45</w:t>
      </w:r>
    </w:p>
    <w:p w14:paraId="023421D5" w14:textId="0BBC6F82" w:rsidR="00D6658F" w:rsidRPr="00D6658F" w:rsidRDefault="00D6658F" w:rsidP="00D6658F">
      <w:pPr>
        <w:pStyle w:val="NormalBold"/>
        <w:rPr>
          <w:lang w:val="fr-BE"/>
        </w:rPr>
      </w:pPr>
      <w:r w:rsidRPr="00D6658F">
        <w:rPr>
          <w:lang w:val="fr-BE"/>
        </w:rPr>
        <w:lastRenderedPageBreak/>
        <w:t>Proposition de règlement</w:t>
      </w:r>
    </w:p>
    <w:p w14:paraId="25029018" w14:textId="099E1CC9" w:rsidR="00D6658F" w:rsidRPr="00D6658F" w:rsidRDefault="00D6658F" w:rsidP="00D6658F">
      <w:pPr>
        <w:pStyle w:val="NormalBold"/>
        <w:rPr>
          <w:lang w:val="fr-BE"/>
        </w:rPr>
      </w:pPr>
      <w:r w:rsidRPr="00D6658F">
        <w:rPr>
          <w:lang w:val="fr-BE"/>
        </w:rPr>
        <w:t>Article 1 – paragraphe 23</w:t>
      </w:r>
    </w:p>
    <w:p w14:paraId="6E5EA689" w14:textId="792928ED" w:rsidR="00D6658F" w:rsidRPr="00D621FE" w:rsidRDefault="00D6658F" w:rsidP="00D6658F">
      <w:r>
        <w:t>Règlement (UE) 2023/1115</w:t>
      </w:r>
    </w:p>
    <w:p w14:paraId="5023A76A" w14:textId="6FCCD54D" w:rsidR="00D6658F" w:rsidRPr="00D621FE" w:rsidRDefault="00D6658F" w:rsidP="00D6658F">
      <w:r>
        <w:t>Article 38 – paragraphe 5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6658F" w14:paraId="1128A295" w14:textId="77777777" w:rsidTr="00851FB6">
        <w:trPr>
          <w:jc w:val="center"/>
        </w:trPr>
        <w:tc>
          <w:tcPr>
            <w:tcW w:w="9752" w:type="dxa"/>
            <w:gridSpan w:val="2"/>
          </w:tcPr>
          <w:p w14:paraId="02DA70DE" w14:textId="77777777" w:rsidR="00D6658F" w:rsidRPr="00D621FE" w:rsidRDefault="00D6658F" w:rsidP="00851FB6">
            <w:pPr>
              <w:keepNext/>
            </w:pPr>
          </w:p>
        </w:tc>
      </w:tr>
      <w:tr w:rsidR="00D6658F" w14:paraId="1114CD85" w14:textId="77777777" w:rsidTr="00851FB6">
        <w:trPr>
          <w:jc w:val="center"/>
        </w:trPr>
        <w:tc>
          <w:tcPr>
            <w:tcW w:w="4876" w:type="dxa"/>
          </w:tcPr>
          <w:p w14:paraId="5EF1EEDE" w14:textId="77777777" w:rsidR="00D6658F" w:rsidRPr="00D621FE" w:rsidRDefault="00D6658F" w:rsidP="00851FB6">
            <w:pPr>
              <w:pStyle w:val="AmColumnHeading"/>
              <w:keepNext/>
            </w:pPr>
            <w:r>
              <w:t>Texte proposé par la Commission</w:t>
            </w:r>
          </w:p>
        </w:tc>
        <w:tc>
          <w:tcPr>
            <w:tcW w:w="4876" w:type="dxa"/>
          </w:tcPr>
          <w:p w14:paraId="0265A919" w14:textId="77777777" w:rsidR="00D6658F" w:rsidRPr="00D621FE" w:rsidRDefault="00D6658F" w:rsidP="00851FB6">
            <w:pPr>
              <w:pStyle w:val="AmColumnHeading"/>
              <w:keepNext/>
            </w:pPr>
            <w:r>
              <w:t>Amendement</w:t>
            </w:r>
          </w:p>
        </w:tc>
      </w:tr>
      <w:tr w:rsidR="00D6658F" w14:paraId="1C5AA686" w14:textId="77777777" w:rsidTr="00851FB6">
        <w:trPr>
          <w:jc w:val="center"/>
        </w:trPr>
        <w:tc>
          <w:tcPr>
            <w:tcW w:w="4876" w:type="dxa"/>
          </w:tcPr>
          <w:p w14:paraId="661D2BF3" w14:textId="77777777" w:rsidR="00D6658F" w:rsidRPr="00D621FE" w:rsidRDefault="00D6658F" w:rsidP="00851FB6">
            <w:pPr>
              <w:pStyle w:val="Normal6a"/>
            </w:pPr>
          </w:p>
        </w:tc>
        <w:tc>
          <w:tcPr>
            <w:tcW w:w="4876" w:type="dxa"/>
          </w:tcPr>
          <w:p w14:paraId="082C08CF" w14:textId="61890619" w:rsidR="00D6658F" w:rsidRPr="00D621FE" w:rsidRDefault="00D6658F" w:rsidP="00CF553C">
            <w:pPr>
              <w:pStyle w:val="Normal6a"/>
              <w:tabs>
                <w:tab w:val="left" w:pos="772"/>
              </w:tabs>
              <w:rPr>
                <w:szCs w:val="24"/>
              </w:rPr>
            </w:pPr>
            <w:r>
              <w:rPr>
                <w:b/>
                <w:i/>
              </w:rPr>
              <w:t>5 bis.</w:t>
            </w:r>
            <w:r w:rsidR="00CF553C">
              <w:tab/>
            </w:r>
            <w:r>
              <w:rPr>
                <w:b/>
                <w:i/>
              </w:rPr>
              <w:t>Les autorités compétentes tiennent compte des informations utiles, y compris les plaintes, les rapports et les préoccupations fondées, et, pour la période précédant les dates visées à l’article 38, prennent dûment en considération les communications de la Commission concernant les problèmes informatiques ou les erreurs involontaires qui en résultent, afin d’éviter des sanctions administratives aux opérateurs visés à l’article 38, et ce sans préjudice de l’article 25.</w:t>
            </w:r>
          </w:p>
        </w:tc>
      </w:tr>
    </w:tbl>
    <w:p w14:paraId="7ED07C12" w14:textId="77777777" w:rsidR="00D6658F" w:rsidRPr="00AA2D4E" w:rsidRDefault="00D6658F" w:rsidP="00D6658F">
      <w:pPr>
        <w:pStyle w:val="NormalBold"/>
        <w:spacing w:after="120"/>
        <w:rPr>
          <w:b w:val="0"/>
          <w:bCs/>
          <w:lang w:val="fr-BE"/>
        </w:rPr>
      </w:pPr>
    </w:p>
    <w:p w14:paraId="1F34AD83" w14:textId="77777777" w:rsidR="00D6658F" w:rsidRPr="00AA2D4E" w:rsidRDefault="00D6658F" w:rsidP="00D6658F">
      <w:pPr>
        <w:pStyle w:val="AmNumberTabs"/>
        <w:spacing w:before="120" w:line="360" w:lineRule="auto"/>
        <w:rPr>
          <w:lang w:val="fr-BE"/>
        </w:rPr>
      </w:pPr>
      <w:r w:rsidRPr="00AA2D4E">
        <w:rPr>
          <w:lang w:val="fr-BE"/>
        </w:rPr>
        <w:t>Amendement</w:t>
      </w:r>
      <w:r w:rsidRPr="00AA2D4E">
        <w:rPr>
          <w:lang w:val="fr-BE"/>
        </w:rPr>
        <w:tab/>
      </w:r>
      <w:r w:rsidRPr="00AA2D4E">
        <w:rPr>
          <w:lang w:val="fr-BE"/>
        </w:rPr>
        <w:tab/>
        <w:t>65</w:t>
      </w:r>
    </w:p>
    <w:p w14:paraId="42F12E84" w14:textId="77777777" w:rsidR="00D6658F" w:rsidRPr="00FB4921" w:rsidRDefault="00D6658F" w:rsidP="00D6658F">
      <w:pPr>
        <w:pStyle w:val="NormalBold"/>
        <w:spacing w:before="120"/>
        <w:rPr>
          <w:lang w:val="fr-BE"/>
        </w:rPr>
      </w:pPr>
      <w:r w:rsidRPr="00FB4921">
        <w:rPr>
          <w:lang w:val="fr-BE"/>
        </w:rPr>
        <w:t>Proposition de règlement</w:t>
      </w:r>
    </w:p>
    <w:p w14:paraId="39925313" w14:textId="77777777" w:rsidR="00D6658F" w:rsidRPr="00FB4921" w:rsidRDefault="00D6658F" w:rsidP="00D6658F">
      <w:pPr>
        <w:pStyle w:val="NormalBold"/>
        <w:rPr>
          <w:lang w:val="fr-BE"/>
        </w:rPr>
      </w:pPr>
      <w:r w:rsidRPr="00FB4921">
        <w:rPr>
          <w:lang w:val="fr-BE"/>
        </w:rPr>
        <w:t>Article 1 – alinéa 1 – point 23 bis (nouveau)</w:t>
      </w:r>
    </w:p>
    <w:p w14:paraId="3D89C091" w14:textId="77777777" w:rsidR="00D6658F" w:rsidRPr="004D6883" w:rsidRDefault="00D6658F" w:rsidP="00D6658F">
      <w:r>
        <w:t>Règlement (UE) 2023/1115</w:t>
      </w:r>
    </w:p>
    <w:p w14:paraId="68AD4B26" w14:textId="77777777" w:rsidR="00D6658F" w:rsidRPr="004D6883" w:rsidRDefault="00D6658F" w:rsidP="00D6658F">
      <w:r>
        <w:t>Annexe 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6658F" w14:paraId="476BA82E" w14:textId="77777777" w:rsidTr="00851FB6">
        <w:trPr>
          <w:jc w:val="center"/>
        </w:trPr>
        <w:tc>
          <w:tcPr>
            <w:tcW w:w="9752" w:type="dxa"/>
            <w:gridSpan w:val="2"/>
          </w:tcPr>
          <w:p w14:paraId="5B28CDCA" w14:textId="77777777" w:rsidR="00D6658F" w:rsidRPr="004D6883" w:rsidRDefault="00D6658F" w:rsidP="00851FB6">
            <w:pPr>
              <w:keepNext/>
            </w:pPr>
          </w:p>
        </w:tc>
      </w:tr>
      <w:tr w:rsidR="00D6658F" w14:paraId="2BAD77E7" w14:textId="77777777" w:rsidTr="00851FB6">
        <w:trPr>
          <w:jc w:val="center"/>
        </w:trPr>
        <w:tc>
          <w:tcPr>
            <w:tcW w:w="4876" w:type="dxa"/>
          </w:tcPr>
          <w:p w14:paraId="081FD8D6" w14:textId="77777777" w:rsidR="00D6658F" w:rsidRPr="004D6883" w:rsidRDefault="00D6658F" w:rsidP="00851FB6">
            <w:pPr>
              <w:pStyle w:val="AmColumnHeading"/>
              <w:keepNext/>
            </w:pPr>
            <w:r>
              <w:t>Texte proposé par la Commission</w:t>
            </w:r>
          </w:p>
        </w:tc>
        <w:tc>
          <w:tcPr>
            <w:tcW w:w="4876" w:type="dxa"/>
          </w:tcPr>
          <w:p w14:paraId="48CE4157" w14:textId="77777777" w:rsidR="00D6658F" w:rsidRPr="004D6883" w:rsidRDefault="00D6658F" w:rsidP="00851FB6">
            <w:pPr>
              <w:pStyle w:val="AmColumnHeading"/>
              <w:keepNext/>
            </w:pPr>
            <w:r>
              <w:t>Amendement</w:t>
            </w:r>
          </w:p>
        </w:tc>
      </w:tr>
      <w:tr w:rsidR="00D6658F" w14:paraId="7AE416B5" w14:textId="77777777" w:rsidTr="00851FB6">
        <w:trPr>
          <w:trHeight w:val="727"/>
          <w:jc w:val="center"/>
        </w:trPr>
        <w:tc>
          <w:tcPr>
            <w:tcW w:w="4876" w:type="dxa"/>
          </w:tcPr>
          <w:p w14:paraId="38DDB5D4" w14:textId="77777777" w:rsidR="00D6658F" w:rsidRPr="004D6883" w:rsidRDefault="00D6658F" w:rsidP="00851FB6">
            <w:pPr>
              <w:pStyle w:val="Normal6a"/>
            </w:pPr>
          </w:p>
        </w:tc>
        <w:tc>
          <w:tcPr>
            <w:tcW w:w="4876" w:type="dxa"/>
          </w:tcPr>
          <w:p w14:paraId="2C9568D9" w14:textId="77777777" w:rsidR="00D6658F" w:rsidRPr="004D6883" w:rsidRDefault="00D6658F" w:rsidP="00851FB6">
            <w:pPr>
              <w:pStyle w:val="Normal6a"/>
              <w:rPr>
                <w:szCs w:val="24"/>
              </w:rPr>
            </w:pPr>
            <w:r>
              <w:rPr>
                <w:b/>
                <w:i/>
              </w:rPr>
              <w:t>23 bis) À l’annexe I, les produits ex 49 sont supprimés;</w:t>
            </w:r>
          </w:p>
        </w:tc>
      </w:tr>
    </w:tbl>
    <w:p w14:paraId="1A80F80C" w14:textId="77777777" w:rsidR="00CF553C" w:rsidRDefault="00CF553C" w:rsidP="00D6658F">
      <w:pPr>
        <w:pStyle w:val="AmNumberTabs"/>
        <w:widowControl/>
        <w:spacing w:before="120" w:after="120"/>
        <w:rPr>
          <w:lang w:val="fr-BE"/>
        </w:rPr>
      </w:pPr>
    </w:p>
    <w:p w14:paraId="3941CB49" w14:textId="49D8BABE" w:rsidR="00D6658F" w:rsidRPr="00FB4921" w:rsidRDefault="00D6658F" w:rsidP="00D6658F">
      <w:pPr>
        <w:pStyle w:val="AmNumberTabs"/>
        <w:widowControl/>
        <w:spacing w:before="120" w:after="120"/>
        <w:rPr>
          <w:lang w:val="fr-BE"/>
        </w:rPr>
      </w:pPr>
      <w:r w:rsidRPr="00FB4921">
        <w:rPr>
          <w:lang w:val="fr-BE"/>
        </w:rPr>
        <w:t>Amendements</w:t>
      </w:r>
      <w:r w:rsidRPr="00FB4921">
        <w:rPr>
          <w:lang w:val="fr-BE"/>
        </w:rPr>
        <w:tab/>
      </w:r>
      <w:r w:rsidRPr="00FB4921">
        <w:rPr>
          <w:lang w:val="fr-BE"/>
        </w:rPr>
        <w:tab/>
        <w:t>60, 91 et 132</w:t>
      </w:r>
    </w:p>
    <w:p w14:paraId="2C2081A4" w14:textId="77777777" w:rsidR="00D6658F" w:rsidRDefault="00D6658F" w:rsidP="00D6658F">
      <w:pPr>
        <w:pStyle w:val="NormalBold"/>
        <w:widowControl/>
        <w:spacing w:before="120"/>
        <w:rPr>
          <w:lang w:val="fr-BE"/>
        </w:rPr>
      </w:pPr>
      <w:r w:rsidRPr="00FB4921">
        <w:rPr>
          <w:lang w:val="fr-BE"/>
        </w:rPr>
        <w:t>Proposition de règlement</w:t>
      </w:r>
    </w:p>
    <w:p w14:paraId="6D387995" w14:textId="2A9D37F3" w:rsidR="00A75E64" w:rsidRPr="00AA2D4E" w:rsidRDefault="00A75E64" w:rsidP="00A75E64">
      <w:pPr>
        <w:pStyle w:val="NormalBold"/>
        <w:widowControl/>
        <w:rPr>
          <w:lang w:val="fr-BE"/>
        </w:rPr>
      </w:pPr>
      <w:r>
        <w:t>Annexe II</w:t>
      </w:r>
    </w:p>
    <w:p w14:paraId="761A4D69" w14:textId="77777777" w:rsidR="00D6658F" w:rsidRPr="00BE4CBC" w:rsidRDefault="00D6658F" w:rsidP="00D6658F">
      <w:r>
        <w:t>Règlement (UE) 2023/1115</w:t>
      </w:r>
    </w:p>
    <w:p w14:paraId="6A18B75E" w14:textId="77777777" w:rsidR="00D6658F" w:rsidRPr="00BE4CBC" w:rsidRDefault="00D6658F" w:rsidP="00D6658F">
      <w:r>
        <w:t>Annexe III – phrase introductive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6658F" w14:paraId="0CF78F8C" w14:textId="77777777" w:rsidTr="00851FB6">
        <w:trPr>
          <w:jc w:val="center"/>
        </w:trPr>
        <w:tc>
          <w:tcPr>
            <w:tcW w:w="9752" w:type="dxa"/>
            <w:gridSpan w:val="2"/>
          </w:tcPr>
          <w:p w14:paraId="513F85A9" w14:textId="77777777" w:rsidR="00D6658F" w:rsidRPr="00BE4CBC" w:rsidRDefault="00D6658F" w:rsidP="00851FB6">
            <w:pPr>
              <w:keepNext/>
            </w:pPr>
          </w:p>
        </w:tc>
      </w:tr>
      <w:tr w:rsidR="00D6658F" w14:paraId="46F1F19C" w14:textId="77777777" w:rsidTr="00851FB6">
        <w:trPr>
          <w:jc w:val="center"/>
        </w:trPr>
        <w:tc>
          <w:tcPr>
            <w:tcW w:w="4876" w:type="dxa"/>
          </w:tcPr>
          <w:p w14:paraId="104A9799" w14:textId="77777777" w:rsidR="00D6658F" w:rsidRPr="00BE4CBC" w:rsidRDefault="00D6658F" w:rsidP="00851FB6">
            <w:pPr>
              <w:pStyle w:val="AmColumnHeading"/>
              <w:keepNext/>
              <w:widowControl/>
            </w:pPr>
            <w:r>
              <w:t>Texte proposé par la Commission</w:t>
            </w:r>
          </w:p>
        </w:tc>
        <w:tc>
          <w:tcPr>
            <w:tcW w:w="4876" w:type="dxa"/>
          </w:tcPr>
          <w:p w14:paraId="18A682BB" w14:textId="77777777" w:rsidR="00D6658F" w:rsidRPr="00BE4CBC" w:rsidRDefault="00D6658F" w:rsidP="00851FB6">
            <w:pPr>
              <w:pStyle w:val="AmColumnHeading"/>
              <w:keepNext/>
              <w:widowControl/>
            </w:pPr>
            <w:r>
              <w:t>Amendement</w:t>
            </w:r>
          </w:p>
        </w:tc>
      </w:tr>
      <w:tr w:rsidR="00D6658F" w14:paraId="7B747FC8" w14:textId="77777777" w:rsidTr="00851FB6">
        <w:trPr>
          <w:jc w:val="center"/>
        </w:trPr>
        <w:tc>
          <w:tcPr>
            <w:tcW w:w="4876" w:type="dxa"/>
          </w:tcPr>
          <w:p w14:paraId="4ACED7EB" w14:textId="77777777" w:rsidR="00D6658F" w:rsidRPr="00BE4CBC" w:rsidRDefault="00D6658F" w:rsidP="00851FB6">
            <w:pPr>
              <w:pStyle w:val="Normal6a"/>
              <w:widowControl/>
            </w:pPr>
            <w:r>
              <w:t xml:space="preserve">Informations devant figurer dans la déclaration simplifiée </w:t>
            </w:r>
            <w:proofErr w:type="gramStart"/>
            <w:r>
              <w:t>des micro</w:t>
            </w:r>
            <w:proofErr w:type="gramEnd"/>
            <w:r>
              <w:t xml:space="preserve"> et petits opérateurs primaires conformément à l’article 4 bis, paragraphe 3:</w:t>
            </w:r>
          </w:p>
        </w:tc>
        <w:tc>
          <w:tcPr>
            <w:tcW w:w="4876" w:type="dxa"/>
          </w:tcPr>
          <w:p w14:paraId="7C3E41F0" w14:textId="77777777" w:rsidR="00D6658F" w:rsidRPr="00BE4CBC" w:rsidRDefault="00D6658F" w:rsidP="00851FB6">
            <w:pPr>
              <w:pStyle w:val="Normal6a"/>
              <w:widowControl/>
              <w:rPr>
                <w:szCs w:val="24"/>
              </w:rPr>
            </w:pPr>
            <w:r>
              <w:t xml:space="preserve">Informations devant figurer dans la déclaration </w:t>
            </w:r>
            <w:r>
              <w:rPr>
                <w:b/>
                <w:i/>
              </w:rPr>
              <w:t xml:space="preserve">unique </w:t>
            </w:r>
            <w:r>
              <w:t xml:space="preserve">simplifiée </w:t>
            </w:r>
            <w:proofErr w:type="gramStart"/>
            <w:r>
              <w:t>des micro</w:t>
            </w:r>
            <w:proofErr w:type="gramEnd"/>
            <w:r>
              <w:t xml:space="preserve"> et petits opérateurs primaires conformément à l’article 4 bis, paragraphe 3:</w:t>
            </w:r>
          </w:p>
        </w:tc>
      </w:tr>
    </w:tbl>
    <w:p w14:paraId="3F571591" w14:textId="77777777" w:rsidR="00D6658F" w:rsidRDefault="00D6658F" w:rsidP="00D6658F">
      <w:pPr>
        <w:pStyle w:val="NormalBold"/>
        <w:spacing w:after="120"/>
        <w:rPr>
          <w:b w:val="0"/>
          <w:bCs/>
          <w:lang w:val="fr-FR"/>
        </w:rPr>
      </w:pPr>
    </w:p>
    <w:p w14:paraId="0AE32389" w14:textId="77777777" w:rsidR="00D6658F" w:rsidRPr="00AA2D4E" w:rsidRDefault="00D6658F" w:rsidP="00D6658F">
      <w:pPr>
        <w:pStyle w:val="AmNumberTabs"/>
        <w:spacing w:before="120" w:after="120"/>
        <w:rPr>
          <w:lang w:val="fr-BE"/>
        </w:rPr>
      </w:pPr>
      <w:r w:rsidRPr="00AA2D4E">
        <w:rPr>
          <w:lang w:val="fr-BE"/>
        </w:rPr>
        <w:lastRenderedPageBreak/>
        <w:t>Amendement</w:t>
      </w:r>
      <w:r>
        <w:rPr>
          <w:lang w:val="fr-BE"/>
        </w:rPr>
        <w:t>s</w:t>
      </w:r>
      <w:r w:rsidRPr="00AA2D4E">
        <w:rPr>
          <w:lang w:val="fr-BE"/>
        </w:rPr>
        <w:tab/>
      </w:r>
      <w:r w:rsidRPr="00AA2D4E">
        <w:rPr>
          <w:lang w:val="fr-BE"/>
        </w:rPr>
        <w:tab/>
      </w:r>
      <w:r w:rsidRPr="00CF553C">
        <w:rPr>
          <w:lang w:val="fr-BE"/>
        </w:rPr>
        <w:t xml:space="preserve"> </w:t>
      </w:r>
      <w:r w:rsidRPr="00AA2D4E">
        <w:rPr>
          <w:lang w:val="fr-BE"/>
        </w:rPr>
        <w:t>92</w:t>
      </w:r>
      <w:r w:rsidRPr="00CF553C">
        <w:rPr>
          <w:lang w:val="fr-BE"/>
        </w:rPr>
        <w:t xml:space="preserve"> et 133</w:t>
      </w:r>
    </w:p>
    <w:p w14:paraId="46D6F9AA" w14:textId="77777777" w:rsidR="00D6658F" w:rsidRPr="00AA2D4E" w:rsidRDefault="00D6658F" w:rsidP="00CF553C">
      <w:pPr>
        <w:pStyle w:val="NormalBold"/>
        <w:spacing w:before="120"/>
        <w:rPr>
          <w:lang w:val="fr-BE"/>
        </w:rPr>
      </w:pPr>
      <w:r w:rsidRPr="00AA2D4E">
        <w:rPr>
          <w:lang w:val="fr-BE"/>
        </w:rPr>
        <w:t>Proposition de règlement</w:t>
      </w:r>
    </w:p>
    <w:p w14:paraId="4034BFC1" w14:textId="77777777" w:rsidR="00D6658F" w:rsidRPr="00AA2D4E" w:rsidRDefault="00D6658F" w:rsidP="00D6658F">
      <w:pPr>
        <w:pStyle w:val="NormalBold"/>
        <w:rPr>
          <w:lang w:val="fr-BE"/>
        </w:rPr>
      </w:pPr>
      <w:r w:rsidRPr="00AA2D4E">
        <w:rPr>
          <w:lang w:val="fr-BE"/>
        </w:rPr>
        <w:t>Annexe II</w:t>
      </w:r>
    </w:p>
    <w:p w14:paraId="42AD3684" w14:textId="77777777" w:rsidR="00D6658F" w:rsidRPr="00B108E1" w:rsidRDefault="00D6658F" w:rsidP="00D6658F">
      <w:r>
        <w:t>Règlement (UE) 2023/1115</w:t>
      </w:r>
    </w:p>
    <w:p w14:paraId="0A1132E8" w14:textId="77777777" w:rsidR="00D6658F" w:rsidRPr="00B108E1" w:rsidRDefault="00D6658F" w:rsidP="00D6658F">
      <w:r>
        <w:t>Annexe III – point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6658F" w14:paraId="719E5D10" w14:textId="77777777" w:rsidTr="00851FB6">
        <w:trPr>
          <w:jc w:val="center"/>
        </w:trPr>
        <w:tc>
          <w:tcPr>
            <w:tcW w:w="9752" w:type="dxa"/>
            <w:gridSpan w:val="2"/>
          </w:tcPr>
          <w:p w14:paraId="50DAB6A9" w14:textId="77777777" w:rsidR="00D6658F" w:rsidRPr="00B108E1" w:rsidRDefault="00D6658F" w:rsidP="00851FB6">
            <w:pPr>
              <w:keepNext/>
            </w:pPr>
          </w:p>
        </w:tc>
      </w:tr>
      <w:tr w:rsidR="00D6658F" w14:paraId="1C722408" w14:textId="77777777" w:rsidTr="00851FB6">
        <w:trPr>
          <w:jc w:val="center"/>
        </w:trPr>
        <w:tc>
          <w:tcPr>
            <w:tcW w:w="4876" w:type="dxa"/>
          </w:tcPr>
          <w:p w14:paraId="63652FB0" w14:textId="77777777" w:rsidR="00D6658F" w:rsidRPr="00F104A5" w:rsidRDefault="00D6658F" w:rsidP="00851FB6">
            <w:pPr>
              <w:pStyle w:val="AmColumnHeading"/>
              <w:keepNext/>
            </w:pPr>
            <w:r>
              <w:t>Texte proposé par la Commission</w:t>
            </w:r>
          </w:p>
        </w:tc>
        <w:tc>
          <w:tcPr>
            <w:tcW w:w="4876" w:type="dxa"/>
          </w:tcPr>
          <w:p w14:paraId="3BE35CF6" w14:textId="77777777" w:rsidR="00D6658F" w:rsidRPr="00B108E1" w:rsidRDefault="00D6658F" w:rsidP="00851FB6">
            <w:pPr>
              <w:pStyle w:val="AmColumnHeading"/>
              <w:keepNext/>
            </w:pPr>
            <w:r>
              <w:t>Amendement</w:t>
            </w:r>
          </w:p>
        </w:tc>
      </w:tr>
      <w:tr w:rsidR="00D6658F" w14:paraId="34DFC5DE" w14:textId="77777777" w:rsidTr="00851FB6">
        <w:trPr>
          <w:jc w:val="center"/>
        </w:trPr>
        <w:tc>
          <w:tcPr>
            <w:tcW w:w="4876" w:type="dxa"/>
          </w:tcPr>
          <w:p w14:paraId="61DD1880" w14:textId="60BBEACF" w:rsidR="00D6658F" w:rsidRPr="00F104A5" w:rsidRDefault="00D6658F" w:rsidP="008D5BB1">
            <w:pPr>
              <w:pStyle w:val="Normal6a"/>
              <w:tabs>
                <w:tab w:val="left" w:pos="547"/>
              </w:tabs>
            </w:pPr>
            <w:r>
              <w:t>2)</w:t>
            </w:r>
            <w:r w:rsidR="00CF553C">
              <w:tab/>
            </w:r>
            <w:r>
              <w:t>Code du système harmonisé et description sous forme de texte libre des produits en cause, y compris le nom commercial, et la quantité annuelle de produits en cause destinés à être mis sur le marché ou exportés, exprimée en masse nette en précisant une estimation du pourcentage ou une déviation du pourcentage ou, le cas échéant, en volume net ou en nombre d’articles. Pour les produits en cause entrant sur le marché ou quittant le marché, la quantité doit être exprimée en kilogrammes de masse nette et, le cas échéant, dans l’unité supplémentaire figurant à l’annexe I du règlement (CEE) nº 2658/87, en regard du code du système harmonisé concerné, ou, dans tous les autres cas, la quantité doit être exprimée en masse nette en précisant une estimation du pourcentage ou une déviation du pourcentage ou, le cas échéant, en volume net ou en nombre d’articles. Une unité supplémentaire est applicable lorsqu’elle est définie de manière cohérente pour toutes les sous-positions possibles du code du système harmonisé visé dans la déclaration de diligence raisonnée.</w:t>
            </w:r>
          </w:p>
        </w:tc>
        <w:tc>
          <w:tcPr>
            <w:tcW w:w="4876" w:type="dxa"/>
          </w:tcPr>
          <w:p w14:paraId="7A01DF48" w14:textId="242BFF76" w:rsidR="00D6658F" w:rsidRPr="00F104A5" w:rsidRDefault="00D6658F" w:rsidP="008D5BB1">
            <w:pPr>
              <w:pStyle w:val="Normal6a"/>
              <w:tabs>
                <w:tab w:val="left" w:pos="510"/>
                <w:tab w:val="left" w:pos="741"/>
              </w:tabs>
              <w:rPr>
                <w:szCs w:val="24"/>
              </w:rPr>
            </w:pPr>
            <w:r>
              <w:t>2)</w:t>
            </w:r>
            <w:r w:rsidR="00CF553C">
              <w:tab/>
            </w:r>
            <w:r>
              <w:t xml:space="preserve">Code du système harmonisé et description sous forme de texte libre des produits en cause, y compris le nom commercial, et la quantité annuelle </w:t>
            </w:r>
            <w:r>
              <w:rPr>
                <w:b/>
                <w:i/>
              </w:rPr>
              <w:t xml:space="preserve">estimée et unique </w:t>
            </w:r>
            <w:r>
              <w:t>de produits en cause destinés à être mis sur le marché ou exportés, exprimée en masse nette en précisant une estimation du pourcentage ou une déviation du pourcentage ou, le cas échéant, en volume net ou en nombre d’articles. Pour les produits en cause entrant sur le marché ou quittant le marché, la quantité</w:t>
            </w:r>
            <w:r>
              <w:rPr>
                <w:b/>
                <w:i/>
              </w:rPr>
              <w:t xml:space="preserve"> estimée</w:t>
            </w:r>
            <w:r>
              <w:t xml:space="preserve"> doit être exprimée en kilogrammes de masse nette et, le cas échéant, dans l’unité supplémentaire figurant à l’annexe I du règlement (CEE) nº 2658/87, en regard du code du système harmonisé concerné, ou, dans tous les autres cas, la quantité doit être exprimée en masse nette en précisant une estimation du pourcentage ou une déviation du pourcentage ou, le cas échéant, en volume net ou en nombre d’articles. Une unité supplémentaire est applicable lorsqu’elle est définie de manière cohérente pour toutes les sous-positions possibles du code du système harmonisé visé dans la déclaration de diligence raisonnée.</w:t>
            </w:r>
          </w:p>
        </w:tc>
      </w:tr>
    </w:tbl>
    <w:p w14:paraId="07B6A11B" w14:textId="77777777" w:rsidR="00D6658F" w:rsidRDefault="00D6658F" w:rsidP="00D6658F">
      <w:pPr>
        <w:pStyle w:val="NormalBold"/>
        <w:spacing w:after="120"/>
        <w:rPr>
          <w:b w:val="0"/>
          <w:bCs/>
          <w:lang w:val="fr-FR"/>
        </w:rPr>
      </w:pPr>
    </w:p>
    <w:p w14:paraId="044F38EB" w14:textId="77777777" w:rsidR="00D6658F" w:rsidRPr="00AA2D4E" w:rsidRDefault="00D6658F" w:rsidP="00D6658F">
      <w:pPr>
        <w:pStyle w:val="AmNumberTabs"/>
        <w:spacing w:before="120" w:after="120"/>
        <w:rPr>
          <w:lang w:val="fr-BE"/>
        </w:rPr>
      </w:pPr>
      <w:r w:rsidRPr="00AA2D4E">
        <w:rPr>
          <w:lang w:val="fr-BE"/>
        </w:rPr>
        <w:t>Amendements</w:t>
      </w:r>
      <w:r w:rsidRPr="00AA2D4E">
        <w:rPr>
          <w:lang w:val="fr-BE"/>
        </w:rPr>
        <w:tab/>
      </w:r>
      <w:r w:rsidRPr="00AA2D4E">
        <w:rPr>
          <w:lang w:val="fr-BE"/>
        </w:rPr>
        <w:tab/>
        <w:t>93</w:t>
      </w:r>
      <w:r w:rsidRPr="00CF553C">
        <w:rPr>
          <w:lang w:val="fr-BE"/>
        </w:rPr>
        <w:t xml:space="preserve"> et 134</w:t>
      </w:r>
    </w:p>
    <w:p w14:paraId="6E473402" w14:textId="77777777" w:rsidR="00D6658F" w:rsidRPr="00AA2D4E" w:rsidRDefault="00D6658F" w:rsidP="00CF553C">
      <w:pPr>
        <w:pStyle w:val="NormalBold"/>
        <w:spacing w:before="120"/>
        <w:rPr>
          <w:lang w:val="fr-BE"/>
        </w:rPr>
      </w:pPr>
      <w:r w:rsidRPr="00AA2D4E">
        <w:rPr>
          <w:lang w:val="fr-BE"/>
        </w:rPr>
        <w:t>Proposition de règlement</w:t>
      </w:r>
    </w:p>
    <w:p w14:paraId="3CA32A1C" w14:textId="77777777" w:rsidR="00D6658F" w:rsidRPr="00AA2D4E" w:rsidRDefault="00D6658F" w:rsidP="00D6658F">
      <w:pPr>
        <w:pStyle w:val="NormalBold"/>
        <w:rPr>
          <w:lang w:val="fr-BE"/>
        </w:rPr>
      </w:pPr>
      <w:r w:rsidRPr="00AA2D4E">
        <w:rPr>
          <w:lang w:val="fr-BE"/>
        </w:rPr>
        <w:t>Annexe II</w:t>
      </w:r>
    </w:p>
    <w:p w14:paraId="5A9357E6" w14:textId="77777777" w:rsidR="00D6658F" w:rsidRPr="00B108E1" w:rsidRDefault="00D6658F" w:rsidP="00D6658F">
      <w:r>
        <w:t>Règlement (UE) 2023/1115</w:t>
      </w:r>
    </w:p>
    <w:p w14:paraId="61A009B0" w14:textId="77777777" w:rsidR="00D6658F" w:rsidRPr="00B108E1" w:rsidRDefault="00D6658F" w:rsidP="00D6658F">
      <w:r>
        <w:t>Annexe III – point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6658F" w14:paraId="53D2746C" w14:textId="77777777" w:rsidTr="00851FB6">
        <w:trPr>
          <w:jc w:val="center"/>
        </w:trPr>
        <w:tc>
          <w:tcPr>
            <w:tcW w:w="9752" w:type="dxa"/>
            <w:gridSpan w:val="2"/>
          </w:tcPr>
          <w:p w14:paraId="53A09DCC" w14:textId="77777777" w:rsidR="00D6658F" w:rsidRPr="00B108E1" w:rsidRDefault="00D6658F" w:rsidP="00851FB6">
            <w:pPr>
              <w:keepNext/>
            </w:pPr>
          </w:p>
        </w:tc>
      </w:tr>
      <w:tr w:rsidR="00D6658F" w14:paraId="15DA2AEE" w14:textId="77777777" w:rsidTr="00851FB6">
        <w:trPr>
          <w:jc w:val="center"/>
        </w:trPr>
        <w:tc>
          <w:tcPr>
            <w:tcW w:w="4876" w:type="dxa"/>
          </w:tcPr>
          <w:p w14:paraId="4BC940DB" w14:textId="77777777" w:rsidR="00D6658F" w:rsidRPr="00F104A5" w:rsidRDefault="00D6658F" w:rsidP="00851FB6">
            <w:pPr>
              <w:pStyle w:val="AmColumnHeading"/>
              <w:keepNext/>
            </w:pPr>
            <w:r>
              <w:t>Texte proposé par la Commission</w:t>
            </w:r>
          </w:p>
        </w:tc>
        <w:tc>
          <w:tcPr>
            <w:tcW w:w="4876" w:type="dxa"/>
          </w:tcPr>
          <w:p w14:paraId="02C9E170" w14:textId="77777777" w:rsidR="00D6658F" w:rsidRPr="00B108E1" w:rsidRDefault="00D6658F" w:rsidP="00851FB6">
            <w:pPr>
              <w:pStyle w:val="AmColumnHeading"/>
              <w:keepNext/>
            </w:pPr>
            <w:r>
              <w:t>Amendement</w:t>
            </w:r>
          </w:p>
        </w:tc>
      </w:tr>
      <w:tr w:rsidR="00D6658F" w14:paraId="66861B57" w14:textId="77777777" w:rsidTr="00851FB6">
        <w:trPr>
          <w:jc w:val="center"/>
        </w:trPr>
        <w:tc>
          <w:tcPr>
            <w:tcW w:w="4876" w:type="dxa"/>
          </w:tcPr>
          <w:p w14:paraId="6DADAA80" w14:textId="46F419CC" w:rsidR="00D6658F" w:rsidRPr="00F104A5" w:rsidRDefault="00D6658F" w:rsidP="008D5BB1">
            <w:pPr>
              <w:pStyle w:val="Normal6a"/>
              <w:tabs>
                <w:tab w:val="left" w:pos="655"/>
                <w:tab w:val="left" w:pos="802"/>
              </w:tabs>
            </w:pPr>
            <w:r>
              <w:t>3)</w:t>
            </w:r>
            <w:r w:rsidR="00CF553C">
              <w:tab/>
            </w:r>
            <w:r>
              <w:t xml:space="preserve">Pays de production et adresse postale ou géolocalisation de toutes les parcelles sur lesquelles le micro ou petit </w:t>
            </w:r>
            <w:r>
              <w:lastRenderedPageBreak/>
              <w:t>opérateur primaire produit les produits de base en cause. Pour les produits en cause qui contiennent des bovins ou ont été fabriqués à partir de bovins, et pour de tels produits en cause qui ont été nourris avec des produits en cause, l’adresse postale ou la géolocalisation renvoie à tous les établissements dans lesquels les bovins ont été gardés. Lorsque les produits en cause ont été obtenus sur différentes parcelles, l’adresse postale ou la géolocalisation de toutes les parcelles est indiquée conformément à l’article 9, paragraphe 1, point</w:t>
            </w:r>
            <w:r>
              <w:rPr>
                <w:b/>
                <w:i/>
              </w:rPr>
              <w:t> </w:t>
            </w:r>
            <w:r>
              <w:t>d).</w:t>
            </w:r>
          </w:p>
        </w:tc>
        <w:tc>
          <w:tcPr>
            <w:tcW w:w="4876" w:type="dxa"/>
          </w:tcPr>
          <w:p w14:paraId="3A72F0A1" w14:textId="1D8E8F56" w:rsidR="00D6658F" w:rsidRPr="00F104A5" w:rsidRDefault="00D6658F" w:rsidP="00CF553C">
            <w:pPr>
              <w:pStyle w:val="Normal6a"/>
              <w:tabs>
                <w:tab w:val="left" w:pos="599"/>
              </w:tabs>
              <w:rPr>
                <w:szCs w:val="24"/>
              </w:rPr>
            </w:pPr>
            <w:r>
              <w:lastRenderedPageBreak/>
              <w:t>3)</w:t>
            </w:r>
            <w:r w:rsidR="00CF553C">
              <w:tab/>
            </w:r>
            <w:r>
              <w:t>Pays de production et adresse postale ou géolocalisation de toutes les parcelles</w:t>
            </w:r>
            <w:r>
              <w:rPr>
                <w:b/>
                <w:i/>
              </w:rPr>
              <w:t xml:space="preserve">, ou adresse postale de l’établissement ou </w:t>
            </w:r>
            <w:r>
              <w:rPr>
                <w:b/>
                <w:i/>
              </w:rPr>
              <w:lastRenderedPageBreak/>
              <w:t>de toutes les parcelles</w:t>
            </w:r>
            <w:r>
              <w:t xml:space="preserve"> sur lesquelles le micro ou petit opérateur primaire produit les produits de base en cause. Pour les produits en cause qui contiennent des bovins ou ont été fabriqués à partir de bovins, et pour de tels produits en cause qui ont été nourris avec des produits en cause, l’adresse postale ou la géolocalisation renvoie à tous les établissements dans lesquels les bovins ont été gardés. Lorsque les produits en cause ont été obtenus sur différentes parcelles, l’adresse postale ou la géolocalisation de toutes les parcelles est indiquée conformément à l’article 9, paragraphe 1, point</w:t>
            </w:r>
            <w:r>
              <w:rPr>
                <w:b/>
                <w:i/>
              </w:rPr>
              <w:t xml:space="preserve"> </w:t>
            </w:r>
            <w:r>
              <w:t>d).</w:t>
            </w:r>
          </w:p>
        </w:tc>
      </w:tr>
    </w:tbl>
    <w:p w14:paraId="567053B0" w14:textId="77777777" w:rsidR="00D6658F" w:rsidRPr="00E21D8A" w:rsidRDefault="00D6658F" w:rsidP="00D6658F">
      <w:pPr>
        <w:tabs>
          <w:tab w:val="left" w:pos="-774"/>
          <w:tab w:val="left" w:pos="-114"/>
          <w:tab w:val="left" w:pos="1300"/>
        </w:tabs>
        <w:spacing w:after="240"/>
        <w:ind w:left="567" w:hanging="567"/>
      </w:pPr>
    </w:p>
    <w:sectPr w:rsidR="00D6658F" w:rsidRPr="00E21D8A" w:rsidSect="00277E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8953A" w14:textId="77777777" w:rsidR="006165D2" w:rsidRDefault="006165D2" w:rsidP="009C4014">
      <w:r>
        <w:separator/>
      </w:r>
    </w:p>
  </w:endnote>
  <w:endnote w:type="continuationSeparator" w:id="0">
    <w:p w14:paraId="6027009E" w14:textId="77777777" w:rsidR="006165D2" w:rsidRDefault="006165D2"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D7CAD"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35641"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26B39"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634BD" w14:textId="77777777" w:rsidR="006165D2" w:rsidRDefault="006165D2" w:rsidP="009C4014">
      <w:r>
        <w:separator/>
      </w:r>
    </w:p>
  </w:footnote>
  <w:footnote w:type="continuationSeparator" w:id="0">
    <w:p w14:paraId="7C23E930" w14:textId="77777777" w:rsidR="006165D2" w:rsidRDefault="006165D2" w:rsidP="009C4014">
      <w:r>
        <w:continuationSeparator/>
      </w:r>
    </w:p>
  </w:footnote>
  <w:footnote w:id="1">
    <w:p w14:paraId="4F67A3EC" w14:textId="32154613" w:rsidR="00ED5A4B" w:rsidRPr="0027128B" w:rsidRDefault="00ED5A4B" w:rsidP="00624F5B">
      <w:pPr>
        <w:pStyle w:val="FootnoteText"/>
        <w:ind w:left="567" w:hanging="567"/>
      </w:pPr>
      <w:r>
        <w:rPr>
          <w:rStyle w:val="FootnoteReference"/>
        </w:rPr>
        <w:footnoteRef/>
      </w:r>
      <w:r>
        <w:t xml:space="preserve"> </w:t>
      </w:r>
      <w:r>
        <w:rPr>
          <w:lang w:val="fr-BE"/>
        </w:rPr>
        <w:tab/>
      </w:r>
      <w:r w:rsidR="0027128B" w:rsidRPr="00E32719">
        <w:rPr>
          <w:sz w:val="24"/>
          <w:szCs w:val="24"/>
        </w:rPr>
        <w:t xml:space="preserve">La question a été renvoyée à la commission compétente, aux fins de négociations interinstitutionnelles, </w:t>
      </w:r>
      <w:r w:rsidR="0027128B" w:rsidRPr="0027128B">
        <w:rPr>
          <w:sz w:val="24"/>
          <w:szCs w:val="24"/>
        </w:rPr>
        <w:t>conformément à l’article 60, paragraphe 4, quatrième alinéa, du règlement intérieur</w:t>
      </w:r>
      <w:r w:rsidR="0027128B" w:rsidRPr="00E32719">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5C6D7" w14:textId="3E2B34C2"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4808D"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64F46"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732189212">
    <w:abstractNumId w:val="3"/>
  </w:num>
  <w:num w:numId="2" w16cid:durableId="1475679427">
    <w:abstractNumId w:val="2"/>
  </w:num>
  <w:num w:numId="3" w16cid:durableId="679770551">
    <w:abstractNumId w:val="1"/>
  </w:num>
  <w:num w:numId="4" w16cid:durableId="172577639">
    <w:abstractNumId w:val="0"/>
  </w:num>
  <w:num w:numId="5" w16cid:durableId="84041273">
    <w:abstractNumId w:val="6"/>
  </w:num>
  <w:num w:numId="6" w16cid:durableId="425539592">
    <w:abstractNumId w:val="5"/>
  </w:num>
  <w:num w:numId="7" w16cid:durableId="923339138">
    <w:abstractNumId w:val="4"/>
  </w:num>
  <w:num w:numId="8" w16cid:durableId="1020624260">
    <w:abstractNumId w:val="7"/>
  </w:num>
  <w:num w:numId="9" w16cid:durableId="3385036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5D2"/>
    <w:rsid w:val="00013B2A"/>
    <w:rsid w:val="0007065A"/>
    <w:rsid w:val="000829FC"/>
    <w:rsid w:val="000C2BFE"/>
    <w:rsid w:val="000F27A9"/>
    <w:rsid w:val="000F6208"/>
    <w:rsid w:val="00125CBC"/>
    <w:rsid w:val="00172070"/>
    <w:rsid w:val="00185E15"/>
    <w:rsid w:val="001D4BBF"/>
    <w:rsid w:val="001D63A8"/>
    <w:rsid w:val="001F4463"/>
    <w:rsid w:val="001F7244"/>
    <w:rsid w:val="002107FD"/>
    <w:rsid w:val="00244D7C"/>
    <w:rsid w:val="00252B47"/>
    <w:rsid w:val="00263553"/>
    <w:rsid w:val="0027128B"/>
    <w:rsid w:val="00275B68"/>
    <w:rsid w:val="00277E81"/>
    <w:rsid w:val="0029080C"/>
    <w:rsid w:val="002924A9"/>
    <w:rsid w:val="002A1D4E"/>
    <w:rsid w:val="002B4BCF"/>
    <w:rsid w:val="002C2F3E"/>
    <w:rsid w:val="002F1925"/>
    <w:rsid w:val="00300C61"/>
    <w:rsid w:val="00312A38"/>
    <w:rsid w:val="003202DD"/>
    <w:rsid w:val="00371341"/>
    <w:rsid w:val="003775B9"/>
    <w:rsid w:val="00397B2A"/>
    <w:rsid w:val="003D40F5"/>
    <w:rsid w:val="003E1189"/>
    <w:rsid w:val="003F4DFE"/>
    <w:rsid w:val="00425111"/>
    <w:rsid w:val="00451C48"/>
    <w:rsid w:val="00463CEB"/>
    <w:rsid w:val="0047030E"/>
    <w:rsid w:val="004E6A17"/>
    <w:rsid w:val="004F2EA7"/>
    <w:rsid w:val="00520780"/>
    <w:rsid w:val="00525ED0"/>
    <w:rsid w:val="00534CAB"/>
    <w:rsid w:val="00542602"/>
    <w:rsid w:val="00547BB1"/>
    <w:rsid w:val="00591365"/>
    <w:rsid w:val="0059471B"/>
    <w:rsid w:val="005A2421"/>
    <w:rsid w:val="005A5DB4"/>
    <w:rsid w:val="005B23C9"/>
    <w:rsid w:val="005F0CA1"/>
    <w:rsid w:val="005F35F8"/>
    <w:rsid w:val="00603B14"/>
    <w:rsid w:val="00606041"/>
    <w:rsid w:val="006165D2"/>
    <w:rsid w:val="00624F5B"/>
    <w:rsid w:val="006549F9"/>
    <w:rsid w:val="006656E5"/>
    <w:rsid w:val="00666512"/>
    <w:rsid w:val="00683F78"/>
    <w:rsid w:val="006A1E82"/>
    <w:rsid w:val="006A7C85"/>
    <w:rsid w:val="006A7CE5"/>
    <w:rsid w:val="006B1646"/>
    <w:rsid w:val="006D5610"/>
    <w:rsid w:val="006E5420"/>
    <w:rsid w:val="006F135E"/>
    <w:rsid w:val="00700F63"/>
    <w:rsid w:val="0071399A"/>
    <w:rsid w:val="00742568"/>
    <w:rsid w:val="00751383"/>
    <w:rsid w:val="00757DD5"/>
    <w:rsid w:val="00760EC5"/>
    <w:rsid w:val="007713FD"/>
    <w:rsid w:val="00774A9B"/>
    <w:rsid w:val="007906DB"/>
    <w:rsid w:val="007B16FE"/>
    <w:rsid w:val="007C3388"/>
    <w:rsid w:val="007D11E3"/>
    <w:rsid w:val="00802DE7"/>
    <w:rsid w:val="008512F3"/>
    <w:rsid w:val="00857458"/>
    <w:rsid w:val="00863382"/>
    <w:rsid w:val="00873A0F"/>
    <w:rsid w:val="00895FA0"/>
    <w:rsid w:val="008A7294"/>
    <w:rsid w:val="008B1C2E"/>
    <w:rsid w:val="008D5BB1"/>
    <w:rsid w:val="008D7C16"/>
    <w:rsid w:val="008E7632"/>
    <w:rsid w:val="008F0108"/>
    <w:rsid w:val="008F7F1C"/>
    <w:rsid w:val="00907FE0"/>
    <w:rsid w:val="00916CEE"/>
    <w:rsid w:val="009865B7"/>
    <w:rsid w:val="009B7E10"/>
    <w:rsid w:val="009C4014"/>
    <w:rsid w:val="009F28EF"/>
    <w:rsid w:val="00A1739E"/>
    <w:rsid w:val="00A5080E"/>
    <w:rsid w:val="00A75E64"/>
    <w:rsid w:val="00AC161E"/>
    <w:rsid w:val="00B357F2"/>
    <w:rsid w:val="00B54C72"/>
    <w:rsid w:val="00B85C1E"/>
    <w:rsid w:val="00C15516"/>
    <w:rsid w:val="00C16C81"/>
    <w:rsid w:val="00C31CF5"/>
    <w:rsid w:val="00C57739"/>
    <w:rsid w:val="00C65BE8"/>
    <w:rsid w:val="00C84F77"/>
    <w:rsid w:val="00CB21B9"/>
    <w:rsid w:val="00CB451F"/>
    <w:rsid w:val="00CC4897"/>
    <w:rsid w:val="00CF553C"/>
    <w:rsid w:val="00D12B1A"/>
    <w:rsid w:val="00D202A4"/>
    <w:rsid w:val="00D3509F"/>
    <w:rsid w:val="00D6658F"/>
    <w:rsid w:val="00D85CDA"/>
    <w:rsid w:val="00D91669"/>
    <w:rsid w:val="00DE0964"/>
    <w:rsid w:val="00DF097A"/>
    <w:rsid w:val="00DF53A8"/>
    <w:rsid w:val="00E039BF"/>
    <w:rsid w:val="00E11822"/>
    <w:rsid w:val="00E21D8A"/>
    <w:rsid w:val="00E73B02"/>
    <w:rsid w:val="00E74BF3"/>
    <w:rsid w:val="00ED5A4B"/>
    <w:rsid w:val="00EF3610"/>
    <w:rsid w:val="00F177A4"/>
    <w:rsid w:val="00F24C65"/>
    <w:rsid w:val="00F54CF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8CA3B6"/>
  <w15:chartTrackingRefBased/>
  <w15:docId w15:val="{2CEB02FE-4BF1-400A-BC24-56C5622E2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semiHidden/>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uiPriority w:val="99"/>
    <w:rsid w:val="00D12B1A"/>
    <w:rPr>
      <w:sz w:val="22"/>
      <w:lang w:val="fr-FR"/>
    </w:rPr>
  </w:style>
  <w:style w:type="character" w:styleId="Hyperlink">
    <w:name w:val="Hyperlink"/>
    <w:uiPriority w:val="99"/>
    <w:rsid w:val="00802DE7"/>
    <w:rPr>
      <w:color w:val="0000FF"/>
      <w:u w:val="single"/>
    </w:rPr>
  </w:style>
  <w:style w:type="paragraph" w:styleId="Revision">
    <w:name w:val="Revision"/>
    <w:hidden/>
    <w:uiPriority w:val="99"/>
    <w:semiHidden/>
    <w:rsid w:val="00ED5A4B"/>
    <w:rPr>
      <w:sz w:val="24"/>
      <w:lang w:val="fr-FR"/>
    </w:rPr>
  </w:style>
  <w:style w:type="paragraph" w:customStyle="1" w:styleId="Normal6a">
    <w:name w:val="Normal6a"/>
    <w:basedOn w:val="Normal"/>
    <w:rsid w:val="00463CEB"/>
    <w:pPr>
      <w:widowControl w:val="0"/>
      <w:spacing w:after="120"/>
    </w:pPr>
  </w:style>
  <w:style w:type="paragraph" w:customStyle="1" w:styleId="AmColumnHeading">
    <w:name w:val="AmColumnHeading"/>
    <w:basedOn w:val="Normal"/>
    <w:rsid w:val="00463CEB"/>
    <w:pPr>
      <w:widowControl w:val="0"/>
      <w:spacing w:after="240"/>
      <w:jc w:val="center"/>
    </w:pPr>
    <w:rPr>
      <w:i/>
    </w:rPr>
  </w:style>
  <w:style w:type="paragraph" w:customStyle="1" w:styleId="AmNumberTabs">
    <w:name w:val="AmNumberTabs"/>
    <w:basedOn w:val="Normal"/>
    <w:rsid w:val="00D6658F"/>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CommentReference">
    <w:name w:val="annotation reference"/>
    <w:basedOn w:val="DefaultParagraphFont"/>
    <w:rsid w:val="00D6658F"/>
    <w:rPr>
      <w:sz w:val="16"/>
      <w:szCs w:val="16"/>
    </w:rPr>
  </w:style>
  <w:style w:type="paragraph" w:styleId="CommentText">
    <w:name w:val="annotation text"/>
    <w:basedOn w:val="Normal"/>
    <w:link w:val="CommentTextChar"/>
    <w:rsid w:val="00D6658F"/>
    <w:rPr>
      <w:sz w:val="20"/>
    </w:rPr>
  </w:style>
  <w:style w:type="character" w:customStyle="1" w:styleId="CommentTextChar">
    <w:name w:val="Comment Text Char"/>
    <w:basedOn w:val="DefaultParagraphFont"/>
    <w:link w:val="CommentText"/>
    <w:rsid w:val="00D6658F"/>
    <w:rPr>
      <w:lang w:val="fr-FR"/>
    </w:rPr>
  </w:style>
  <w:style w:type="paragraph" w:styleId="CommentSubject">
    <w:name w:val="annotation subject"/>
    <w:basedOn w:val="CommentText"/>
    <w:next w:val="CommentText"/>
    <w:link w:val="CommentSubjectChar"/>
    <w:rsid w:val="00D6658F"/>
    <w:rPr>
      <w:b/>
      <w:bCs/>
    </w:rPr>
  </w:style>
  <w:style w:type="character" w:customStyle="1" w:styleId="CommentSubjectChar">
    <w:name w:val="Comment Subject Char"/>
    <w:basedOn w:val="CommentTextChar"/>
    <w:link w:val="CommentSubject"/>
    <w:rsid w:val="00D6658F"/>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0EB55-C090-4BA5-B251-C6993EB6D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19</Pages>
  <Words>5529</Words>
  <Characters>30583</Characters>
  <Application>Microsoft Office Word</Application>
  <DocSecurity>0</DocSecurity>
  <Lines>254</Lines>
  <Paragraphs>72</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DELECROIX Dorothee</dc:creator>
  <cp:keywords/>
  <cp:lastModifiedBy>DELECROIX Dorothee</cp:lastModifiedBy>
  <cp:revision>3</cp:revision>
  <cp:lastPrinted>2014-08-07T13:15:00Z</cp:lastPrinted>
  <dcterms:created xsi:type="dcterms:W3CDTF">2025-11-26T16:29:00Z</dcterms:created>
  <dcterms:modified xsi:type="dcterms:W3CDTF">2026-01-29T08:06:00Z</dcterms:modified>
</cp:coreProperties>
</file>