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21F1" w14:paraId="4F4E63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681CE4" w14:textId="7B439156" w:rsidR="00751A4A" w:rsidRPr="00F021F1" w:rsidRDefault="00B81746" w:rsidP="0010095E">
            <w:pPr>
              <w:pStyle w:val="EPName"/>
            </w:pPr>
            <w:r w:rsidRPr="00F021F1">
              <w:t>Европейски</w:t>
            </w:r>
            <w:r w:rsidR="00E66782" w:rsidRPr="00F021F1">
              <w:t xml:space="preserve"> парламент</w:t>
            </w:r>
          </w:p>
          <w:p w14:paraId="7D29506F" w14:textId="4D10AFD3" w:rsidR="00751A4A" w:rsidRPr="00F021F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21F1">
              <w:t>2024</w:t>
            </w:r>
            <w:r w:rsidR="00B81746" w:rsidRPr="00F021F1">
              <w:t> – </w:t>
            </w:r>
            <w:r w:rsidR="00817416" w:rsidRPr="00F021F1">
              <w:t>202</w:t>
            </w:r>
            <w:r w:rsidRPr="00F021F1">
              <w:t>9</w:t>
            </w:r>
          </w:p>
        </w:tc>
        <w:tc>
          <w:tcPr>
            <w:tcW w:w="2268" w:type="dxa"/>
            <w:shd w:val="clear" w:color="auto" w:fill="auto"/>
          </w:tcPr>
          <w:p w14:paraId="34FFAAF6" w14:textId="77777777" w:rsidR="00751A4A" w:rsidRPr="00F021F1" w:rsidRDefault="00187494" w:rsidP="0010095E">
            <w:pPr>
              <w:pStyle w:val="EPLogo"/>
            </w:pPr>
            <w:r w:rsidRPr="00F021F1">
              <w:rPr>
                <w:noProof/>
                <w:lang w:eastAsia="ja-JP"/>
              </w:rPr>
              <w:drawing>
                <wp:inline distT="0" distB="0" distL="0" distR="0" wp14:anchorId="12E8049B" wp14:editId="6A057B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C5CA8" w14:textId="77777777" w:rsidR="00D058B8" w:rsidRPr="00F021F1" w:rsidRDefault="00D058B8" w:rsidP="004C5D52">
      <w:pPr>
        <w:pStyle w:val="LineTop"/>
      </w:pPr>
    </w:p>
    <w:p w14:paraId="2B5B5F8A" w14:textId="77777777" w:rsidR="00680577" w:rsidRPr="00F021F1" w:rsidRDefault="00E66782" w:rsidP="00680577">
      <w:pPr>
        <w:pStyle w:val="EPBodyTA1"/>
      </w:pPr>
      <w:r w:rsidRPr="00F021F1">
        <w:t>ПРИЕТИ ТЕКСТОВЕ</w:t>
      </w:r>
    </w:p>
    <w:p w14:paraId="6B6D080C" w14:textId="77777777" w:rsidR="00D058B8" w:rsidRPr="00F021F1" w:rsidRDefault="00D058B8" w:rsidP="00D058B8">
      <w:pPr>
        <w:pStyle w:val="LineBottom"/>
      </w:pPr>
    </w:p>
    <w:p w14:paraId="50DAA92C" w14:textId="7520A1AC" w:rsidR="00E66782" w:rsidRPr="00F021F1" w:rsidRDefault="00E66782" w:rsidP="00E66782">
      <w:pPr>
        <w:pStyle w:val="ATHeading1"/>
      </w:pPr>
      <w:bookmarkStart w:id="0" w:name="TANumber"/>
      <w:r w:rsidRPr="00F021F1">
        <w:t>P10_TA(2025)0</w:t>
      </w:r>
      <w:r w:rsidR="00F021F1" w:rsidRPr="00F021F1">
        <w:t>296</w:t>
      </w:r>
      <w:bookmarkEnd w:id="0"/>
    </w:p>
    <w:p w14:paraId="6F98DDB7" w14:textId="77777777" w:rsidR="00E66782" w:rsidRPr="00F021F1" w:rsidRDefault="00E66782" w:rsidP="00E66782">
      <w:pPr>
        <w:pStyle w:val="ATHeading2"/>
      </w:pPr>
      <w:bookmarkStart w:id="1" w:name="title"/>
      <w:r w:rsidRPr="00F021F1">
        <w:t xml:space="preserve">Повишаване на ефективността на гаранцията на ЕС съгласно Регламента за </w:t>
      </w:r>
      <w:proofErr w:type="spellStart"/>
      <w:r w:rsidRPr="00F021F1">
        <w:t>InvestEU</w:t>
      </w:r>
      <w:proofErr w:type="spellEnd"/>
      <w:r w:rsidRPr="00F021F1">
        <w:t xml:space="preserve"> и опростяване на изискванията за докладване</w:t>
      </w:r>
      <w:bookmarkEnd w:id="1"/>
    </w:p>
    <w:p w14:paraId="567EA26D" w14:textId="77777777" w:rsidR="00E66782" w:rsidRPr="00F021F1" w:rsidRDefault="00E66782" w:rsidP="00E66782">
      <w:pPr>
        <w:rPr>
          <w:i/>
          <w:vanish/>
        </w:rPr>
      </w:pPr>
      <w:r w:rsidRPr="00F021F1">
        <w:rPr>
          <w:i/>
        </w:rPr>
        <w:fldChar w:fldCharType="begin"/>
      </w:r>
      <w:r w:rsidRPr="00F021F1">
        <w:rPr>
          <w:i/>
        </w:rPr>
        <w:instrText xml:space="preserve"> TC"(</w:instrText>
      </w:r>
      <w:bookmarkStart w:id="2" w:name="DocNumber"/>
      <w:r w:rsidRPr="00F021F1">
        <w:rPr>
          <w:i/>
        </w:rPr>
        <w:instrText>A10-0117/2025</w:instrText>
      </w:r>
      <w:bookmarkEnd w:id="2"/>
      <w:r w:rsidRPr="00F021F1">
        <w:rPr>
          <w:i/>
        </w:rPr>
        <w:instrText xml:space="preserve"> - Докладчици: Аура Сала, Ирене </w:instrText>
      </w:r>
      <w:proofErr w:type="spellStart"/>
      <w:r w:rsidRPr="00F021F1">
        <w:rPr>
          <w:i/>
        </w:rPr>
        <w:instrText>Тинали</w:instrText>
      </w:r>
      <w:proofErr w:type="spellEnd"/>
      <w:r w:rsidRPr="00F021F1">
        <w:rPr>
          <w:i/>
        </w:rPr>
        <w:instrText xml:space="preserve">)"\l3 \n&gt; \* MERGEFORMAT </w:instrText>
      </w:r>
      <w:r w:rsidRPr="00F021F1">
        <w:rPr>
          <w:i/>
        </w:rPr>
        <w:fldChar w:fldCharType="end"/>
      </w:r>
    </w:p>
    <w:p w14:paraId="532A0DA2" w14:textId="77777777" w:rsidR="00E66782" w:rsidRPr="00F021F1" w:rsidRDefault="00E66782" w:rsidP="00E66782">
      <w:pPr>
        <w:rPr>
          <w:vanish/>
        </w:rPr>
      </w:pPr>
      <w:bookmarkStart w:id="3" w:name="Commission"/>
      <w:r w:rsidRPr="00F021F1">
        <w:rPr>
          <w:vanish/>
        </w:rPr>
        <w:t>Комисия по бюджети, Комисия по икономически и парични въпроси</w:t>
      </w:r>
      <w:bookmarkEnd w:id="3"/>
    </w:p>
    <w:p w14:paraId="0F59D81F" w14:textId="77777777" w:rsidR="00E66782" w:rsidRPr="00F021F1" w:rsidRDefault="00E66782" w:rsidP="00E66782">
      <w:pPr>
        <w:rPr>
          <w:vanish/>
        </w:rPr>
      </w:pPr>
      <w:bookmarkStart w:id="4" w:name="PE"/>
      <w:r w:rsidRPr="00F021F1">
        <w:rPr>
          <w:vanish/>
        </w:rPr>
        <w:t>PE773.087</w:t>
      </w:r>
      <w:bookmarkEnd w:id="4"/>
    </w:p>
    <w:p w14:paraId="04C4CFB1" w14:textId="1E8F2767" w:rsidR="00E66782" w:rsidRPr="00F021F1" w:rsidRDefault="00E66782" w:rsidP="00E66782">
      <w:pPr>
        <w:pStyle w:val="ATHeading3"/>
      </w:pPr>
      <w:bookmarkStart w:id="5" w:name="Sujet"/>
      <w:r w:rsidRPr="00F021F1">
        <w:t xml:space="preserve">Законодателна резолюция на Европейския парламент от </w:t>
      </w:r>
      <w:r w:rsidR="00B81746" w:rsidRPr="00F021F1">
        <w:t>2</w:t>
      </w:r>
      <w:r w:rsidR="00D15531" w:rsidRPr="00F021F1">
        <w:t>6</w:t>
      </w:r>
      <w:r w:rsidR="00B81746" w:rsidRPr="00F021F1">
        <w:t xml:space="preserve"> ноември </w:t>
      </w:r>
      <w:r w:rsidRPr="00F021F1">
        <w:t>2025 г. относно предложението за регламент на Европейския парламент и на Съвета за изменение на регламенти (ЕС) 2015/1017,</w:t>
      </w:r>
      <w:r w:rsidR="00B81746" w:rsidRPr="00F021F1">
        <w:t xml:space="preserve"> </w:t>
      </w:r>
      <w:r w:rsidRPr="00F021F1">
        <w:t>(ЕС) 2021/523, (ЕС) 2021/695 и (ЕС)</w:t>
      </w:r>
      <w:r w:rsidR="00B81746" w:rsidRPr="00F021F1">
        <w:t> </w:t>
      </w:r>
      <w:r w:rsidRPr="00F021F1">
        <w:t>2021/1153 по отношение на повишаването на ефикасността на гаранцията от ЕС съгласно Регламент (ЕС) 2021/523 и на опростяването на изискванията за докладване</w:t>
      </w:r>
      <w:bookmarkEnd w:id="5"/>
      <w:r w:rsidRPr="00F021F1">
        <w:t xml:space="preserve"> </w:t>
      </w:r>
      <w:bookmarkStart w:id="6" w:name="References"/>
      <w:r w:rsidRPr="00F021F1">
        <w:t>(COM(2025)0084 – C10-0036/2025 – 2025/0040(COD))</w:t>
      </w:r>
      <w:bookmarkEnd w:id="6"/>
    </w:p>
    <w:p w14:paraId="1287FB69" w14:textId="77777777" w:rsidR="00253646" w:rsidRPr="00F021F1" w:rsidRDefault="00253646" w:rsidP="00253646">
      <w:pPr>
        <w:pStyle w:val="NormalBold"/>
        <w:widowControl/>
      </w:pPr>
      <w:bookmarkStart w:id="7" w:name="TextBodyBegin"/>
      <w:bookmarkEnd w:id="7"/>
      <w:r w:rsidRPr="00F021F1">
        <w:t>(Обикновена законодателна процедура: първо четене)</w:t>
      </w:r>
    </w:p>
    <w:p w14:paraId="05C4ABA9" w14:textId="77777777" w:rsidR="00253646" w:rsidRPr="00F021F1" w:rsidRDefault="00253646" w:rsidP="00253646">
      <w:pPr>
        <w:pStyle w:val="EPComma"/>
        <w:widowControl/>
      </w:pPr>
      <w:r w:rsidRPr="00F021F1">
        <w:rPr>
          <w:i/>
        </w:rPr>
        <w:t>Европейският парламент</w:t>
      </w:r>
      <w:r w:rsidRPr="00F021F1">
        <w:t>,</w:t>
      </w:r>
    </w:p>
    <w:p w14:paraId="64FA34EE" w14:textId="4A87630A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предложението на Комисията до Парламента и до Съвета (COM(2025)0084),</w:t>
      </w:r>
    </w:p>
    <w:p w14:paraId="6DCD73B0" w14:textId="4298D294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 xml:space="preserve">като взе предвид член 294, параграф 2, членове 172 и 173, член 175, параграф 3, член 182, параграф 1, </w:t>
      </w:r>
      <w:r w:rsidR="008E365D" w:rsidRPr="00F021F1">
        <w:t xml:space="preserve">член 183, </w:t>
      </w:r>
      <w:r w:rsidR="00253646" w:rsidRPr="00F021F1">
        <w:t xml:space="preserve">член 188, </w:t>
      </w:r>
      <w:r w:rsidR="008E365D" w:rsidRPr="00F021F1">
        <w:t>втора алинея</w:t>
      </w:r>
      <w:r w:rsidR="00253646" w:rsidRPr="00F021F1">
        <w:t xml:space="preserve"> и член 194 от Договора за функционирането на Европейския съюз, съгласно които Комисията е внесла предложението в Парламента (C10</w:t>
      </w:r>
      <w:r w:rsidR="00253646" w:rsidRPr="00F021F1">
        <w:noBreakHyphen/>
        <w:t>0036/2025),</w:t>
      </w:r>
    </w:p>
    <w:p w14:paraId="7DDC0FFC" w14:textId="6578C906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член 294, параграф 3 от Договора за функционирането на Европейския съюз,</w:t>
      </w:r>
    </w:p>
    <w:p w14:paraId="7E5E29DC" w14:textId="48CCE23B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становището на Европейския икономически и социален комитет от 29 април 2025 г.</w:t>
      </w:r>
      <w:r w:rsidR="00253646" w:rsidRPr="00F021F1">
        <w:rPr>
          <w:rStyle w:val="FootnoteReference"/>
        </w:rPr>
        <w:footnoteReference w:id="1"/>
      </w:r>
      <w:r w:rsidR="00253646" w:rsidRPr="00F021F1">
        <w:t>,</w:t>
      </w:r>
    </w:p>
    <w:p w14:paraId="7D78CBBD" w14:textId="32A89D1B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след консултация с Комитета на регионите,</w:t>
      </w:r>
    </w:p>
    <w:p w14:paraId="022093FE" w14:textId="0B23C4D4" w:rsidR="008E365D" w:rsidRPr="00F021F1" w:rsidRDefault="008E365D" w:rsidP="00253646">
      <w:pPr>
        <w:pStyle w:val="NormalHanging12a"/>
        <w:widowControl/>
      </w:pPr>
      <w:r w:rsidRPr="00F021F1">
        <w:t>–</w:t>
      </w:r>
      <w:r w:rsidRPr="00F021F1">
        <w:tab/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8 октомври 2025 г. ангажимент на представителя на Съвета за одобряване на </w:t>
      </w:r>
      <w:r w:rsidRPr="00F021F1">
        <w:lastRenderedPageBreak/>
        <w:t>позицията на Парламента в съответствие с член 294, параграф 4 от Договора за функционирането на Европейския съюз,</w:t>
      </w:r>
    </w:p>
    <w:p w14:paraId="1E2D0461" w14:textId="546E4C30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член 60 от своя Правилник за дейността,</w:t>
      </w:r>
    </w:p>
    <w:p w14:paraId="400DB450" w14:textId="5818DC11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съвместните разисквания на комисията по бюджети и комисията по икономически и парични въпроси съгласно член 59 от Правилника за дейността,</w:t>
      </w:r>
    </w:p>
    <w:p w14:paraId="68CB27F1" w14:textId="64A89EE1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становищата на комисията по промишленост, изследвания и енергетика и на комисията по транспорт и туризъм,</w:t>
      </w:r>
    </w:p>
    <w:p w14:paraId="54C8424F" w14:textId="4E8ED88E" w:rsidR="00253646" w:rsidRPr="00F021F1" w:rsidRDefault="00B81746" w:rsidP="00253646">
      <w:pPr>
        <w:pStyle w:val="NormalHanging12a"/>
        <w:widowControl/>
      </w:pPr>
      <w:r w:rsidRPr="00F021F1">
        <w:t>–</w:t>
      </w:r>
      <w:r w:rsidRPr="00F021F1">
        <w:tab/>
      </w:r>
      <w:r w:rsidR="00253646" w:rsidRPr="00F021F1">
        <w:t>като взе предвид доклада на комисията по бюджети и на комисията по икономически и парични въпроси (A10-0117/2025),</w:t>
      </w:r>
    </w:p>
    <w:p w14:paraId="21A4B0E9" w14:textId="77777777" w:rsidR="00253646" w:rsidRPr="00F021F1" w:rsidRDefault="00253646" w:rsidP="00253646">
      <w:pPr>
        <w:pStyle w:val="NormalHanging12a"/>
        <w:widowControl/>
      </w:pPr>
      <w:r w:rsidRPr="00F021F1">
        <w:t>1.</w:t>
      </w:r>
      <w:r w:rsidRPr="00F021F1">
        <w:tab/>
        <w:t>приема изложената по-долу позиция на първо четене;</w:t>
      </w:r>
    </w:p>
    <w:p w14:paraId="462396D0" w14:textId="0DEE754E" w:rsidR="00253646" w:rsidRPr="00F021F1" w:rsidRDefault="00253646" w:rsidP="00253646">
      <w:pPr>
        <w:pStyle w:val="NormalHanging12a"/>
        <w:widowControl/>
      </w:pPr>
      <w:r w:rsidRPr="00F021F1">
        <w:t>2.</w:t>
      </w:r>
      <w:r w:rsidRPr="00F021F1">
        <w:tab/>
        <w:t>приканва Комисията да се отнесе до него отново, в случай че замени своето предложение с друг текст</w:t>
      </w:r>
      <w:r w:rsidR="00B81746" w:rsidRPr="00F021F1">
        <w:t>,</w:t>
      </w:r>
      <w:r w:rsidRPr="00F021F1">
        <w:t xml:space="preserve"> внесе или възнамерява да внесе съществени промени в това предложение;</w:t>
      </w:r>
    </w:p>
    <w:p w14:paraId="5E5D7DEE" w14:textId="77777777" w:rsidR="00253646" w:rsidRPr="00F021F1" w:rsidRDefault="00253646" w:rsidP="00253646">
      <w:pPr>
        <w:pStyle w:val="NormalHanging12a"/>
        <w:widowControl/>
      </w:pPr>
      <w:r w:rsidRPr="00F021F1">
        <w:t>3.</w:t>
      </w:r>
      <w:r w:rsidRPr="00F021F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65CB5CC7" w14:textId="77777777" w:rsidR="00B81746" w:rsidRPr="00F021F1" w:rsidRDefault="00B81746" w:rsidP="00253646">
      <w:pPr>
        <w:widowControl/>
      </w:pPr>
    </w:p>
    <w:p w14:paraId="6A2B7CD0" w14:textId="77777777" w:rsidR="00B81746" w:rsidRPr="00F021F1" w:rsidRDefault="00B81746" w:rsidP="00253646">
      <w:pPr>
        <w:widowControl/>
        <w:sectPr w:rsidR="00B81746" w:rsidRPr="00F021F1" w:rsidSect="00B60C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7A7F2E6" w14:textId="77777777" w:rsidR="008E365D" w:rsidRPr="00F021F1" w:rsidRDefault="008E365D" w:rsidP="008E365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021F1">
        <w:rPr>
          <w:b/>
          <w:bCs/>
          <w:color w:val="000000"/>
        </w:rPr>
        <w:lastRenderedPageBreak/>
        <w:t>P10_TC1-COD(2025)0040</w:t>
      </w:r>
    </w:p>
    <w:p w14:paraId="43B50188" w14:textId="4AF5D86A" w:rsidR="00253646" w:rsidRPr="00F021F1" w:rsidRDefault="008E365D" w:rsidP="00253646">
      <w:pPr>
        <w:widowControl/>
        <w:rPr>
          <w:b/>
          <w:bCs/>
        </w:rPr>
      </w:pPr>
      <w:r w:rsidRPr="00F021F1">
        <w:rPr>
          <w:b/>
          <w:bCs/>
        </w:rPr>
        <w:t>Позиция на Европейския парламент, приета на първо четене на 2</w:t>
      </w:r>
      <w:r w:rsidR="00D15531" w:rsidRPr="00F021F1">
        <w:rPr>
          <w:b/>
          <w:bCs/>
        </w:rPr>
        <w:t>6</w:t>
      </w:r>
      <w:r w:rsidRPr="00F021F1">
        <w:rPr>
          <w:b/>
          <w:bCs/>
        </w:rPr>
        <w:t xml:space="preserve"> ноември 2025 г. с оглед на приемането на Регламент</w:t>
      </w:r>
      <w:r w:rsidR="006D527B">
        <w:rPr>
          <w:b/>
          <w:bCs/>
          <w:lang w:val="en-GB"/>
        </w:rPr>
        <w:t xml:space="preserve"> </w:t>
      </w:r>
      <w:r w:rsidRPr="00F021F1">
        <w:rPr>
          <w:b/>
          <w:bCs/>
        </w:rPr>
        <w:t>(ЕС) 2025/... на Европейския парламент и на Съвета за изменение на регламенти (ЕС) 2015/1017, (ЕС) 2021/523, (ЕС) 2021/695 и (ЕС) 2021/1153 по отношение на повишаването на ефикасността на гаранцията от ЕС съгласно Регламент (ЕС) 2021/523 и на опростяването на изискванията за докладване</w:t>
      </w:r>
    </w:p>
    <w:p w14:paraId="7D9B594D" w14:textId="4DCAE69D" w:rsidR="008755EE" w:rsidRPr="008755EE" w:rsidRDefault="008755EE" w:rsidP="008755EE">
      <w:pPr>
        <w:widowControl/>
        <w:spacing w:before="240"/>
        <w:rPr>
          <w:i/>
          <w:szCs w:val="24"/>
        </w:rPr>
      </w:pPr>
      <w:r w:rsidRPr="008755EE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акт, Регламент</w:t>
      </w:r>
      <w:r w:rsidRPr="008755EE">
        <w:rPr>
          <w:i/>
          <w:szCs w:val="24"/>
        </w:rPr>
        <w:t xml:space="preserve"> </w:t>
      </w:r>
      <w:r w:rsidRPr="008755EE">
        <w:rPr>
          <w:i/>
          <w:szCs w:val="24"/>
        </w:rPr>
        <w:t xml:space="preserve">(ЕС) </w:t>
      </w:r>
      <w:r w:rsidRPr="008755EE">
        <w:rPr>
          <w:i/>
          <w:szCs w:val="24"/>
          <w:lang w:val="fr-FR"/>
        </w:rPr>
        <w:t>202</w:t>
      </w:r>
      <w:r w:rsidRPr="008755EE">
        <w:rPr>
          <w:i/>
          <w:szCs w:val="24"/>
        </w:rPr>
        <w:t>5/</w:t>
      </w:r>
      <w:r w:rsidRPr="008755EE">
        <w:rPr>
          <w:i/>
          <w:szCs w:val="24"/>
        </w:rPr>
        <w:t>2005</w:t>
      </w:r>
      <w:r w:rsidRPr="008755EE">
        <w:rPr>
          <w:i/>
          <w:szCs w:val="24"/>
        </w:rPr>
        <w:t>.)</w:t>
      </w:r>
    </w:p>
    <w:p w14:paraId="02F72219" w14:textId="77777777" w:rsidR="008E365D" w:rsidRPr="00F021F1" w:rsidRDefault="008E365D" w:rsidP="00253646">
      <w:pPr>
        <w:pStyle w:val="AmNumberTabs"/>
        <w:keepNext/>
        <w:widowControl/>
      </w:pPr>
    </w:p>
    <w:sectPr w:rsidR="008E365D" w:rsidRPr="00F021F1" w:rsidSect="00B60C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C7B30" w14:textId="77777777" w:rsidR="00E66782" w:rsidRPr="00B60C16" w:rsidRDefault="00E66782">
      <w:r w:rsidRPr="00B60C16">
        <w:separator/>
      </w:r>
    </w:p>
  </w:endnote>
  <w:endnote w:type="continuationSeparator" w:id="0">
    <w:p w14:paraId="4341A917" w14:textId="77777777" w:rsidR="00E66782" w:rsidRPr="00B60C16" w:rsidRDefault="00E66782">
      <w:r w:rsidRPr="00B60C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BE39" w14:textId="77777777" w:rsidR="00064002" w:rsidRPr="00B60C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C5BC" w14:textId="77777777" w:rsidR="00064002" w:rsidRPr="00B60C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22E53" w14:textId="77777777" w:rsidR="00064002" w:rsidRPr="00B60C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51488" w14:textId="77777777" w:rsidR="00E66782" w:rsidRPr="00B60C16" w:rsidRDefault="00E66782">
      <w:r w:rsidRPr="00B60C16">
        <w:separator/>
      </w:r>
    </w:p>
  </w:footnote>
  <w:footnote w:type="continuationSeparator" w:id="0">
    <w:p w14:paraId="57FC5E51" w14:textId="77777777" w:rsidR="00E66782" w:rsidRPr="00B60C16" w:rsidRDefault="00E66782">
      <w:r w:rsidRPr="00B60C16">
        <w:continuationSeparator/>
      </w:r>
    </w:p>
  </w:footnote>
  <w:footnote w:id="1">
    <w:p w14:paraId="52D9AF74" w14:textId="5BD5D465" w:rsidR="00253646" w:rsidRPr="008E365D" w:rsidRDefault="00253646" w:rsidP="00B60C16">
      <w:pPr>
        <w:pStyle w:val="FootnoteText"/>
        <w:ind w:left="567" w:hanging="567"/>
        <w:rPr>
          <w:sz w:val="24"/>
          <w:lang w:val="bg-BG"/>
        </w:rPr>
      </w:pPr>
      <w:r w:rsidRPr="008E365D">
        <w:rPr>
          <w:rStyle w:val="FootnoteReference"/>
          <w:sz w:val="24"/>
          <w:lang w:val="bg-BG"/>
        </w:rPr>
        <w:footnoteRef/>
      </w:r>
      <w:r w:rsidR="00B60C16" w:rsidRPr="008E365D">
        <w:rPr>
          <w:sz w:val="24"/>
          <w:lang w:val="bg-BG"/>
        </w:rPr>
        <w:t xml:space="preserve"> </w:t>
      </w:r>
      <w:r w:rsidR="00B60C16" w:rsidRPr="008E365D">
        <w:rPr>
          <w:sz w:val="24"/>
          <w:lang w:val="bg-BG"/>
        </w:rPr>
        <w:tab/>
      </w:r>
      <w:r w:rsidR="008E365D" w:rsidRPr="008E365D">
        <w:rPr>
          <w:sz w:val="24"/>
          <w:lang w:val="bg-BG"/>
        </w:rPr>
        <w:t xml:space="preserve">ОВ C, C/2025/3199, 2.7.2025 г., ELI: </w:t>
      </w:r>
      <w:hyperlink r:id="rId1" w:history="1">
        <w:r w:rsidR="008E365D" w:rsidRPr="008E365D">
          <w:rPr>
            <w:rStyle w:val="Hyperlink"/>
            <w:sz w:val="24"/>
            <w:lang w:val="bg-BG"/>
          </w:rPr>
          <w:t>http://data.europa.eu/eli/C/2025/3199/oj</w:t>
        </w:r>
      </w:hyperlink>
      <w:r w:rsidRPr="008E365D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1E245" w14:textId="77777777" w:rsidR="00064002" w:rsidRPr="00B60C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09910" w14:textId="77777777" w:rsidR="00064002" w:rsidRPr="00B60C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0FE1E" w14:textId="77777777" w:rsidR="00064002" w:rsidRPr="00B60C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707076">
    <w:abstractNumId w:val="9"/>
  </w:num>
  <w:num w:numId="2" w16cid:durableId="929780299">
    <w:abstractNumId w:val="9"/>
  </w:num>
  <w:num w:numId="3" w16cid:durableId="1181507303">
    <w:abstractNumId w:val="7"/>
  </w:num>
  <w:num w:numId="4" w16cid:durableId="439185305">
    <w:abstractNumId w:val="7"/>
  </w:num>
  <w:num w:numId="5" w16cid:durableId="124585974">
    <w:abstractNumId w:val="6"/>
  </w:num>
  <w:num w:numId="6" w16cid:durableId="1920165447">
    <w:abstractNumId w:val="6"/>
  </w:num>
  <w:num w:numId="7" w16cid:durableId="1108889924">
    <w:abstractNumId w:val="5"/>
  </w:num>
  <w:num w:numId="8" w16cid:durableId="2118527326">
    <w:abstractNumId w:val="5"/>
  </w:num>
  <w:num w:numId="9" w16cid:durableId="1710102325">
    <w:abstractNumId w:val="4"/>
  </w:num>
  <w:num w:numId="10" w16cid:durableId="200632399">
    <w:abstractNumId w:val="4"/>
  </w:num>
  <w:num w:numId="11" w16cid:durableId="1463620937">
    <w:abstractNumId w:val="8"/>
  </w:num>
  <w:num w:numId="12" w16cid:durableId="1919175137">
    <w:abstractNumId w:val="8"/>
  </w:num>
  <w:num w:numId="13" w16cid:durableId="1160579545">
    <w:abstractNumId w:val="3"/>
  </w:num>
  <w:num w:numId="14" w16cid:durableId="401605943">
    <w:abstractNumId w:val="3"/>
  </w:num>
  <w:num w:numId="15" w16cid:durableId="560530569">
    <w:abstractNumId w:val="2"/>
  </w:num>
  <w:num w:numId="16" w16cid:durableId="193080269">
    <w:abstractNumId w:val="2"/>
  </w:num>
  <w:num w:numId="17" w16cid:durableId="808741026">
    <w:abstractNumId w:val="1"/>
  </w:num>
  <w:num w:numId="18" w16cid:durableId="559098164">
    <w:abstractNumId w:val="1"/>
  </w:num>
  <w:num w:numId="19" w16cid:durableId="1147042833">
    <w:abstractNumId w:val="0"/>
  </w:num>
  <w:num w:numId="20" w16cid:durableId="922379101">
    <w:abstractNumId w:val="0"/>
  </w:num>
  <w:num w:numId="21" w16cid:durableId="1039474226">
    <w:abstractNumId w:val="9"/>
  </w:num>
  <w:num w:numId="22" w16cid:durableId="1430539603">
    <w:abstractNumId w:val="7"/>
  </w:num>
  <w:num w:numId="23" w16cid:durableId="628626275">
    <w:abstractNumId w:val="6"/>
  </w:num>
  <w:num w:numId="24" w16cid:durableId="1551645909">
    <w:abstractNumId w:val="5"/>
  </w:num>
  <w:num w:numId="25" w16cid:durableId="1620644133">
    <w:abstractNumId w:val="4"/>
  </w:num>
  <w:num w:numId="26" w16cid:durableId="109471428">
    <w:abstractNumId w:val="8"/>
  </w:num>
  <w:num w:numId="27" w16cid:durableId="1560634001">
    <w:abstractNumId w:val="3"/>
  </w:num>
  <w:num w:numId="28" w16cid:durableId="806511567">
    <w:abstractNumId w:val="2"/>
  </w:num>
  <w:num w:numId="29" w16cid:durableId="617219261">
    <w:abstractNumId w:val="1"/>
  </w:num>
  <w:num w:numId="30" w16cid:durableId="327028334">
    <w:abstractNumId w:val="0"/>
  </w:num>
  <w:num w:numId="31" w16cid:durableId="107701474">
    <w:abstractNumId w:val="9"/>
  </w:num>
  <w:num w:numId="32" w16cid:durableId="613706347">
    <w:abstractNumId w:val="7"/>
  </w:num>
  <w:num w:numId="33" w16cid:durableId="389302734">
    <w:abstractNumId w:val="6"/>
  </w:num>
  <w:num w:numId="34" w16cid:durableId="602885048">
    <w:abstractNumId w:val="5"/>
  </w:num>
  <w:num w:numId="35" w16cid:durableId="915671920">
    <w:abstractNumId w:val="4"/>
  </w:num>
  <w:num w:numId="36" w16cid:durableId="1846555141">
    <w:abstractNumId w:val="8"/>
  </w:num>
  <w:num w:numId="37" w16cid:durableId="1118833515">
    <w:abstractNumId w:val="3"/>
  </w:num>
  <w:num w:numId="38" w16cid:durableId="879367887">
    <w:abstractNumId w:val="2"/>
  </w:num>
  <w:num w:numId="39" w16cid:durableId="288441869">
    <w:abstractNumId w:val="1"/>
  </w:num>
  <w:num w:numId="40" w16cid:durableId="997728476">
    <w:abstractNumId w:val="0"/>
  </w:num>
  <w:num w:numId="41" w16cid:durableId="1317101458">
    <w:abstractNumId w:val="10"/>
  </w:num>
  <w:num w:numId="42" w16cid:durableId="989166454">
    <w:abstractNumId w:val="10"/>
  </w:num>
  <w:num w:numId="43" w16cid:durableId="1437404971">
    <w:abstractNumId w:val="10"/>
  </w:num>
  <w:num w:numId="44" w16cid:durableId="10861965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BG"/>
    <w:docVar w:name="dvnumam" w:val="25"/>
    <w:docVar w:name="dvpe" w:val="773.087"/>
    <w:docVar w:name="dvrapporteur" w:val="Докладчици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и (ЕС) 2015/1017, (ЕС) 2021/523, (ЕС) 2021/695 и (ЕС) 2021/1153 по отношение на повишаването на ефикасността на гаранцията от ЕС съгласно Регламент (ЕС) 2021/523 и на опростяването на изискванията за докладване(COM(2025)0084 – C10-0036/2025 – 2025/0040(COD))"/>
  </w:docVars>
  <w:rsids>
    <w:rsidRoot w:val="00E66782"/>
    <w:rsid w:val="00002272"/>
    <w:rsid w:val="00064002"/>
    <w:rsid w:val="000677B9"/>
    <w:rsid w:val="000831BA"/>
    <w:rsid w:val="000A42CC"/>
    <w:rsid w:val="000D79DA"/>
    <w:rsid w:val="000E7DD9"/>
    <w:rsid w:val="0010095E"/>
    <w:rsid w:val="00125B37"/>
    <w:rsid w:val="00187494"/>
    <w:rsid w:val="001F32AE"/>
    <w:rsid w:val="00253646"/>
    <w:rsid w:val="002767FF"/>
    <w:rsid w:val="002B18FE"/>
    <w:rsid w:val="002B5493"/>
    <w:rsid w:val="003140BA"/>
    <w:rsid w:val="00343214"/>
    <w:rsid w:val="00361C00"/>
    <w:rsid w:val="00395FA1"/>
    <w:rsid w:val="003E15D4"/>
    <w:rsid w:val="00403B43"/>
    <w:rsid w:val="00411CCE"/>
    <w:rsid w:val="0041666E"/>
    <w:rsid w:val="00421060"/>
    <w:rsid w:val="00430D8D"/>
    <w:rsid w:val="00471C19"/>
    <w:rsid w:val="004867E3"/>
    <w:rsid w:val="00494A28"/>
    <w:rsid w:val="004A0F4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27B"/>
    <w:rsid w:val="006F74FA"/>
    <w:rsid w:val="00731ADD"/>
    <w:rsid w:val="00734777"/>
    <w:rsid w:val="00747932"/>
    <w:rsid w:val="00751A4A"/>
    <w:rsid w:val="00756632"/>
    <w:rsid w:val="0076252C"/>
    <w:rsid w:val="00762C74"/>
    <w:rsid w:val="00765A39"/>
    <w:rsid w:val="00786EC0"/>
    <w:rsid w:val="007D1690"/>
    <w:rsid w:val="007E22AD"/>
    <w:rsid w:val="007F5C4F"/>
    <w:rsid w:val="00817416"/>
    <w:rsid w:val="00842779"/>
    <w:rsid w:val="00865F67"/>
    <w:rsid w:val="008755EE"/>
    <w:rsid w:val="00881A7B"/>
    <w:rsid w:val="008840E5"/>
    <w:rsid w:val="00887B3E"/>
    <w:rsid w:val="008C2AC6"/>
    <w:rsid w:val="008E365D"/>
    <w:rsid w:val="00930C23"/>
    <w:rsid w:val="0093193B"/>
    <w:rsid w:val="009509D8"/>
    <w:rsid w:val="00950B64"/>
    <w:rsid w:val="00981893"/>
    <w:rsid w:val="00996127"/>
    <w:rsid w:val="00A1687D"/>
    <w:rsid w:val="00A429A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C16"/>
    <w:rsid w:val="00B8174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531"/>
    <w:rsid w:val="00D56C11"/>
    <w:rsid w:val="00D834A0"/>
    <w:rsid w:val="00D872DF"/>
    <w:rsid w:val="00D91E21"/>
    <w:rsid w:val="00DA7FCD"/>
    <w:rsid w:val="00E365E1"/>
    <w:rsid w:val="00E66782"/>
    <w:rsid w:val="00E820A4"/>
    <w:rsid w:val="00EB006A"/>
    <w:rsid w:val="00EB4772"/>
    <w:rsid w:val="00ED169E"/>
    <w:rsid w:val="00ED4235"/>
    <w:rsid w:val="00EE293E"/>
    <w:rsid w:val="00F021F1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FF13B"/>
  <w15:chartTrackingRefBased/>
  <w15:docId w15:val="{E7E5C78F-EFA5-4D6B-8818-BE450E59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364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253646"/>
    <w:rPr>
      <w:b/>
    </w:rPr>
  </w:style>
  <w:style w:type="paragraph" w:customStyle="1" w:styleId="NormalHanging12a">
    <w:name w:val="NormalHanging12a"/>
    <w:basedOn w:val="Normal"/>
    <w:rsid w:val="0025364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53646"/>
    <w:pPr>
      <w:spacing w:after="240"/>
      <w:jc w:val="center"/>
    </w:pPr>
  </w:style>
  <w:style w:type="paragraph" w:customStyle="1" w:styleId="AmNumberTabs">
    <w:name w:val="AmNumberTabs"/>
    <w:basedOn w:val="Normal"/>
    <w:rsid w:val="002536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53646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rsid w:val="00253646"/>
    <w:rPr>
      <w:b/>
      <w:sz w:val="24"/>
      <w:lang w:val="bg-BG"/>
    </w:rPr>
  </w:style>
  <w:style w:type="paragraph" w:styleId="Revision">
    <w:name w:val="Revision"/>
    <w:hidden/>
    <w:uiPriority w:val="99"/>
    <w:semiHidden/>
    <w:rsid w:val="00B81746"/>
    <w:rPr>
      <w:sz w:val="24"/>
      <w:lang w:val="bg-BG"/>
    </w:rPr>
  </w:style>
  <w:style w:type="character" w:styleId="Hyperlink">
    <w:name w:val="Hyperlink"/>
    <w:basedOn w:val="DefaultParagraphFont"/>
    <w:rsid w:val="008E36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65D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8E365D"/>
    <w:pPr>
      <w:keepLines/>
      <w:widowControl w:val="0"/>
      <w:spacing w:line="240" w:lineRule="exact"/>
      <w:ind w:left="850" w:hanging="850"/>
    </w:pPr>
    <w:rPr>
      <w:sz w:val="24"/>
      <w:lang w:eastAsia="en-US"/>
    </w:rPr>
  </w:style>
  <w:style w:type="character" w:customStyle="1" w:styleId="Hyperlink1">
    <w:name w:val="Hyperlink1"/>
    <w:basedOn w:val="DefaultParagraphFont"/>
    <w:uiPriority w:val="99"/>
    <w:rsid w:val="008E36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2778</Characters>
  <Application>Microsoft Office Word</Application>
  <DocSecurity>0</DocSecurity>
  <Lines>47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2026-02-09T16:49:00Z</dcterms:created>
  <dcterms:modified xsi:type="dcterms:W3CDTF">2026-02-09T16:49:00Z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