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630C" w14:paraId="5E3F93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4334D2" w14:textId="77777777" w:rsidR="00751A4A" w:rsidRPr="003D630C" w:rsidRDefault="00207A21" w:rsidP="0010095E">
            <w:pPr>
              <w:pStyle w:val="EPName"/>
            </w:pPr>
            <w:r w:rsidRPr="003D630C">
              <w:t>Evropský parlament</w:t>
            </w:r>
          </w:p>
          <w:p w14:paraId="754E5B4A" w14:textId="77777777" w:rsidR="00751A4A" w:rsidRPr="003D63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630C">
              <w:t>2024</w:t>
            </w:r>
            <w:r w:rsidR="00817416" w:rsidRPr="003D630C">
              <w:t>-202</w:t>
            </w:r>
            <w:r w:rsidRPr="003D630C">
              <w:t>9</w:t>
            </w:r>
          </w:p>
        </w:tc>
        <w:tc>
          <w:tcPr>
            <w:tcW w:w="2268" w:type="dxa"/>
            <w:shd w:val="clear" w:color="auto" w:fill="auto"/>
          </w:tcPr>
          <w:p w14:paraId="5A112183" w14:textId="77777777" w:rsidR="00751A4A" w:rsidRPr="003D630C" w:rsidRDefault="00187494" w:rsidP="0010095E">
            <w:pPr>
              <w:pStyle w:val="EPLogo"/>
            </w:pPr>
            <w:r w:rsidRPr="003D630C">
              <w:rPr>
                <w:noProof/>
                <w:lang w:eastAsia="ja-JP"/>
              </w:rPr>
              <w:drawing>
                <wp:inline distT="0" distB="0" distL="0" distR="0" wp14:anchorId="40AD606D" wp14:editId="56590F4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12368F" w14:textId="77777777" w:rsidR="00D058B8" w:rsidRPr="003D630C" w:rsidRDefault="00D058B8" w:rsidP="004C5D52">
      <w:pPr>
        <w:pStyle w:val="LineTop"/>
      </w:pPr>
    </w:p>
    <w:p w14:paraId="7DC3E170" w14:textId="77777777" w:rsidR="00680577" w:rsidRPr="003D630C" w:rsidRDefault="00207A21" w:rsidP="00680577">
      <w:pPr>
        <w:pStyle w:val="EPBodyTA1"/>
      </w:pPr>
      <w:r w:rsidRPr="003D630C">
        <w:t>PŘIJATÉ TEXTY</w:t>
      </w:r>
    </w:p>
    <w:p w14:paraId="5EAC8F8E" w14:textId="77777777" w:rsidR="00D058B8" w:rsidRPr="003D630C" w:rsidRDefault="00D058B8" w:rsidP="00D058B8">
      <w:pPr>
        <w:pStyle w:val="LineBottom"/>
      </w:pPr>
    </w:p>
    <w:p w14:paraId="1D0C1CD2" w14:textId="22FB6B09" w:rsidR="00207A21" w:rsidRPr="003D630C" w:rsidRDefault="00207A21" w:rsidP="00207A21">
      <w:pPr>
        <w:pStyle w:val="ATHeading1"/>
      </w:pPr>
      <w:bookmarkStart w:id="0" w:name="TANumber"/>
      <w:r w:rsidRPr="003D630C">
        <w:t>P10_</w:t>
      </w:r>
      <w:proofErr w:type="gramStart"/>
      <w:r w:rsidRPr="003D630C">
        <w:t>TA(</w:t>
      </w:r>
      <w:proofErr w:type="gramEnd"/>
      <w:r w:rsidRPr="003D630C">
        <w:t>2025)0</w:t>
      </w:r>
      <w:r w:rsidR="00242ACF">
        <w:t>296</w:t>
      </w:r>
      <w:bookmarkEnd w:id="0"/>
    </w:p>
    <w:p w14:paraId="74BA5CC8" w14:textId="77777777" w:rsidR="00207A21" w:rsidRPr="003D630C" w:rsidRDefault="00207A21" w:rsidP="00207A21">
      <w:pPr>
        <w:pStyle w:val="ATHeading2"/>
      </w:pPr>
      <w:bookmarkStart w:id="1" w:name="title"/>
      <w:r w:rsidRPr="003D630C">
        <w:t xml:space="preserve">Zvýšení účinnosti záruky EU podle nařízení o programu </w:t>
      </w:r>
      <w:proofErr w:type="spellStart"/>
      <w:r w:rsidRPr="003D630C">
        <w:t>InvestEU</w:t>
      </w:r>
      <w:proofErr w:type="spellEnd"/>
      <w:r w:rsidRPr="003D630C">
        <w:t xml:space="preserve"> a zjednodušení požadavků na podávání zpráv</w:t>
      </w:r>
      <w:bookmarkEnd w:id="1"/>
    </w:p>
    <w:p w14:paraId="2C866336" w14:textId="77777777" w:rsidR="00207A21" w:rsidRPr="003D630C" w:rsidRDefault="00207A21" w:rsidP="00207A21">
      <w:pPr>
        <w:rPr>
          <w:i/>
          <w:vanish/>
        </w:rPr>
      </w:pPr>
      <w:r w:rsidRPr="003D630C">
        <w:rPr>
          <w:i/>
        </w:rPr>
        <w:fldChar w:fldCharType="begin"/>
      </w:r>
      <w:r w:rsidRPr="003D630C">
        <w:rPr>
          <w:i/>
        </w:rPr>
        <w:instrText xml:space="preserve"> TC"(</w:instrText>
      </w:r>
      <w:bookmarkStart w:id="2" w:name="DocNumber"/>
      <w:r w:rsidRPr="003D630C">
        <w:rPr>
          <w:i/>
        </w:rPr>
        <w:instrText>A10-0117/2025</w:instrText>
      </w:r>
      <w:bookmarkEnd w:id="2"/>
      <w:r w:rsidRPr="003D630C">
        <w:rPr>
          <w:i/>
        </w:rPr>
        <w:instrText xml:space="preserve"> - Zpravodajky: Aura Salla, Irene Tinagli)"\l3 \n&gt; \* MERGEFORMAT </w:instrText>
      </w:r>
      <w:r w:rsidRPr="003D630C">
        <w:rPr>
          <w:i/>
        </w:rPr>
        <w:fldChar w:fldCharType="end"/>
      </w:r>
    </w:p>
    <w:p w14:paraId="3A98E084" w14:textId="643E1010" w:rsidR="00207A21" w:rsidRPr="003D630C" w:rsidRDefault="00207A21" w:rsidP="00207A21">
      <w:pPr>
        <w:rPr>
          <w:vanish/>
        </w:rPr>
      </w:pPr>
      <w:bookmarkStart w:id="3" w:name="Commission"/>
      <w:r w:rsidRPr="003D630C">
        <w:rPr>
          <w:vanish/>
        </w:rPr>
        <w:t>Rozpočtový výbor, Hospodářský a měnový výbor</w:t>
      </w:r>
      <w:bookmarkEnd w:id="3"/>
    </w:p>
    <w:p w14:paraId="15E9EFE3" w14:textId="77777777" w:rsidR="00207A21" w:rsidRPr="003D630C" w:rsidRDefault="00207A21" w:rsidP="00207A21">
      <w:pPr>
        <w:rPr>
          <w:vanish/>
        </w:rPr>
      </w:pPr>
      <w:bookmarkStart w:id="4" w:name="PE"/>
      <w:r w:rsidRPr="003D630C">
        <w:rPr>
          <w:vanish/>
        </w:rPr>
        <w:t>PE773.087</w:t>
      </w:r>
      <w:bookmarkEnd w:id="4"/>
    </w:p>
    <w:p w14:paraId="4AA49954" w14:textId="5E766C7D" w:rsidR="00207A21" w:rsidRPr="003D630C" w:rsidRDefault="00207A21" w:rsidP="00207A21">
      <w:pPr>
        <w:pStyle w:val="ATHeading3"/>
      </w:pPr>
      <w:bookmarkStart w:id="5" w:name="Sujet"/>
      <w:r w:rsidRPr="003D630C">
        <w:t>Legislativní usnesení Evropského parlamentu ze dne</w:t>
      </w:r>
      <w:r w:rsidR="00EA007A">
        <w:t xml:space="preserve"> </w:t>
      </w:r>
      <w:r w:rsidR="00E95FCC">
        <w:t>2</w:t>
      </w:r>
      <w:r w:rsidR="00612C67">
        <w:t>6</w:t>
      </w:r>
      <w:r w:rsidR="00EA007A">
        <w:t>. listopadu</w:t>
      </w:r>
      <w:r w:rsidRPr="003D630C">
        <w:t xml:space="preserve"> 2025 o návrhu nařízení Evropského parlamentu a Rady, kterým se mění nařízení (EU) 2015/1017, (EU) 2021/523, (EU) 2021/695 a (EU) 2021/1153, pokud jde o zvýšení účinnosti záruky EU podle nařízení (EU) 2021/523 a zjednodušení požadavků na podávání zpráv</w:t>
      </w:r>
      <w:bookmarkEnd w:id="5"/>
      <w:r w:rsidRPr="003D630C">
        <w:t xml:space="preserve"> </w:t>
      </w:r>
      <w:bookmarkStart w:id="6" w:name="References"/>
      <w:r w:rsidRPr="003D630C">
        <w:t>(</w:t>
      </w:r>
      <w:proofErr w:type="gramStart"/>
      <w:r w:rsidRPr="003D630C">
        <w:t>COM(</w:t>
      </w:r>
      <w:proofErr w:type="gramEnd"/>
      <w:r w:rsidRPr="003D630C">
        <w:t>2025)0084 – C10-0036/2025 – 2025/0040(COD))</w:t>
      </w:r>
      <w:bookmarkEnd w:id="6"/>
    </w:p>
    <w:p w14:paraId="279AF865" w14:textId="77777777" w:rsidR="00207A21" w:rsidRPr="003D630C" w:rsidRDefault="00207A21" w:rsidP="00207A21"/>
    <w:p w14:paraId="38871E4D" w14:textId="77777777" w:rsidR="00C767B0" w:rsidRPr="003D630C" w:rsidRDefault="00C767B0" w:rsidP="00C767B0">
      <w:pPr>
        <w:pStyle w:val="NormalBold"/>
      </w:pPr>
      <w:bookmarkStart w:id="7" w:name="TextBodyBegin"/>
      <w:bookmarkEnd w:id="7"/>
      <w:r w:rsidRPr="003D630C">
        <w:t>(Řádný legislativní postup: první čtení)</w:t>
      </w:r>
    </w:p>
    <w:p w14:paraId="32A248B0" w14:textId="77777777" w:rsidR="00C767B0" w:rsidRPr="003D630C" w:rsidRDefault="00C767B0" w:rsidP="00C767B0">
      <w:pPr>
        <w:pStyle w:val="EPComma"/>
      </w:pPr>
      <w:r w:rsidRPr="003D630C">
        <w:rPr>
          <w:i/>
        </w:rPr>
        <w:t>Evropský parlament</w:t>
      </w:r>
      <w:r w:rsidRPr="003D630C">
        <w:t>,</w:t>
      </w:r>
    </w:p>
    <w:p w14:paraId="16CB642D" w14:textId="77777777" w:rsidR="00C767B0" w:rsidRPr="003D630C" w:rsidRDefault="00C767B0" w:rsidP="00C767B0">
      <w:pPr>
        <w:pStyle w:val="NormalHanging12a"/>
      </w:pPr>
      <w:r w:rsidRPr="003D630C">
        <w:t>–</w:t>
      </w:r>
      <w:r w:rsidRPr="003D630C">
        <w:tab/>
        <w:t>s ohledem na návrh Komise předložený Evropskému parlamentu a Radě (</w:t>
      </w:r>
      <w:proofErr w:type="gramStart"/>
      <w:r w:rsidRPr="003D630C">
        <w:t>COM(</w:t>
      </w:r>
      <w:proofErr w:type="gramEnd"/>
      <w:r w:rsidRPr="003D630C">
        <w:t>2025)0084),</w:t>
      </w:r>
    </w:p>
    <w:p w14:paraId="13CEDCD4" w14:textId="46F6C726" w:rsidR="00C767B0" w:rsidRPr="003D630C" w:rsidRDefault="00C767B0" w:rsidP="00C767B0">
      <w:pPr>
        <w:pStyle w:val="NormalHanging12a"/>
      </w:pPr>
      <w:r w:rsidRPr="003D630C">
        <w:t>–</w:t>
      </w:r>
      <w:r w:rsidRPr="003D630C">
        <w:tab/>
        <w:t xml:space="preserve">ohledem na čl. 294 odst. 2 a články 172 a 173, čl. 175 třetí odstavec, čl. 182 odst. 1, </w:t>
      </w:r>
      <w:r w:rsidR="00356039">
        <w:t xml:space="preserve">článek 183, </w:t>
      </w:r>
      <w:r w:rsidRPr="003D630C">
        <w:t>čl. 188 druhý odstavec a člán</w:t>
      </w:r>
      <w:r w:rsidR="00356039">
        <w:t xml:space="preserve">ek </w:t>
      </w:r>
      <w:r w:rsidRPr="003D630C">
        <w:t>194 Smlouvy o fungování Evropské unie, v </w:t>
      </w:r>
      <w:proofErr w:type="gramStart"/>
      <w:r w:rsidRPr="003D630C">
        <w:t>souladu</w:t>
      </w:r>
      <w:proofErr w:type="gramEnd"/>
      <w:r w:rsidRPr="003D630C">
        <w:t xml:space="preserve"> </w:t>
      </w:r>
      <w:r w:rsidR="00EA007A">
        <w:t>se kterými</w:t>
      </w:r>
      <w:r w:rsidRPr="003D630C">
        <w:t xml:space="preserve"> Komise předložila svůj návrh Parlamentu (C10</w:t>
      </w:r>
      <w:r w:rsidRPr="003D630C">
        <w:noBreakHyphen/>
        <w:t>0036/2025),</w:t>
      </w:r>
    </w:p>
    <w:p w14:paraId="01FA79A0" w14:textId="77777777" w:rsidR="00C767B0" w:rsidRPr="003D630C" w:rsidRDefault="00C767B0" w:rsidP="00C767B0">
      <w:pPr>
        <w:pStyle w:val="NormalHanging12a"/>
      </w:pPr>
      <w:r w:rsidRPr="003D630C">
        <w:t>–</w:t>
      </w:r>
      <w:r w:rsidRPr="003D630C">
        <w:tab/>
        <w:t>s ohledem na čl. 294 odst. 3 Smlouvy o fungování Evropské unie,</w:t>
      </w:r>
    </w:p>
    <w:p w14:paraId="0118A2FB" w14:textId="77777777" w:rsidR="00C767B0" w:rsidRPr="003D630C" w:rsidRDefault="00C767B0" w:rsidP="00C767B0">
      <w:pPr>
        <w:pStyle w:val="NormalHanging12a"/>
      </w:pPr>
      <w:r w:rsidRPr="003D630C">
        <w:t>–</w:t>
      </w:r>
      <w:r w:rsidRPr="003D630C">
        <w:tab/>
        <w:t>s ohledem na stanovisko Evropského hospodářského a sociálního výboru ze dne 29. dubna 2025</w:t>
      </w:r>
      <w:r w:rsidRPr="003D630C">
        <w:rPr>
          <w:rStyle w:val="FootnoteReference"/>
        </w:rPr>
        <w:footnoteReference w:id="1"/>
      </w:r>
      <w:r w:rsidRPr="003D630C">
        <w:t>,</w:t>
      </w:r>
    </w:p>
    <w:p w14:paraId="29311EF9" w14:textId="77777777" w:rsidR="00C767B0" w:rsidRDefault="00C767B0" w:rsidP="00C767B0">
      <w:pPr>
        <w:pStyle w:val="NormalHanging12a"/>
      </w:pPr>
      <w:r w:rsidRPr="003D630C">
        <w:t>–</w:t>
      </w:r>
      <w:r w:rsidRPr="003D630C">
        <w:tab/>
        <w:t>po konzultaci s Výborem regionů,</w:t>
      </w:r>
    </w:p>
    <w:p w14:paraId="0210ECC4" w14:textId="181A1131" w:rsidR="00356039" w:rsidRPr="003D630C" w:rsidRDefault="00356039" w:rsidP="00C767B0">
      <w:pPr>
        <w:pStyle w:val="NormalHanging12a"/>
      </w:pPr>
      <w:r w:rsidRPr="003D630C">
        <w:t>–</w:t>
      </w:r>
      <w:r w:rsidRPr="003D630C">
        <w:tab/>
      </w:r>
      <w:r w:rsidRPr="00356039">
        <w:t xml:space="preserve">s ohledem na předběžnou dohodu přijatou příslušnými výbory podle čl. 75 odst. 4 jednacího řádu a s ohledem na to, že se zástupce Rady dopisem ze dne </w:t>
      </w:r>
      <w:r>
        <w:t>8</w:t>
      </w:r>
      <w:r w:rsidRPr="00356039">
        <w:t xml:space="preserve">. </w:t>
      </w:r>
      <w:r>
        <w:t xml:space="preserve">října </w:t>
      </w:r>
      <w:r w:rsidRPr="00356039">
        <w:t>202</w:t>
      </w:r>
      <w:r>
        <w:t>5</w:t>
      </w:r>
      <w:r w:rsidRPr="00356039">
        <w:t xml:space="preserve"> zavázal schválit postoj Parlamentu v souladu s čl. 294 odst. 4 Smlouvy o fungování Evropské unie</w:t>
      </w:r>
      <w:r>
        <w:t>,</w:t>
      </w:r>
    </w:p>
    <w:p w14:paraId="5C7E123D" w14:textId="77777777" w:rsidR="00C767B0" w:rsidRPr="003D630C" w:rsidDel="00173770" w:rsidRDefault="00C767B0" w:rsidP="00C767B0">
      <w:pPr>
        <w:pStyle w:val="NormalHanging12a"/>
      </w:pPr>
      <w:r w:rsidRPr="003D630C">
        <w:lastRenderedPageBreak/>
        <w:t>–</w:t>
      </w:r>
      <w:r w:rsidRPr="003D630C">
        <w:tab/>
        <w:t>s ohledem na článek 60 jednacího řádu,</w:t>
      </w:r>
    </w:p>
    <w:p w14:paraId="6B8E8869" w14:textId="77777777" w:rsidR="00C767B0" w:rsidRPr="003D630C" w:rsidRDefault="00C767B0" w:rsidP="00C767B0">
      <w:pPr>
        <w:pStyle w:val="NormalHanging12a"/>
      </w:pPr>
      <w:r w:rsidRPr="003D630C">
        <w:t>–</w:t>
      </w:r>
      <w:r w:rsidRPr="003D630C">
        <w:tab/>
        <w:t>s ohledem na společná jednání Rozpočtového výboru a Hospodářského a měnového výboru podle článku 59 jednacího řádu,</w:t>
      </w:r>
    </w:p>
    <w:p w14:paraId="561408FF" w14:textId="77777777" w:rsidR="00C767B0" w:rsidRPr="003D630C" w:rsidRDefault="00C767B0" w:rsidP="00C767B0">
      <w:pPr>
        <w:pStyle w:val="NormalHanging12a"/>
      </w:pPr>
      <w:r w:rsidRPr="003D630C">
        <w:t>–</w:t>
      </w:r>
      <w:r w:rsidRPr="003D630C">
        <w:tab/>
        <w:t>s ohledem na stanoviska Výboru pro průmysl, výzkum a energetiku a Výboru pro dopravu a cestovní ruch,</w:t>
      </w:r>
    </w:p>
    <w:p w14:paraId="59AA0B5B" w14:textId="77777777" w:rsidR="00C767B0" w:rsidRPr="003D630C" w:rsidRDefault="00C767B0" w:rsidP="00C767B0">
      <w:pPr>
        <w:pStyle w:val="NormalHanging12a"/>
      </w:pPr>
      <w:r w:rsidRPr="003D630C">
        <w:t>–</w:t>
      </w:r>
      <w:r w:rsidRPr="003D630C">
        <w:tab/>
        <w:t>s ohledem na zprávu Rozpočtového výboru a Hospodářského a měnového výboru (A10-0117/2025),</w:t>
      </w:r>
    </w:p>
    <w:p w14:paraId="6B829166" w14:textId="77777777" w:rsidR="00C767B0" w:rsidRPr="003D630C" w:rsidRDefault="00C767B0" w:rsidP="00C767B0">
      <w:pPr>
        <w:pStyle w:val="NormalHanging12a"/>
      </w:pPr>
      <w:r w:rsidRPr="003D630C">
        <w:t>1.</w:t>
      </w:r>
      <w:r w:rsidRPr="003D630C">
        <w:tab/>
        <w:t>přijímá níže uvedený postoj v prvním čtení;</w:t>
      </w:r>
    </w:p>
    <w:p w14:paraId="0B10F31D" w14:textId="77777777" w:rsidR="00C767B0" w:rsidRPr="003D630C" w:rsidRDefault="00C767B0" w:rsidP="00C767B0">
      <w:pPr>
        <w:pStyle w:val="NormalHanging12a"/>
      </w:pPr>
      <w:r w:rsidRPr="003D630C">
        <w:t>2.</w:t>
      </w:r>
      <w:r w:rsidRPr="003D630C">
        <w:tab/>
        <w:t>vyzývá Komisi, aby věc znovu postoupila Parlamentu, jestliže svůj návrh nahradí jiným textem, podstatně jej změní nebo má v úmyslu jej podstatně změnit;</w:t>
      </w:r>
    </w:p>
    <w:p w14:paraId="244B5928" w14:textId="66C9754E" w:rsidR="00C767B0" w:rsidRDefault="00C767B0" w:rsidP="00C767B0">
      <w:pPr>
        <w:pStyle w:val="NormalHanging12a"/>
      </w:pPr>
      <w:r w:rsidRPr="003D630C">
        <w:t>3.</w:t>
      </w:r>
      <w:r w:rsidRPr="003D630C">
        <w:tab/>
        <w:t>pověřuje svou předsedkyni, aby předala postoj Parlamentu Radě</w:t>
      </w:r>
      <w:r w:rsidR="00B75246">
        <w:t xml:space="preserve"> a</w:t>
      </w:r>
      <w:r w:rsidRPr="003D630C">
        <w:t xml:space="preserve"> Komisi</w:t>
      </w:r>
      <w:r w:rsidR="00B75246">
        <w:t>, jakož i</w:t>
      </w:r>
      <w:r w:rsidRPr="003D630C">
        <w:t xml:space="preserve"> parlamentům členských států.</w:t>
      </w:r>
    </w:p>
    <w:p w14:paraId="17499C96" w14:textId="77777777" w:rsidR="00E95FCC" w:rsidRDefault="00E95FCC" w:rsidP="00C767B0">
      <w:pPr>
        <w:pStyle w:val="NormalHanging12a"/>
        <w:sectPr w:rsidR="00E95FCC" w:rsidSect="003D630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5C8045" w14:textId="77777777" w:rsidR="00356039" w:rsidRDefault="00356039" w:rsidP="0035603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8" w:name="_Hlk211261623"/>
      <w:r w:rsidRPr="00586FAD">
        <w:rPr>
          <w:b/>
          <w:bCs/>
          <w:color w:val="000000"/>
        </w:rPr>
        <w:lastRenderedPageBreak/>
        <w:t>P10_TC1-</w:t>
      </w:r>
      <w:proofErr w:type="gramStart"/>
      <w:r w:rsidRPr="00586FAD">
        <w:rPr>
          <w:b/>
          <w:bCs/>
          <w:color w:val="000000"/>
        </w:rPr>
        <w:t>COD(</w:t>
      </w:r>
      <w:proofErr w:type="gramEnd"/>
      <w:r w:rsidRPr="00586FAD">
        <w:rPr>
          <w:b/>
          <w:bCs/>
          <w:color w:val="000000"/>
        </w:rPr>
        <w:t>2025)0040</w:t>
      </w:r>
    </w:p>
    <w:p w14:paraId="34270837" w14:textId="7E3965EC" w:rsidR="00356039" w:rsidRDefault="00356039" w:rsidP="00A553DB">
      <w:pPr>
        <w:autoSpaceDE w:val="0"/>
        <w:autoSpaceDN w:val="0"/>
        <w:adjustRightInd w:val="0"/>
        <w:spacing w:after="240"/>
        <w:rPr>
          <w:b/>
          <w:bCs/>
        </w:rPr>
      </w:pPr>
      <w:r>
        <w:rPr>
          <w:b/>
          <w:bCs/>
          <w:color w:val="000000"/>
        </w:rPr>
        <w:t>Postoj Evropského parlamentu přijatý v prvním čtení dne 2</w:t>
      </w:r>
      <w:r w:rsidR="00612C67">
        <w:rPr>
          <w:b/>
          <w:bCs/>
          <w:color w:val="000000"/>
        </w:rPr>
        <w:t>6</w:t>
      </w:r>
      <w:r>
        <w:rPr>
          <w:b/>
          <w:bCs/>
          <w:color w:val="000000"/>
        </w:rPr>
        <w:t xml:space="preserve">. listopadu 2025 k přijetí nařízení Evropského parlamentu a Rady (EU) 2025/..., </w:t>
      </w:r>
      <w:r w:rsidRPr="00A553DB">
        <w:rPr>
          <w:b/>
          <w:bCs/>
        </w:rPr>
        <w:t>kterým se mění nařízení (EU) 2015/1017, (EU) 2021/523, (EU) 2021/695 a (EU) 2021/1153, pokud jde o zvýšení účinnosti záruky EU podle nařízení (EU) 2021/523 a zjednodušení požadavků na podávání zpráv</w:t>
      </w:r>
    </w:p>
    <w:p w14:paraId="18C06F35" w14:textId="03D80DE0" w:rsidR="0061093C" w:rsidRDefault="0061093C" w:rsidP="0061093C">
      <w:pPr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2005</w:t>
      </w:r>
      <w:r>
        <w:rPr>
          <w:i/>
        </w:rPr>
        <w:t>.)</w:t>
      </w:r>
    </w:p>
    <w:p w14:paraId="04789AB8" w14:textId="77777777" w:rsidR="0061093C" w:rsidRPr="00A553DB" w:rsidRDefault="0061093C" w:rsidP="00A553DB">
      <w:pPr>
        <w:autoSpaceDE w:val="0"/>
        <w:autoSpaceDN w:val="0"/>
        <w:adjustRightInd w:val="0"/>
        <w:spacing w:after="240"/>
        <w:rPr>
          <w:bCs/>
          <w:color w:val="000000"/>
        </w:rPr>
      </w:pPr>
    </w:p>
    <w:bookmarkEnd w:id="8"/>
    <w:sectPr w:rsidR="0061093C" w:rsidRPr="00A553DB" w:rsidSect="00356039">
      <w:footerReference w:type="even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709E0" w14:textId="77777777" w:rsidR="00207A21" w:rsidRPr="003D630C" w:rsidRDefault="00207A21">
      <w:r w:rsidRPr="003D630C">
        <w:separator/>
      </w:r>
    </w:p>
  </w:endnote>
  <w:endnote w:type="continuationSeparator" w:id="0">
    <w:p w14:paraId="1E4A2E45" w14:textId="77777777" w:rsidR="00207A21" w:rsidRPr="003D630C" w:rsidRDefault="00207A21">
      <w:r w:rsidRPr="003D63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8984" w14:textId="77777777" w:rsidR="00064002" w:rsidRPr="003D63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672BC" w14:textId="77777777" w:rsidR="00064002" w:rsidRPr="003D63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EBF61" w14:textId="77777777" w:rsidR="00064002" w:rsidRPr="003D630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D221" w14:textId="77777777" w:rsidR="00356039" w:rsidRPr="0049271B" w:rsidRDefault="00356039">
    <w:pPr>
      <w:pStyle w:val="Footer1"/>
    </w:pPr>
    <w:r w:rsidRPr="0049271B">
      <w:rPr>
        <w:rStyle w:val="Footer2"/>
      </w:rPr>
      <w:t>CS</w:t>
    </w:r>
    <w:r w:rsidRPr="0049271B">
      <w:tab/>
    </w:r>
    <w:r w:rsidRPr="0049271B">
      <w:fldChar w:fldCharType="begin"/>
    </w:r>
    <w:r w:rsidRPr="0049271B">
      <w:instrText xml:space="preserve"> PAGE </w:instrText>
    </w:r>
    <w:r w:rsidRPr="0049271B">
      <w:fldChar w:fldCharType="separate"/>
    </w:r>
    <w:r w:rsidRPr="0049271B">
      <w:t>1</w:t>
    </w:r>
    <w:r w:rsidRPr="0049271B">
      <w:fldChar w:fldCharType="end"/>
    </w:r>
    <w:r w:rsidRPr="0049271B">
      <w:tab/>
    </w:r>
    <w:r w:rsidRPr="0049271B">
      <w:rPr>
        <w:rStyle w:val="Footer2"/>
      </w:rPr>
      <w:t>CS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92629" w14:textId="77777777" w:rsidR="00356039" w:rsidRPr="0049271B" w:rsidRDefault="00356039">
    <w:pPr>
      <w:pStyle w:val="Footer1"/>
    </w:pPr>
    <w:r w:rsidRPr="0049271B">
      <w:rPr>
        <w:rStyle w:val="Footer2"/>
      </w:rPr>
      <w:t>CS</w:t>
    </w:r>
    <w:r w:rsidRPr="0049271B">
      <w:tab/>
    </w:r>
    <w:r w:rsidRPr="0049271B">
      <w:fldChar w:fldCharType="begin"/>
    </w:r>
    <w:r w:rsidRPr="0049271B">
      <w:instrText xml:space="preserve"> PAGE </w:instrText>
    </w:r>
    <w:r w:rsidRPr="0049271B">
      <w:fldChar w:fldCharType="separate"/>
    </w:r>
    <w:r w:rsidRPr="0049271B">
      <w:t>1</w:t>
    </w:r>
    <w:r w:rsidRPr="0049271B">
      <w:fldChar w:fldCharType="end"/>
    </w:r>
    <w:r w:rsidRPr="0049271B">
      <w:tab/>
    </w:r>
    <w:r w:rsidRPr="0049271B">
      <w:rPr>
        <w:rStyle w:val="Footer2"/>
      </w:rPr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A8808" w14:textId="77777777" w:rsidR="00207A21" w:rsidRPr="003D630C" w:rsidRDefault="00207A21">
      <w:r w:rsidRPr="003D630C">
        <w:separator/>
      </w:r>
    </w:p>
  </w:footnote>
  <w:footnote w:type="continuationSeparator" w:id="0">
    <w:p w14:paraId="0CFE4A67" w14:textId="77777777" w:rsidR="00207A21" w:rsidRPr="003D630C" w:rsidRDefault="00207A21">
      <w:r w:rsidRPr="003D630C">
        <w:continuationSeparator/>
      </w:r>
    </w:p>
  </w:footnote>
  <w:footnote w:id="1">
    <w:p w14:paraId="3F2054AE" w14:textId="3DDBF862" w:rsidR="00C767B0" w:rsidRPr="00356039" w:rsidRDefault="00C767B0" w:rsidP="003D630C">
      <w:pPr>
        <w:pStyle w:val="FootnoteText"/>
        <w:ind w:left="567" w:hanging="567"/>
        <w:rPr>
          <w:sz w:val="24"/>
          <w:szCs w:val="24"/>
          <w:lang w:val="cs-CZ"/>
        </w:rPr>
      </w:pPr>
      <w:r w:rsidRPr="00356039">
        <w:rPr>
          <w:rStyle w:val="FootnoteReference"/>
          <w:sz w:val="24"/>
          <w:szCs w:val="24"/>
          <w:lang w:val="cs-CZ"/>
        </w:rPr>
        <w:footnoteRef/>
      </w:r>
      <w:r w:rsidR="003D630C" w:rsidRPr="00356039">
        <w:rPr>
          <w:sz w:val="24"/>
          <w:szCs w:val="24"/>
          <w:lang w:val="cs-CZ"/>
        </w:rPr>
        <w:t xml:space="preserve"> </w:t>
      </w:r>
      <w:r w:rsidR="003D630C" w:rsidRPr="00356039">
        <w:rPr>
          <w:sz w:val="24"/>
          <w:szCs w:val="24"/>
          <w:lang w:val="cs-CZ"/>
        </w:rPr>
        <w:tab/>
      </w:r>
      <w:proofErr w:type="spellStart"/>
      <w:r w:rsidR="00356039" w:rsidRPr="00A553DB">
        <w:rPr>
          <w:sz w:val="24"/>
          <w:szCs w:val="24"/>
          <w:lang w:val="cs-CZ"/>
        </w:rPr>
        <w:t>Úř</w:t>
      </w:r>
      <w:proofErr w:type="spellEnd"/>
      <w:r w:rsidR="00356039" w:rsidRPr="00A553DB">
        <w:rPr>
          <w:sz w:val="24"/>
          <w:szCs w:val="24"/>
          <w:lang w:val="cs-CZ"/>
        </w:rPr>
        <w:t xml:space="preserve">. </w:t>
      </w:r>
      <w:proofErr w:type="spellStart"/>
      <w:r w:rsidR="00356039" w:rsidRPr="00A553DB">
        <w:rPr>
          <w:sz w:val="24"/>
          <w:szCs w:val="24"/>
          <w:lang w:val="cs-CZ"/>
        </w:rPr>
        <w:t>věst</w:t>
      </w:r>
      <w:proofErr w:type="spellEnd"/>
      <w:r w:rsidR="00356039" w:rsidRPr="00A553DB">
        <w:rPr>
          <w:sz w:val="24"/>
          <w:szCs w:val="24"/>
          <w:lang w:val="cs-CZ"/>
        </w:rPr>
        <w:t>.</w:t>
      </w:r>
      <w:r w:rsidR="00356039" w:rsidRPr="00A553DB">
        <w:rPr>
          <w:sz w:val="24"/>
          <w:szCs w:val="24"/>
          <w:lang w:val="fi-FI"/>
        </w:rPr>
        <w:t xml:space="preserve"> C, C/2025/3199, 2.7.2025, ELI: </w:t>
      </w:r>
      <w:hyperlink r:id="rId1" w:history="1">
        <w:r w:rsidR="00356039" w:rsidRPr="00A553DB">
          <w:rPr>
            <w:rStyle w:val="Hyperlink"/>
            <w:sz w:val="24"/>
            <w:szCs w:val="24"/>
            <w:lang w:val="fi-FI"/>
          </w:rPr>
          <w:t>http://data.europa.eu/eli/C/2025/3199/oj</w:t>
        </w:r>
      </w:hyperlink>
      <w:r w:rsidRPr="00356039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E1DA2" w14:textId="77777777" w:rsidR="00064002" w:rsidRPr="003D63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C43B3" w14:textId="77777777" w:rsidR="00064002" w:rsidRPr="003D63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B97EC" w14:textId="77777777" w:rsidR="00064002" w:rsidRPr="003D63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1F4655B"/>
    <w:multiLevelType w:val="hybridMultilevel"/>
    <w:tmpl w:val="9550B8FE"/>
    <w:lvl w:ilvl="0" w:tplc="CA42CCAC"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AD262F0"/>
    <w:multiLevelType w:val="hybridMultilevel"/>
    <w:tmpl w:val="30D0EE54"/>
    <w:lvl w:ilvl="0" w:tplc="3D66BAFE">
      <w:start w:val="4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66D54D76"/>
    <w:multiLevelType w:val="hybridMultilevel"/>
    <w:tmpl w:val="49CEBF06"/>
    <w:lvl w:ilvl="0" w:tplc="7C9C0474">
      <w:start w:val="5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264071317">
    <w:abstractNumId w:val="9"/>
  </w:num>
  <w:num w:numId="2" w16cid:durableId="1917009319">
    <w:abstractNumId w:val="9"/>
  </w:num>
  <w:num w:numId="3" w16cid:durableId="749735506">
    <w:abstractNumId w:val="7"/>
  </w:num>
  <w:num w:numId="4" w16cid:durableId="768231408">
    <w:abstractNumId w:val="7"/>
  </w:num>
  <w:num w:numId="5" w16cid:durableId="1142889988">
    <w:abstractNumId w:val="6"/>
  </w:num>
  <w:num w:numId="6" w16cid:durableId="1301838700">
    <w:abstractNumId w:val="6"/>
  </w:num>
  <w:num w:numId="7" w16cid:durableId="56512037">
    <w:abstractNumId w:val="5"/>
  </w:num>
  <w:num w:numId="8" w16cid:durableId="47414768">
    <w:abstractNumId w:val="5"/>
  </w:num>
  <w:num w:numId="9" w16cid:durableId="1440374202">
    <w:abstractNumId w:val="4"/>
  </w:num>
  <w:num w:numId="10" w16cid:durableId="617493266">
    <w:abstractNumId w:val="4"/>
  </w:num>
  <w:num w:numId="11" w16cid:durableId="604118674">
    <w:abstractNumId w:val="8"/>
  </w:num>
  <w:num w:numId="12" w16cid:durableId="1800145111">
    <w:abstractNumId w:val="8"/>
  </w:num>
  <w:num w:numId="13" w16cid:durableId="2098599556">
    <w:abstractNumId w:val="3"/>
  </w:num>
  <w:num w:numId="14" w16cid:durableId="230964682">
    <w:abstractNumId w:val="3"/>
  </w:num>
  <w:num w:numId="15" w16cid:durableId="311256066">
    <w:abstractNumId w:val="2"/>
  </w:num>
  <w:num w:numId="16" w16cid:durableId="1107503136">
    <w:abstractNumId w:val="2"/>
  </w:num>
  <w:num w:numId="17" w16cid:durableId="1011419569">
    <w:abstractNumId w:val="1"/>
  </w:num>
  <w:num w:numId="18" w16cid:durableId="370425702">
    <w:abstractNumId w:val="1"/>
  </w:num>
  <w:num w:numId="19" w16cid:durableId="242641201">
    <w:abstractNumId w:val="0"/>
  </w:num>
  <w:num w:numId="20" w16cid:durableId="1334144514">
    <w:abstractNumId w:val="0"/>
  </w:num>
  <w:num w:numId="21" w16cid:durableId="1714423379">
    <w:abstractNumId w:val="9"/>
  </w:num>
  <w:num w:numId="22" w16cid:durableId="835850779">
    <w:abstractNumId w:val="7"/>
  </w:num>
  <w:num w:numId="23" w16cid:durableId="1567372026">
    <w:abstractNumId w:val="6"/>
  </w:num>
  <w:num w:numId="24" w16cid:durableId="1298994531">
    <w:abstractNumId w:val="5"/>
  </w:num>
  <w:num w:numId="25" w16cid:durableId="556358069">
    <w:abstractNumId w:val="4"/>
  </w:num>
  <w:num w:numId="26" w16cid:durableId="114833721">
    <w:abstractNumId w:val="8"/>
  </w:num>
  <w:num w:numId="27" w16cid:durableId="1126391474">
    <w:abstractNumId w:val="3"/>
  </w:num>
  <w:num w:numId="28" w16cid:durableId="2057001085">
    <w:abstractNumId w:val="2"/>
  </w:num>
  <w:num w:numId="29" w16cid:durableId="1727560338">
    <w:abstractNumId w:val="1"/>
  </w:num>
  <w:num w:numId="30" w16cid:durableId="2003855128">
    <w:abstractNumId w:val="0"/>
  </w:num>
  <w:num w:numId="31" w16cid:durableId="1487428492">
    <w:abstractNumId w:val="9"/>
  </w:num>
  <w:num w:numId="32" w16cid:durableId="1258246227">
    <w:abstractNumId w:val="7"/>
  </w:num>
  <w:num w:numId="33" w16cid:durableId="787285328">
    <w:abstractNumId w:val="6"/>
  </w:num>
  <w:num w:numId="34" w16cid:durableId="2021736684">
    <w:abstractNumId w:val="5"/>
  </w:num>
  <w:num w:numId="35" w16cid:durableId="1564020996">
    <w:abstractNumId w:val="4"/>
  </w:num>
  <w:num w:numId="36" w16cid:durableId="1779763011">
    <w:abstractNumId w:val="8"/>
  </w:num>
  <w:num w:numId="37" w16cid:durableId="992370432">
    <w:abstractNumId w:val="3"/>
  </w:num>
  <w:num w:numId="38" w16cid:durableId="1443913402">
    <w:abstractNumId w:val="2"/>
  </w:num>
  <w:num w:numId="39" w16cid:durableId="754129290">
    <w:abstractNumId w:val="1"/>
  </w:num>
  <w:num w:numId="40" w16cid:durableId="1421439683">
    <w:abstractNumId w:val="0"/>
  </w:num>
  <w:num w:numId="41" w16cid:durableId="1736049529">
    <w:abstractNumId w:val="10"/>
  </w:num>
  <w:num w:numId="42" w16cid:durableId="1649476566">
    <w:abstractNumId w:val="10"/>
  </w:num>
  <w:num w:numId="43" w16cid:durableId="671951252">
    <w:abstractNumId w:val="10"/>
  </w:num>
  <w:num w:numId="44" w16cid:durableId="1014192581">
    <w:abstractNumId w:val="12"/>
  </w:num>
  <w:num w:numId="45" w16cid:durableId="1368483241">
    <w:abstractNumId w:val="14"/>
  </w:num>
  <w:num w:numId="46" w16cid:durableId="1363824393">
    <w:abstractNumId w:val="11"/>
  </w:num>
  <w:num w:numId="47" w16cid:durableId="19136570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CS"/>
    <w:docVar w:name="dvnumam" w:val="0"/>
    <w:docVar w:name="dvpe" w:val="773.087"/>
    <w:docVar w:name="dvrapporteur" w:val="Zpravodajky: "/>
    <w:docVar w:name="dvstar" w:val="***I"/>
    <w:docVar w:name="dvtitre" w:val="Legislativní usnesení Evropského parlamentu ze dne.... 2025 o návrhu nařízení Evropského parlamentu a Rady, kterým se mění nařízení (EU) 2015/1017, (EU) 2021/523, (EU) 2021/695 a (EU) 2021/1153, pokud jde o zvýšení účinnosti záruky EU podle nařízení (EU) 2021/523 a zjednodušení požadavků na podávání zpráv(COM(2025)0084 – C10-0036/2025 – 2025/0040(COD))"/>
  </w:docVars>
  <w:rsids>
    <w:rsidRoot w:val="00207A21"/>
    <w:rsid w:val="00002272"/>
    <w:rsid w:val="00064002"/>
    <w:rsid w:val="000677B9"/>
    <w:rsid w:val="000831BA"/>
    <w:rsid w:val="000A42CC"/>
    <w:rsid w:val="000C1857"/>
    <w:rsid w:val="000E7DD9"/>
    <w:rsid w:val="0010095E"/>
    <w:rsid w:val="00125B37"/>
    <w:rsid w:val="00187494"/>
    <w:rsid w:val="001F32AE"/>
    <w:rsid w:val="00207A21"/>
    <w:rsid w:val="00242ACF"/>
    <w:rsid w:val="002767FF"/>
    <w:rsid w:val="002B18FE"/>
    <w:rsid w:val="002B5493"/>
    <w:rsid w:val="003314EC"/>
    <w:rsid w:val="00343214"/>
    <w:rsid w:val="00356039"/>
    <w:rsid w:val="00361C00"/>
    <w:rsid w:val="00395FA1"/>
    <w:rsid w:val="003D630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DD5"/>
    <w:rsid w:val="00545827"/>
    <w:rsid w:val="00560270"/>
    <w:rsid w:val="005C2568"/>
    <w:rsid w:val="005F1B17"/>
    <w:rsid w:val="006037C0"/>
    <w:rsid w:val="0061093C"/>
    <w:rsid w:val="00612C67"/>
    <w:rsid w:val="006631B6"/>
    <w:rsid w:val="00680577"/>
    <w:rsid w:val="006C6D8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8F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3DB"/>
    <w:rsid w:val="00A778C7"/>
    <w:rsid w:val="00AB441E"/>
    <w:rsid w:val="00AB6293"/>
    <w:rsid w:val="00AE0928"/>
    <w:rsid w:val="00AF3B82"/>
    <w:rsid w:val="00B12E95"/>
    <w:rsid w:val="00B22876"/>
    <w:rsid w:val="00B558F0"/>
    <w:rsid w:val="00B75246"/>
    <w:rsid w:val="00BD48FE"/>
    <w:rsid w:val="00BD7BD8"/>
    <w:rsid w:val="00BE6ADC"/>
    <w:rsid w:val="00C05BFE"/>
    <w:rsid w:val="00C23CD4"/>
    <w:rsid w:val="00C61C0C"/>
    <w:rsid w:val="00C67F42"/>
    <w:rsid w:val="00C767B0"/>
    <w:rsid w:val="00C77684"/>
    <w:rsid w:val="00C941CB"/>
    <w:rsid w:val="00CC2357"/>
    <w:rsid w:val="00CF071A"/>
    <w:rsid w:val="00D058B8"/>
    <w:rsid w:val="00D56C11"/>
    <w:rsid w:val="00D73FCF"/>
    <w:rsid w:val="00D834A0"/>
    <w:rsid w:val="00D872DF"/>
    <w:rsid w:val="00D91E21"/>
    <w:rsid w:val="00DA7FCD"/>
    <w:rsid w:val="00E26F89"/>
    <w:rsid w:val="00E3343C"/>
    <w:rsid w:val="00E365E1"/>
    <w:rsid w:val="00E820A4"/>
    <w:rsid w:val="00E95FCC"/>
    <w:rsid w:val="00EA007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A733B"/>
  <w15:chartTrackingRefBased/>
  <w15:docId w15:val="{A5D2A34A-9D63-4823-A1E9-67AD3DC0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767B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C767B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C767B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C767B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767B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767B0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C767B0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C767B0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C767B0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C767B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767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767B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767B0"/>
    <w:pPr>
      <w:spacing w:after="120"/>
    </w:pPr>
  </w:style>
  <w:style w:type="paragraph" w:customStyle="1" w:styleId="PageHeading">
    <w:name w:val="PageHeading"/>
    <w:basedOn w:val="Normal"/>
    <w:rsid w:val="00C767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767B0"/>
    <w:rPr>
      <w:b/>
    </w:rPr>
  </w:style>
  <w:style w:type="paragraph" w:customStyle="1" w:styleId="NormalBold12a">
    <w:name w:val="NormalBold12a"/>
    <w:basedOn w:val="Normal"/>
    <w:rsid w:val="00C767B0"/>
    <w:pPr>
      <w:spacing w:after="240"/>
    </w:pPr>
    <w:rPr>
      <w:b/>
    </w:rPr>
  </w:style>
  <w:style w:type="paragraph" w:customStyle="1" w:styleId="AmJustText">
    <w:name w:val="AmJustText"/>
    <w:basedOn w:val="Normal"/>
    <w:rsid w:val="00C767B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767B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767B0"/>
    <w:pPr>
      <w:spacing w:after="480"/>
      <w:ind w:left="1417"/>
    </w:pPr>
  </w:style>
  <w:style w:type="paragraph" w:customStyle="1" w:styleId="CoverNormal">
    <w:name w:val="CoverNormal"/>
    <w:basedOn w:val="Normal"/>
    <w:rsid w:val="00C767B0"/>
    <w:pPr>
      <w:ind w:left="1418"/>
    </w:pPr>
  </w:style>
  <w:style w:type="paragraph" w:customStyle="1" w:styleId="AmCrossRef">
    <w:name w:val="AmCrossRef"/>
    <w:basedOn w:val="Normal"/>
    <w:rsid w:val="00C767B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767B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767B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767B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767B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767B0"/>
    <w:pPr>
      <w:spacing w:before="240" w:after="1200"/>
    </w:pPr>
  </w:style>
  <w:style w:type="paragraph" w:styleId="Header">
    <w:name w:val="header"/>
    <w:basedOn w:val="Normal"/>
    <w:link w:val="HeaderChar"/>
    <w:rsid w:val="00C767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767B0"/>
    <w:rPr>
      <w:sz w:val="24"/>
      <w:lang w:val="cs-CZ"/>
    </w:rPr>
  </w:style>
  <w:style w:type="paragraph" w:customStyle="1" w:styleId="AmOrLang">
    <w:name w:val="AmOrLang"/>
    <w:basedOn w:val="Normal"/>
    <w:rsid w:val="00C767B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767B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767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767B0"/>
    <w:pPr>
      <w:spacing w:before="240"/>
    </w:pPr>
    <w:rPr>
      <w:b/>
    </w:rPr>
  </w:style>
  <w:style w:type="paragraph" w:customStyle="1" w:styleId="EPBody">
    <w:name w:val="EPBody"/>
    <w:basedOn w:val="Normal"/>
    <w:rsid w:val="00C767B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767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767B0"/>
    <w:pPr>
      <w:spacing w:before="480" w:after="240"/>
    </w:pPr>
  </w:style>
  <w:style w:type="paragraph" w:customStyle="1" w:styleId="Lgendesigne">
    <w:name w:val="Légende signe"/>
    <w:basedOn w:val="Normal"/>
    <w:rsid w:val="00C767B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767B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767B0"/>
    <w:rPr>
      <w:sz w:val="18"/>
    </w:rPr>
  </w:style>
  <w:style w:type="character" w:customStyle="1" w:styleId="Sup">
    <w:name w:val="Sup"/>
    <w:uiPriority w:val="1"/>
    <w:qFormat/>
    <w:rsid w:val="00C767B0"/>
    <w:rPr>
      <w:vertAlign w:val="superscript"/>
    </w:rPr>
  </w:style>
  <w:style w:type="paragraph" w:customStyle="1" w:styleId="CrossRef">
    <w:name w:val="CrossRef"/>
    <w:basedOn w:val="Normal"/>
    <w:rsid w:val="00C767B0"/>
    <w:pPr>
      <w:spacing w:before="240"/>
      <w:jc w:val="center"/>
    </w:pPr>
    <w:rPr>
      <w:i/>
    </w:rPr>
  </w:style>
  <w:style w:type="paragraph" w:customStyle="1" w:styleId="RollCallTabs">
    <w:name w:val="RollCallTabs"/>
    <w:basedOn w:val="Normal"/>
    <w:qFormat/>
    <w:rsid w:val="00C767B0"/>
    <w:pPr>
      <w:tabs>
        <w:tab w:val="center" w:pos="284"/>
        <w:tab w:val="left" w:pos="426"/>
      </w:tabs>
    </w:pPr>
    <w:rPr>
      <w:snapToGrid w:val="0"/>
      <w:lang w:eastAsia="en-US"/>
    </w:rPr>
  </w:style>
  <w:style w:type="character" w:styleId="CommentReference">
    <w:name w:val="annotation reference"/>
    <w:basedOn w:val="DefaultParagraphFont"/>
    <w:rsid w:val="00C767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67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67B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767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67B0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C767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67B0"/>
    <w:rPr>
      <w:rFonts w:ascii="Segoe UI" w:hAnsi="Segoe UI" w:cs="Segoe UI"/>
      <w:sz w:val="18"/>
      <w:szCs w:val="18"/>
      <w:lang w:val="cs-CZ"/>
    </w:rPr>
  </w:style>
  <w:style w:type="paragraph" w:customStyle="1" w:styleId="NormalCenter12a">
    <w:name w:val="NormalCenter12a"/>
    <w:basedOn w:val="Normal"/>
    <w:rsid w:val="00C767B0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C767B0"/>
    <w:pPr>
      <w:spacing w:before="720" w:after="240"/>
      <w:jc w:val="center"/>
    </w:pPr>
    <w:rPr>
      <w:lang w:val="en-GB"/>
    </w:rPr>
  </w:style>
  <w:style w:type="paragraph" w:customStyle="1" w:styleId="Normal24a">
    <w:name w:val="Normal24a"/>
    <w:basedOn w:val="Normal"/>
    <w:rsid w:val="00C767B0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C767B0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C767B0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C767B0"/>
    <w:rPr>
      <w:szCs w:val="24"/>
      <w:lang w:val="en-GB"/>
    </w:rPr>
  </w:style>
  <w:style w:type="character" w:styleId="Hyperlink">
    <w:name w:val="Hyperlink"/>
    <w:basedOn w:val="DefaultParagraphFont"/>
    <w:rsid w:val="00C767B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67B0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C767B0"/>
    <w:pPr>
      <w:spacing w:after="240"/>
    </w:pPr>
  </w:style>
  <w:style w:type="paragraph" w:customStyle="1" w:styleId="PageHeadingNotTOC">
    <w:name w:val="PageHeadingNotTOC"/>
    <w:basedOn w:val="Normal"/>
    <w:rsid w:val="00C767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767B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6">
    <w:name w:val="Normal6"/>
    <w:basedOn w:val="Normal"/>
    <w:link w:val="Normal6Char"/>
    <w:rsid w:val="00C767B0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C767B0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rsid w:val="00C767B0"/>
    <w:rPr>
      <w:sz w:val="24"/>
      <w:lang w:val="cs-CZ"/>
    </w:rPr>
  </w:style>
  <w:style w:type="paragraph" w:customStyle="1" w:styleId="ColumnHeading">
    <w:name w:val="ColumnHeading"/>
    <w:basedOn w:val="Normal"/>
    <w:rsid w:val="00C767B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767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RollCallSymbols14pt">
    <w:name w:val="RollCallSymbols14pt"/>
    <w:basedOn w:val="Normal"/>
    <w:rsid w:val="00C767B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Votes">
    <w:name w:val="RollCallVotes"/>
    <w:basedOn w:val="Normal"/>
    <w:rsid w:val="00C767B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767B0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C767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7B0"/>
    <w:rPr>
      <w:sz w:val="24"/>
      <w:lang w:val="cs-CZ"/>
    </w:rPr>
  </w:style>
  <w:style w:type="paragraph" w:styleId="Revision">
    <w:name w:val="Revision"/>
    <w:hidden/>
    <w:uiPriority w:val="99"/>
    <w:semiHidden/>
    <w:rsid w:val="00E95FCC"/>
    <w:rPr>
      <w:sz w:val="24"/>
      <w:lang w:val="cs-CZ"/>
    </w:rPr>
  </w:style>
  <w:style w:type="paragraph" w:customStyle="1" w:styleId="Institutionquiagit">
    <w:name w:val="Institution qui agit"/>
    <w:basedOn w:val="Normal"/>
    <w:next w:val="Normal"/>
    <w:rsid w:val="00356039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356039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356039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356039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356039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356039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356039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356039"/>
    <w:pPr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356039"/>
    <w:pPr>
      <w:keepLines/>
      <w:widowControl w:val="0"/>
      <w:spacing w:line="240" w:lineRule="exact"/>
      <w:ind w:left="850" w:hanging="850"/>
    </w:pPr>
    <w:rPr>
      <w:sz w:val="24"/>
      <w:lang w:val="cs-CZ" w:eastAsia="en-US"/>
    </w:rPr>
  </w:style>
  <w:style w:type="character" w:customStyle="1" w:styleId="Footer2">
    <w:name w:val="Footer2"/>
    <w:rsid w:val="00356039"/>
    <w:rPr>
      <w:rFonts w:ascii="Arial" w:hAnsi="Arial"/>
      <w:b/>
      <w:sz w:val="48"/>
    </w:rPr>
  </w:style>
  <w:style w:type="paragraph" w:customStyle="1" w:styleId="Considrant">
    <w:name w:val="Considérant"/>
    <w:basedOn w:val="Normal"/>
    <w:rsid w:val="00356039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356039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356039"/>
    <w:pPr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56039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356039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356039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356039"/>
    <w:pPr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356039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356039"/>
    <w:pPr>
      <w:widowControl w:val="0"/>
      <w:spacing w:before="120" w:after="120" w:line="360" w:lineRule="auto"/>
    </w:pPr>
    <w:rPr>
      <w:sz w:val="24"/>
      <w:lang w:val="cs-CZ" w:eastAsia="en-US"/>
    </w:rPr>
  </w:style>
  <w:style w:type="character" w:customStyle="1" w:styleId="CMissingStyle">
    <w:name w:val="C_MissingStyle"/>
    <w:rsid w:val="00356039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356039"/>
    <w:pPr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356039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56039"/>
    <w:rPr>
      <w:color w:val="605E5C"/>
      <w:shd w:val="clear" w:color="auto" w:fill="E1DFDD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qFormat/>
    <w:rsid w:val="00356039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ListParagraph">
    <w:name w:val="List Paragraph"/>
    <w:basedOn w:val="Normal"/>
    <w:uiPriority w:val="34"/>
    <w:qFormat/>
    <w:rsid w:val="00356039"/>
    <w:pPr>
      <w:spacing w:before="120" w:after="120" w:line="360" w:lineRule="auto"/>
      <w:ind w:left="720"/>
      <w:contextualSpacing/>
    </w:pPr>
    <w:rPr>
      <w:szCs w:val="24"/>
      <w:lang w:eastAsia="en-US"/>
    </w:rPr>
  </w:style>
  <w:style w:type="paragraph" w:customStyle="1" w:styleId="Text2">
    <w:name w:val="Text 2"/>
    <w:basedOn w:val="Normal"/>
    <w:rsid w:val="0035603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rsid w:val="003560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2026-01-27T13:12:00Z</dcterms:created>
  <dcterms:modified xsi:type="dcterms:W3CDTF">2026-01-27T13:12:00Z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