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36BB" w14:paraId="580245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621F6F" w14:textId="77777777" w:rsidR="00751A4A" w:rsidRPr="00C736BB" w:rsidRDefault="006268ED" w:rsidP="0010095E">
            <w:pPr>
              <w:pStyle w:val="EPName"/>
            </w:pPr>
            <w:r w:rsidRPr="00C736BB">
              <w:t>Europa-Parlamentet</w:t>
            </w:r>
          </w:p>
          <w:p w14:paraId="3E5CAFE1" w14:textId="77777777" w:rsidR="00751A4A" w:rsidRPr="00C736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36BB">
              <w:t>2024</w:t>
            </w:r>
            <w:r w:rsidR="00817416" w:rsidRPr="00C736BB">
              <w:t>-202</w:t>
            </w:r>
            <w:r w:rsidRPr="00C736BB">
              <w:t>9</w:t>
            </w:r>
          </w:p>
        </w:tc>
        <w:tc>
          <w:tcPr>
            <w:tcW w:w="2268" w:type="dxa"/>
            <w:shd w:val="clear" w:color="auto" w:fill="auto"/>
          </w:tcPr>
          <w:p w14:paraId="04D41A51" w14:textId="77777777" w:rsidR="00751A4A" w:rsidRPr="00C736BB" w:rsidRDefault="00187494" w:rsidP="0010095E">
            <w:pPr>
              <w:pStyle w:val="EPLogo"/>
            </w:pPr>
            <w:r w:rsidRPr="00C736BB">
              <w:rPr>
                <w:noProof/>
                <w:lang w:eastAsia="ja-JP"/>
              </w:rPr>
              <w:drawing>
                <wp:inline distT="0" distB="0" distL="0" distR="0" wp14:anchorId="14794E78" wp14:editId="0CC41E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23DE0E" w14:textId="77777777" w:rsidR="00D058B8" w:rsidRPr="00C736BB" w:rsidRDefault="00D058B8" w:rsidP="004C5D52">
      <w:pPr>
        <w:pStyle w:val="LineTop"/>
      </w:pPr>
    </w:p>
    <w:p w14:paraId="7D0AA6B5" w14:textId="77777777" w:rsidR="00680577" w:rsidRPr="00C736BB" w:rsidRDefault="006268ED" w:rsidP="00680577">
      <w:pPr>
        <w:pStyle w:val="EPBodyTA1"/>
      </w:pPr>
      <w:r w:rsidRPr="00C736BB">
        <w:t>VEDTAGNE TEKSTER</w:t>
      </w:r>
    </w:p>
    <w:p w14:paraId="1CAA75FA" w14:textId="77777777" w:rsidR="00D058B8" w:rsidRPr="00C736BB" w:rsidRDefault="00D058B8" w:rsidP="00D058B8">
      <w:pPr>
        <w:pStyle w:val="LineBottom"/>
      </w:pPr>
    </w:p>
    <w:p w14:paraId="527CB3FD" w14:textId="1C8ADCBE" w:rsidR="006268ED" w:rsidRPr="00C736BB" w:rsidRDefault="006268ED" w:rsidP="006268ED">
      <w:pPr>
        <w:pStyle w:val="ATHeading1"/>
      </w:pPr>
      <w:bookmarkStart w:id="0" w:name="TANumber"/>
      <w:r w:rsidRPr="00C736BB">
        <w:t>P10_</w:t>
      </w:r>
      <w:proofErr w:type="gramStart"/>
      <w:r w:rsidRPr="00C736BB">
        <w:t>TA(</w:t>
      </w:r>
      <w:proofErr w:type="gramEnd"/>
      <w:r w:rsidRPr="00C736BB">
        <w:t>2025)0</w:t>
      </w:r>
      <w:bookmarkEnd w:id="0"/>
      <w:r w:rsidR="00233CBF">
        <w:t>296</w:t>
      </w:r>
    </w:p>
    <w:p w14:paraId="1511C548" w14:textId="238351B5" w:rsidR="006268ED" w:rsidRPr="00C736BB" w:rsidRDefault="001C628A" w:rsidP="001C628A">
      <w:pPr>
        <w:pStyle w:val="ATHeading2"/>
      </w:pPr>
      <w:r w:rsidRPr="0033635A">
        <w:rPr>
          <w:bCs/>
        </w:rPr>
        <w:t xml:space="preserve">Forbedring af effektiviteten af EU-garantien i henhold til forordningen om </w:t>
      </w:r>
      <w:proofErr w:type="spellStart"/>
      <w:r w:rsidRPr="0033635A">
        <w:rPr>
          <w:bCs/>
        </w:rPr>
        <w:t>InvestEU</w:t>
      </w:r>
      <w:proofErr w:type="spellEnd"/>
      <w:r w:rsidRPr="0033635A">
        <w:rPr>
          <w:bCs/>
        </w:rPr>
        <w:t xml:space="preserve"> og</w:t>
      </w:r>
      <w:r>
        <w:rPr>
          <w:bCs/>
        </w:rPr>
        <w:t xml:space="preserve"> </w:t>
      </w:r>
      <w:r w:rsidRPr="0033635A">
        <w:rPr>
          <w:bCs/>
        </w:rPr>
        <w:t>forenkling af rapporteringskrav</w:t>
      </w:r>
    </w:p>
    <w:p w14:paraId="65CA22DC" w14:textId="77777777" w:rsidR="006268ED" w:rsidRPr="00C736BB" w:rsidRDefault="006268ED" w:rsidP="006268ED">
      <w:pPr>
        <w:rPr>
          <w:i/>
          <w:vanish/>
        </w:rPr>
      </w:pPr>
      <w:r w:rsidRPr="00C736BB">
        <w:rPr>
          <w:i/>
        </w:rPr>
        <w:fldChar w:fldCharType="begin"/>
      </w:r>
      <w:r w:rsidRPr="00C736BB">
        <w:rPr>
          <w:i/>
        </w:rPr>
        <w:instrText xml:space="preserve"> TC"(</w:instrText>
      </w:r>
      <w:bookmarkStart w:id="1" w:name="DocNumber"/>
      <w:r w:rsidRPr="00C736BB">
        <w:rPr>
          <w:i/>
        </w:rPr>
        <w:instrText>A10-0117/2025</w:instrText>
      </w:r>
      <w:bookmarkEnd w:id="1"/>
      <w:r w:rsidRPr="00C736BB">
        <w:rPr>
          <w:i/>
        </w:rPr>
        <w:instrText xml:space="preserve"> - Ordførere: Aura </w:instrText>
      </w:r>
      <w:proofErr w:type="spellStart"/>
      <w:r w:rsidRPr="00C736BB">
        <w:rPr>
          <w:i/>
        </w:rPr>
        <w:instrText>Salla</w:instrText>
      </w:r>
      <w:proofErr w:type="spellEnd"/>
      <w:r w:rsidRPr="00C736BB">
        <w:rPr>
          <w:i/>
        </w:rPr>
        <w:instrText xml:space="preserve">, Irene </w:instrText>
      </w:r>
      <w:proofErr w:type="spellStart"/>
      <w:r w:rsidRPr="00C736BB">
        <w:rPr>
          <w:i/>
        </w:rPr>
        <w:instrText>Tinagli</w:instrText>
      </w:r>
      <w:proofErr w:type="spellEnd"/>
      <w:r w:rsidRPr="00C736BB">
        <w:rPr>
          <w:i/>
        </w:rPr>
        <w:instrText xml:space="preserve">)"\l3 \n&gt; \* MERGEFORMAT </w:instrText>
      </w:r>
      <w:r w:rsidRPr="00C736BB">
        <w:rPr>
          <w:i/>
        </w:rPr>
        <w:fldChar w:fldCharType="end"/>
      </w:r>
    </w:p>
    <w:p w14:paraId="16A84B9C" w14:textId="77777777" w:rsidR="006268ED" w:rsidRPr="00C736BB" w:rsidRDefault="006268ED" w:rsidP="006268ED">
      <w:pPr>
        <w:rPr>
          <w:vanish/>
        </w:rPr>
      </w:pPr>
      <w:bookmarkStart w:id="2" w:name="Commission"/>
      <w:r w:rsidRPr="00C736BB">
        <w:rPr>
          <w:vanish/>
        </w:rPr>
        <w:t>Budgetudvalget, Økonomi- og Valutaudvalget</w:t>
      </w:r>
      <w:bookmarkEnd w:id="2"/>
    </w:p>
    <w:p w14:paraId="5169528C" w14:textId="77777777" w:rsidR="006268ED" w:rsidRPr="00C736BB" w:rsidRDefault="006268ED" w:rsidP="006268ED">
      <w:pPr>
        <w:rPr>
          <w:vanish/>
        </w:rPr>
      </w:pPr>
      <w:bookmarkStart w:id="3" w:name="PE"/>
      <w:r w:rsidRPr="00C736BB">
        <w:rPr>
          <w:vanish/>
        </w:rPr>
        <w:t>PE773.087</w:t>
      </w:r>
      <w:bookmarkEnd w:id="3"/>
    </w:p>
    <w:p w14:paraId="5090AB83" w14:textId="4EC1AD39" w:rsidR="006268ED" w:rsidRPr="00C736BB" w:rsidRDefault="006268ED" w:rsidP="006268ED">
      <w:pPr>
        <w:pStyle w:val="ATHeading3"/>
      </w:pPr>
      <w:bookmarkStart w:id="4" w:name="Sujet"/>
      <w:r w:rsidRPr="00C736BB">
        <w:t xml:space="preserve">Europa-Parlamentets lovgivningsmæssige beslutning af </w:t>
      </w:r>
      <w:r w:rsidR="00321C7E">
        <w:t>26</w:t>
      </w:r>
      <w:r w:rsidRPr="00C736BB">
        <w:t>.</w:t>
      </w:r>
      <w:r w:rsidR="00F4158D">
        <w:t xml:space="preserve"> november</w:t>
      </w:r>
      <w:r w:rsidRPr="00C736BB">
        <w:t xml:space="preserve"> 2025 om forslag til Europa-Parlamentets og Rådets forordning om ændring af forordning (EU) 2015/1017, (EU) 2021/523, (EU) 2021/695 og (EU) 2021/1153 for så vidt angår forbedring af effektiviteten af EU-garantien i henhold til forordning (EU) 2021/523 og forenkling af rapporteringskrav</w:t>
      </w:r>
      <w:bookmarkEnd w:id="4"/>
      <w:r w:rsidRPr="00C736BB">
        <w:t xml:space="preserve"> </w:t>
      </w:r>
      <w:bookmarkStart w:id="5" w:name="References"/>
      <w:r w:rsidRPr="00C736BB">
        <w:t>(</w:t>
      </w:r>
      <w:proofErr w:type="gramStart"/>
      <w:r w:rsidRPr="00C736BB">
        <w:t>COM(</w:t>
      </w:r>
      <w:proofErr w:type="gramEnd"/>
      <w:r w:rsidRPr="00C736BB">
        <w:t>2025)0084 – C10-0036/2025 – 2025/0040(COD))</w:t>
      </w:r>
      <w:bookmarkEnd w:id="5"/>
    </w:p>
    <w:p w14:paraId="19756200" w14:textId="77777777" w:rsidR="00026874" w:rsidRPr="00C736BB" w:rsidRDefault="00026874" w:rsidP="00026874">
      <w:pPr>
        <w:pStyle w:val="NormalBold"/>
      </w:pPr>
      <w:r w:rsidRPr="00C736BB">
        <w:t>(Almindelig lovgivningsprocedure: førstebehandling)</w:t>
      </w:r>
    </w:p>
    <w:p w14:paraId="473D4B01" w14:textId="77777777" w:rsidR="00026874" w:rsidRPr="00C736BB" w:rsidRDefault="00026874" w:rsidP="00026874">
      <w:pPr>
        <w:pStyle w:val="EPComma"/>
      </w:pPr>
      <w:r w:rsidRPr="00C736BB">
        <w:rPr>
          <w:i/>
        </w:rPr>
        <w:t>Europa-Parlamentet</w:t>
      </w:r>
      <w:r w:rsidRPr="00C736BB">
        <w:t>,</w:t>
      </w:r>
    </w:p>
    <w:p w14:paraId="15733743" w14:textId="77777777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>der henviser til Kommissionens forslag til Europa-Parlamentet og Rådet (</w:t>
      </w:r>
      <w:proofErr w:type="gramStart"/>
      <w:r w:rsidRPr="00C736BB">
        <w:t>COM(</w:t>
      </w:r>
      <w:proofErr w:type="gramEnd"/>
      <w:r w:rsidRPr="00C736BB">
        <w:t>2025)0084),</w:t>
      </w:r>
    </w:p>
    <w:p w14:paraId="001BCD46" w14:textId="6D3A684D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 xml:space="preserve">der henviser til artikel 294, stk. 2, </w:t>
      </w:r>
      <w:r w:rsidR="00742501">
        <w:t xml:space="preserve">og </w:t>
      </w:r>
      <w:r w:rsidRPr="00C736BB">
        <w:t xml:space="preserve">artikel 172 og 173, artikel 175, stk. 3, artikel 182, stk. 1, artikel </w:t>
      </w:r>
      <w:r w:rsidR="009051B6">
        <w:t>183</w:t>
      </w:r>
      <w:r w:rsidRPr="00C736BB">
        <w:t xml:space="preserve">, </w:t>
      </w:r>
      <w:r w:rsidR="009051B6" w:rsidRPr="00C736BB">
        <w:t>artikel</w:t>
      </w:r>
      <w:r w:rsidR="009051B6">
        <w:t xml:space="preserve"> 188, </w:t>
      </w:r>
      <w:r w:rsidRPr="00C736BB">
        <w:t xml:space="preserve">stk. 2, </w:t>
      </w:r>
      <w:r w:rsidR="004A1503">
        <w:t xml:space="preserve">og </w:t>
      </w:r>
      <w:r w:rsidRPr="00C736BB">
        <w:t xml:space="preserve">artikel </w:t>
      </w:r>
      <w:r w:rsidR="009051B6">
        <w:t>194</w:t>
      </w:r>
      <w:r w:rsidRPr="00C736BB">
        <w:t>, i traktaten om Den Europæiske Unions funktionsmåde, på grundlag af hvilke Kommissionen har forelagt forslaget for Parlamentet (C10</w:t>
      </w:r>
      <w:r w:rsidRPr="00C736BB">
        <w:noBreakHyphen/>
        <w:t>0036/2025),</w:t>
      </w:r>
    </w:p>
    <w:p w14:paraId="459EB84B" w14:textId="77777777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>der henviser til artikel 294, stk. 3, i traktaten om Den Europæiske Unions funktionsmåde,</w:t>
      </w:r>
    </w:p>
    <w:p w14:paraId="7510E21F" w14:textId="77777777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>der henviser til udtalelse af 29. april 2025 fra Det Europæiske Økonomiske og Sociale Udvalg</w:t>
      </w:r>
      <w:r w:rsidRPr="00C736BB">
        <w:rPr>
          <w:rStyle w:val="FootnoteReference"/>
        </w:rPr>
        <w:footnoteReference w:id="1"/>
      </w:r>
      <w:r w:rsidRPr="00C736BB">
        <w:t>,</w:t>
      </w:r>
    </w:p>
    <w:p w14:paraId="23BFB56D" w14:textId="77777777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>efter høring af Regionsudvalget,</w:t>
      </w:r>
    </w:p>
    <w:p w14:paraId="388808F7" w14:textId="16175469" w:rsidR="009051B6" w:rsidRDefault="009051B6" w:rsidP="00026874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8. oktober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0C9FDB4F" w14:textId="700630B8" w:rsidR="00026874" w:rsidRPr="00C736BB" w:rsidRDefault="00026874" w:rsidP="00026874">
      <w:pPr>
        <w:pStyle w:val="NormalHanging12a"/>
      </w:pPr>
      <w:r w:rsidRPr="00C736BB">
        <w:lastRenderedPageBreak/>
        <w:t>–</w:t>
      </w:r>
      <w:r w:rsidRPr="00C736BB">
        <w:tab/>
        <w:t>der henviser til forretningsordenens artikel 60,</w:t>
      </w:r>
    </w:p>
    <w:p w14:paraId="6BAD2ED4" w14:textId="77777777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>der henviser til de fælles drøftelser mellem Budgetudvalget og Økonomi- og Valutaudvalget, jf. forretningsordenens artikel 59,</w:t>
      </w:r>
    </w:p>
    <w:p w14:paraId="6DEA5FA4" w14:textId="77777777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>der henviser til udtalelser fra Udvalget om Industri, Forskning og Energi og Transport- og Turismeudvalget,</w:t>
      </w:r>
    </w:p>
    <w:p w14:paraId="536414AE" w14:textId="77777777" w:rsidR="00026874" w:rsidRPr="00C736BB" w:rsidRDefault="00026874" w:rsidP="00026874">
      <w:pPr>
        <w:pStyle w:val="NormalHanging12a"/>
      </w:pPr>
      <w:r w:rsidRPr="00C736BB">
        <w:t>–</w:t>
      </w:r>
      <w:r w:rsidRPr="00C736BB">
        <w:tab/>
        <w:t>der henviser til betænkning fra Budgetudvalget og Økonomi- og Valutaudvalget (A10-0117/2025),</w:t>
      </w:r>
    </w:p>
    <w:p w14:paraId="417A4C06" w14:textId="77777777" w:rsidR="00026874" w:rsidRPr="00C736BB" w:rsidRDefault="00026874" w:rsidP="00026874">
      <w:pPr>
        <w:pStyle w:val="NormalHanging12a"/>
      </w:pPr>
      <w:r w:rsidRPr="00C736BB">
        <w:t>1.</w:t>
      </w:r>
      <w:r w:rsidRPr="00C736BB">
        <w:tab/>
        <w:t>vedtager nedenstående holdning ved førstebehandling;</w:t>
      </w:r>
    </w:p>
    <w:p w14:paraId="0BC362D7" w14:textId="77777777" w:rsidR="00026874" w:rsidRPr="00C736BB" w:rsidRDefault="00026874" w:rsidP="00026874">
      <w:pPr>
        <w:pStyle w:val="NormalHanging12a"/>
      </w:pPr>
      <w:r w:rsidRPr="00C736BB">
        <w:t>2.</w:t>
      </w:r>
      <w:r w:rsidRPr="00C736BB">
        <w:tab/>
        <w:t>anmoder om fornyet forelæggelse, hvis Kommissionen erstatter, i væsentlig grad ændrer eller agter i væsentlig grad at ændre sit forslag;</w:t>
      </w:r>
    </w:p>
    <w:p w14:paraId="61B391B8" w14:textId="77777777" w:rsidR="00026874" w:rsidRPr="00C736BB" w:rsidRDefault="00026874" w:rsidP="00026874">
      <w:pPr>
        <w:pStyle w:val="NormalHanging12a"/>
      </w:pPr>
      <w:r w:rsidRPr="00C736BB">
        <w:t>3.</w:t>
      </w:r>
      <w:r w:rsidRPr="00C736BB">
        <w:tab/>
        <w:t>pålægger sin formand at sende Parlamentets holdning til Rådet og Kommissionen samt til de nationale parlamenter.</w:t>
      </w:r>
    </w:p>
    <w:p w14:paraId="31CE9713" w14:textId="77777777" w:rsidR="001C628A" w:rsidRDefault="001C628A" w:rsidP="00026874">
      <w:pPr>
        <w:sectPr w:rsidR="001C628A" w:rsidSect="00C736B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98D7D3" w14:textId="6A28B0C0" w:rsidR="009051B6" w:rsidRPr="00606380" w:rsidRDefault="009051B6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040</w:t>
      </w:r>
    </w:p>
    <w:p w14:paraId="2D9C78E5" w14:textId="1493DBA7" w:rsidR="009051B6" w:rsidRDefault="009051B6" w:rsidP="00AA368B">
      <w:pPr>
        <w:pStyle w:val="NormalHanging12a"/>
        <w:ind w:left="0" w:firstLine="0"/>
        <w:rPr>
          <w:b/>
          <w:color w:val="000000"/>
          <w:szCs w:val="24"/>
          <w:lang w:eastAsia="en-US"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="00321C7E">
        <w:rPr>
          <w:b/>
        </w:rPr>
        <w:t>26</w:t>
      </w:r>
      <w:r>
        <w:rPr>
          <w:b/>
        </w:rPr>
        <w:t>. november 2025</w:t>
      </w:r>
      <w:r w:rsidRPr="00511370">
        <w:rPr>
          <w:b/>
        </w:rPr>
        <w:t xml:space="preserve"> 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 xml:space="preserve">(EU) </w:t>
      </w:r>
      <w:r w:rsidRPr="00511370">
        <w:rPr>
          <w:rFonts w:eastAsia="Calibri"/>
          <w:b/>
        </w:rPr>
        <w:t xml:space="preserve">2025/… om </w:t>
      </w:r>
      <w:r w:rsidR="00803BD8" w:rsidRPr="009051B6">
        <w:rPr>
          <w:b/>
          <w:color w:val="000000"/>
          <w:szCs w:val="24"/>
          <w:lang w:eastAsia="en-US"/>
        </w:rPr>
        <w:t>ændring af forordning (EU) 2015/1017, (EU) 2021/523, (EU) 2021/695 og (EU) 2021/1153 for så vidt angår forbedring af effektiviteten af EU-garantien i henhold til forordning (EU) 2021/523 og forenkling af rapporteringskrav</w:t>
      </w:r>
    </w:p>
    <w:p w14:paraId="33A9B39B" w14:textId="77777777" w:rsidR="007F780F" w:rsidRDefault="007F780F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6" w:name="_GoBack"/>
      <w:bookmarkEnd w:id="6"/>
    </w:p>
    <w:p w14:paraId="105C0C17" w14:textId="1275B6D9" w:rsidR="007F780F" w:rsidRPr="00F95CDF" w:rsidRDefault="007F780F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2005</w:t>
      </w:r>
      <w:r w:rsidRPr="00F95CDF">
        <w:rPr>
          <w:i/>
        </w:rPr>
        <w:t>.)</w:t>
      </w:r>
    </w:p>
    <w:p w14:paraId="00136B98" w14:textId="444C06B2" w:rsidR="007F780F" w:rsidRDefault="007F780F" w:rsidP="00AA368B">
      <w:pPr>
        <w:pStyle w:val="NormalHanging12a"/>
        <w:ind w:left="0" w:firstLine="0"/>
        <w:rPr>
          <w:rFonts w:eastAsia="Calibri"/>
          <w:b/>
        </w:rPr>
      </w:pPr>
    </w:p>
    <w:sectPr w:rsidR="007F780F" w:rsidSect="00C736B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2DA98" w14:textId="77777777" w:rsidR="006268ED" w:rsidRPr="00C736BB" w:rsidRDefault="006268ED">
      <w:r w:rsidRPr="00C736BB">
        <w:separator/>
      </w:r>
    </w:p>
  </w:endnote>
  <w:endnote w:type="continuationSeparator" w:id="0">
    <w:p w14:paraId="140EF539" w14:textId="77777777" w:rsidR="006268ED" w:rsidRPr="00C736BB" w:rsidRDefault="006268ED">
      <w:r w:rsidRPr="00C736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02E3" w14:textId="77777777" w:rsidR="00064002" w:rsidRPr="00C736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74E20" w14:textId="77777777" w:rsidR="00064002" w:rsidRPr="00C736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53A20" w14:textId="77777777" w:rsidR="00064002" w:rsidRPr="00C736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6F97E" w14:textId="77777777" w:rsidR="006268ED" w:rsidRPr="00C736BB" w:rsidRDefault="006268ED">
      <w:r w:rsidRPr="00C736BB">
        <w:separator/>
      </w:r>
    </w:p>
  </w:footnote>
  <w:footnote w:type="continuationSeparator" w:id="0">
    <w:p w14:paraId="6B7FADA3" w14:textId="77777777" w:rsidR="006268ED" w:rsidRPr="00C736BB" w:rsidRDefault="006268ED">
      <w:r w:rsidRPr="00C736BB">
        <w:continuationSeparator/>
      </w:r>
    </w:p>
  </w:footnote>
  <w:footnote w:id="1">
    <w:p w14:paraId="45C6E87B" w14:textId="615D3BAA" w:rsidR="00026874" w:rsidRPr="0033635A" w:rsidRDefault="00026874" w:rsidP="0033635A">
      <w:pPr>
        <w:pStyle w:val="FootnoteText"/>
        <w:ind w:left="851" w:hanging="851"/>
        <w:rPr>
          <w:sz w:val="24"/>
          <w:szCs w:val="24"/>
          <w:lang w:val="fi-FI"/>
        </w:rPr>
      </w:pPr>
      <w:r w:rsidRPr="00803BD8">
        <w:rPr>
          <w:rStyle w:val="FootnoteReference"/>
          <w:sz w:val="24"/>
          <w:szCs w:val="24"/>
          <w:lang w:val="da-DK"/>
        </w:rPr>
        <w:footnoteRef/>
      </w:r>
      <w:r w:rsidR="00C736BB" w:rsidRPr="0033635A">
        <w:rPr>
          <w:sz w:val="24"/>
          <w:szCs w:val="24"/>
          <w:lang w:val="fi-FI"/>
        </w:rPr>
        <w:t xml:space="preserve"> </w:t>
      </w:r>
      <w:r w:rsidR="00C736BB" w:rsidRPr="0033635A">
        <w:rPr>
          <w:sz w:val="24"/>
          <w:szCs w:val="24"/>
          <w:lang w:val="fi-FI"/>
        </w:rPr>
        <w:tab/>
      </w:r>
      <w:r w:rsidR="009051B6" w:rsidRPr="0033635A">
        <w:rPr>
          <w:sz w:val="24"/>
          <w:szCs w:val="24"/>
          <w:lang w:val="fi-FI"/>
        </w:rPr>
        <w:t xml:space="preserve">EUT C, C/2025/3199, 2.7.2025, ELI: </w:t>
      </w:r>
      <w:hyperlink r:id="rId1" w:history="1">
        <w:r w:rsidR="00742501" w:rsidRPr="0033635A">
          <w:rPr>
            <w:rStyle w:val="Hyperlink"/>
            <w:szCs w:val="24"/>
            <w:lang w:val="fi-FI"/>
          </w:rPr>
          <w:t>http://data.europa.eu/eli/C/2025/3199/oj</w:t>
        </w:r>
      </w:hyperlink>
      <w:r w:rsidRPr="0033635A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79546" w14:textId="77777777" w:rsidR="00064002" w:rsidRPr="00C736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78FF0" w14:textId="77777777" w:rsidR="00064002" w:rsidRPr="00C736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5C347" w14:textId="77777777" w:rsidR="00064002" w:rsidRPr="00C736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5701381">
    <w:abstractNumId w:val="9"/>
  </w:num>
  <w:num w:numId="2" w16cid:durableId="1422023920">
    <w:abstractNumId w:val="9"/>
  </w:num>
  <w:num w:numId="3" w16cid:durableId="345062271">
    <w:abstractNumId w:val="7"/>
  </w:num>
  <w:num w:numId="4" w16cid:durableId="154492963">
    <w:abstractNumId w:val="7"/>
  </w:num>
  <w:num w:numId="5" w16cid:durableId="541746341">
    <w:abstractNumId w:val="6"/>
  </w:num>
  <w:num w:numId="6" w16cid:durableId="1330864355">
    <w:abstractNumId w:val="6"/>
  </w:num>
  <w:num w:numId="7" w16cid:durableId="1350328410">
    <w:abstractNumId w:val="5"/>
  </w:num>
  <w:num w:numId="8" w16cid:durableId="1231959916">
    <w:abstractNumId w:val="5"/>
  </w:num>
  <w:num w:numId="9" w16cid:durableId="1034115024">
    <w:abstractNumId w:val="4"/>
  </w:num>
  <w:num w:numId="10" w16cid:durableId="2042702692">
    <w:abstractNumId w:val="4"/>
  </w:num>
  <w:num w:numId="11" w16cid:durableId="137460899">
    <w:abstractNumId w:val="8"/>
  </w:num>
  <w:num w:numId="12" w16cid:durableId="878249936">
    <w:abstractNumId w:val="8"/>
  </w:num>
  <w:num w:numId="13" w16cid:durableId="1765110298">
    <w:abstractNumId w:val="3"/>
  </w:num>
  <w:num w:numId="14" w16cid:durableId="526481591">
    <w:abstractNumId w:val="3"/>
  </w:num>
  <w:num w:numId="15" w16cid:durableId="957949912">
    <w:abstractNumId w:val="2"/>
  </w:num>
  <w:num w:numId="16" w16cid:durableId="1566717050">
    <w:abstractNumId w:val="2"/>
  </w:num>
  <w:num w:numId="17" w16cid:durableId="778916741">
    <w:abstractNumId w:val="1"/>
  </w:num>
  <w:num w:numId="18" w16cid:durableId="507864195">
    <w:abstractNumId w:val="1"/>
  </w:num>
  <w:num w:numId="19" w16cid:durableId="326399594">
    <w:abstractNumId w:val="0"/>
  </w:num>
  <w:num w:numId="20" w16cid:durableId="1684672448">
    <w:abstractNumId w:val="0"/>
  </w:num>
  <w:num w:numId="21" w16cid:durableId="475336312">
    <w:abstractNumId w:val="9"/>
  </w:num>
  <w:num w:numId="22" w16cid:durableId="70349731">
    <w:abstractNumId w:val="7"/>
  </w:num>
  <w:num w:numId="23" w16cid:durableId="2097508354">
    <w:abstractNumId w:val="6"/>
  </w:num>
  <w:num w:numId="24" w16cid:durableId="1785339908">
    <w:abstractNumId w:val="5"/>
  </w:num>
  <w:num w:numId="25" w16cid:durableId="1463961258">
    <w:abstractNumId w:val="4"/>
  </w:num>
  <w:num w:numId="26" w16cid:durableId="1001548439">
    <w:abstractNumId w:val="8"/>
  </w:num>
  <w:num w:numId="27" w16cid:durableId="1907715416">
    <w:abstractNumId w:val="3"/>
  </w:num>
  <w:num w:numId="28" w16cid:durableId="1635602464">
    <w:abstractNumId w:val="2"/>
  </w:num>
  <w:num w:numId="29" w16cid:durableId="1107962595">
    <w:abstractNumId w:val="1"/>
  </w:num>
  <w:num w:numId="30" w16cid:durableId="1688019932">
    <w:abstractNumId w:val="0"/>
  </w:num>
  <w:num w:numId="31" w16cid:durableId="407844136">
    <w:abstractNumId w:val="9"/>
  </w:num>
  <w:num w:numId="32" w16cid:durableId="1094664606">
    <w:abstractNumId w:val="7"/>
  </w:num>
  <w:num w:numId="33" w16cid:durableId="1044332494">
    <w:abstractNumId w:val="6"/>
  </w:num>
  <w:num w:numId="34" w16cid:durableId="615871165">
    <w:abstractNumId w:val="5"/>
  </w:num>
  <w:num w:numId="35" w16cid:durableId="1581409796">
    <w:abstractNumId w:val="4"/>
  </w:num>
  <w:num w:numId="36" w16cid:durableId="742407463">
    <w:abstractNumId w:val="8"/>
  </w:num>
  <w:num w:numId="37" w16cid:durableId="1706906054">
    <w:abstractNumId w:val="3"/>
  </w:num>
  <w:num w:numId="38" w16cid:durableId="667947794">
    <w:abstractNumId w:val="2"/>
  </w:num>
  <w:num w:numId="39" w16cid:durableId="550653045">
    <w:abstractNumId w:val="1"/>
  </w:num>
  <w:num w:numId="40" w16cid:durableId="1963223856">
    <w:abstractNumId w:val="0"/>
  </w:num>
  <w:num w:numId="41" w16cid:durableId="512914077">
    <w:abstractNumId w:val="10"/>
  </w:num>
  <w:num w:numId="42" w16cid:durableId="73821414">
    <w:abstractNumId w:val="10"/>
  </w:num>
  <w:num w:numId="43" w16cid:durableId="584849348">
    <w:abstractNumId w:val="10"/>
  </w:num>
  <w:num w:numId="44" w16cid:durableId="1460152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DA"/>
    <w:docVar w:name="dvnumam" w:val="25"/>
    <w:docVar w:name="dvpe" w:val="773.087"/>
    <w:docVar w:name="dvrapporteur" w:val="Ordførere: "/>
    <w:docVar w:name="dvstar" w:val="***I"/>
    <w:docVar w:name="dvtitre" w:val="Europa-Parlamentets lovgivningsmæssige beslutning af xx.xx 2025 om forslag til Europa-Parlamentets og Rådets forordning om ændring af forordning (EU) 2015/1017, (EU) 2021/523, (EU) 2021/695 og (EU) 2021/1153 for så vidt angår forbedring af effektiviteten af EU-garantien i henhold til forordning (EU) 2021/523 og forenkling af rapporteringskrav(COM(2025)0084 – C10-0036/2025 – 2025/0040(COD))"/>
  </w:docVars>
  <w:rsids>
    <w:rsidRoot w:val="006268ED"/>
    <w:rsid w:val="00002272"/>
    <w:rsid w:val="00026874"/>
    <w:rsid w:val="00064002"/>
    <w:rsid w:val="000677B9"/>
    <w:rsid w:val="000831BA"/>
    <w:rsid w:val="000A3F70"/>
    <w:rsid w:val="000A42CC"/>
    <w:rsid w:val="000E7DD9"/>
    <w:rsid w:val="0010095E"/>
    <w:rsid w:val="001052AE"/>
    <w:rsid w:val="00125B37"/>
    <w:rsid w:val="00187494"/>
    <w:rsid w:val="001C628A"/>
    <w:rsid w:val="001F32AE"/>
    <w:rsid w:val="00233CBF"/>
    <w:rsid w:val="002601B4"/>
    <w:rsid w:val="002767FF"/>
    <w:rsid w:val="0028021A"/>
    <w:rsid w:val="0029030C"/>
    <w:rsid w:val="002B18FE"/>
    <w:rsid w:val="002B5493"/>
    <w:rsid w:val="002E2010"/>
    <w:rsid w:val="00321C7E"/>
    <w:rsid w:val="0033635A"/>
    <w:rsid w:val="00343214"/>
    <w:rsid w:val="00361C00"/>
    <w:rsid w:val="00375AF8"/>
    <w:rsid w:val="00395FA1"/>
    <w:rsid w:val="003E15D4"/>
    <w:rsid w:val="00411CCE"/>
    <w:rsid w:val="0041666E"/>
    <w:rsid w:val="00421060"/>
    <w:rsid w:val="00471C19"/>
    <w:rsid w:val="004867E3"/>
    <w:rsid w:val="00494A28"/>
    <w:rsid w:val="004A1503"/>
    <w:rsid w:val="004C0004"/>
    <w:rsid w:val="004C5D52"/>
    <w:rsid w:val="0050519A"/>
    <w:rsid w:val="005072A1"/>
    <w:rsid w:val="00514517"/>
    <w:rsid w:val="00543EA9"/>
    <w:rsid w:val="00545827"/>
    <w:rsid w:val="00560270"/>
    <w:rsid w:val="005B624C"/>
    <w:rsid w:val="005C2568"/>
    <w:rsid w:val="005F1B17"/>
    <w:rsid w:val="006037C0"/>
    <w:rsid w:val="006268ED"/>
    <w:rsid w:val="006631B6"/>
    <w:rsid w:val="00680577"/>
    <w:rsid w:val="006F74FA"/>
    <w:rsid w:val="007254EE"/>
    <w:rsid w:val="00731ADD"/>
    <w:rsid w:val="00734777"/>
    <w:rsid w:val="00742501"/>
    <w:rsid w:val="00747932"/>
    <w:rsid w:val="00751A4A"/>
    <w:rsid w:val="00756632"/>
    <w:rsid w:val="00762C74"/>
    <w:rsid w:val="00782540"/>
    <w:rsid w:val="00786EC0"/>
    <w:rsid w:val="007A1FE4"/>
    <w:rsid w:val="007D1690"/>
    <w:rsid w:val="007D1EC9"/>
    <w:rsid w:val="007E22AD"/>
    <w:rsid w:val="007F780F"/>
    <w:rsid w:val="00803BD8"/>
    <w:rsid w:val="00817416"/>
    <w:rsid w:val="00817E60"/>
    <w:rsid w:val="00831E75"/>
    <w:rsid w:val="00842779"/>
    <w:rsid w:val="00865F67"/>
    <w:rsid w:val="00872855"/>
    <w:rsid w:val="00881A7B"/>
    <w:rsid w:val="008840E5"/>
    <w:rsid w:val="00887B3E"/>
    <w:rsid w:val="008C2AC6"/>
    <w:rsid w:val="009051B6"/>
    <w:rsid w:val="00930C23"/>
    <w:rsid w:val="0093193B"/>
    <w:rsid w:val="009509D8"/>
    <w:rsid w:val="00950B64"/>
    <w:rsid w:val="00981893"/>
    <w:rsid w:val="00A0563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36BB"/>
    <w:rsid w:val="00C941CB"/>
    <w:rsid w:val="00CC2357"/>
    <w:rsid w:val="00CF071A"/>
    <w:rsid w:val="00D058B8"/>
    <w:rsid w:val="00D56C11"/>
    <w:rsid w:val="00D81E32"/>
    <w:rsid w:val="00D834A0"/>
    <w:rsid w:val="00D872DF"/>
    <w:rsid w:val="00D91E21"/>
    <w:rsid w:val="00DA7FCD"/>
    <w:rsid w:val="00E365E1"/>
    <w:rsid w:val="00E820A4"/>
    <w:rsid w:val="00EA4EC8"/>
    <w:rsid w:val="00EB006A"/>
    <w:rsid w:val="00EB4772"/>
    <w:rsid w:val="00ED169E"/>
    <w:rsid w:val="00ED4235"/>
    <w:rsid w:val="00F04346"/>
    <w:rsid w:val="00F075DC"/>
    <w:rsid w:val="00F149E9"/>
    <w:rsid w:val="00F4158D"/>
    <w:rsid w:val="00F5134D"/>
    <w:rsid w:val="00F74202"/>
    <w:rsid w:val="00F8280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9527"/>
  <w15:chartTrackingRefBased/>
  <w15:docId w15:val="{DD7EA582-2E82-47EC-9D3B-D2B6E0A9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268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26874"/>
    <w:pPr>
      <w:spacing w:before="480" w:after="240"/>
    </w:pPr>
  </w:style>
  <w:style w:type="paragraph" w:customStyle="1" w:styleId="PageHeading">
    <w:name w:val="PageHeading"/>
    <w:basedOn w:val="Normal"/>
    <w:rsid w:val="000268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26874"/>
    <w:rPr>
      <w:b/>
    </w:rPr>
  </w:style>
  <w:style w:type="paragraph" w:customStyle="1" w:styleId="NormalHanging12a">
    <w:name w:val="NormalHanging12a"/>
    <w:basedOn w:val="Normal"/>
    <w:rsid w:val="0002687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26874"/>
    <w:pPr>
      <w:spacing w:after="240"/>
      <w:jc w:val="center"/>
    </w:pPr>
  </w:style>
  <w:style w:type="paragraph" w:styleId="Header">
    <w:name w:val="header"/>
    <w:basedOn w:val="Normal"/>
    <w:link w:val="HeaderChar"/>
    <w:rsid w:val="000268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6874"/>
    <w:rPr>
      <w:sz w:val="24"/>
      <w:lang w:val="da-DK"/>
    </w:rPr>
  </w:style>
  <w:style w:type="paragraph" w:customStyle="1" w:styleId="AmNumberTabs">
    <w:name w:val="AmNumberTabs"/>
    <w:basedOn w:val="Normal"/>
    <w:rsid w:val="000268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26874"/>
    <w:pPr>
      <w:spacing w:before="720" w:after="240"/>
      <w:jc w:val="center"/>
    </w:pPr>
  </w:style>
  <w:style w:type="paragraph" w:customStyle="1" w:styleId="EPFooter">
    <w:name w:val="EPFooter"/>
    <w:basedOn w:val="Normal"/>
    <w:rsid w:val="000268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026874"/>
    <w:pPr>
      <w:spacing w:after="480"/>
    </w:pPr>
  </w:style>
  <w:style w:type="paragraph" w:customStyle="1" w:styleId="NormalBoldCenter">
    <w:name w:val="NormalBoldCenter"/>
    <w:basedOn w:val="Normal"/>
    <w:rsid w:val="00026874"/>
    <w:pPr>
      <w:jc w:val="center"/>
    </w:pPr>
    <w:rPr>
      <w:b/>
    </w:rPr>
  </w:style>
  <w:style w:type="paragraph" w:customStyle="1" w:styleId="Footprint12b">
    <w:name w:val="Footprint12b"/>
    <w:basedOn w:val="Normal"/>
    <w:rsid w:val="0002687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26874"/>
    <w:rPr>
      <w:szCs w:val="24"/>
    </w:rPr>
  </w:style>
  <w:style w:type="character" w:styleId="Hyperlink">
    <w:name w:val="Hyperlink"/>
    <w:basedOn w:val="DefaultParagraphFont"/>
    <w:uiPriority w:val="99"/>
    <w:rsid w:val="00026874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26874"/>
    <w:pPr>
      <w:spacing w:after="240"/>
    </w:pPr>
  </w:style>
  <w:style w:type="character" w:customStyle="1" w:styleId="NormalBoldChar">
    <w:name w:val="NormalBold Char"/>
    <w:basedOn w:val="DefaultParagraphFont"/>
    <w:link w:val="NormalBold"/>
    <w:rsid w:val="00026874"/>
    <w:rPr>
      <w:b/>
      <w:sz w:val="24"/>
      <w:lang w:val="da-DK"/>
    </w:rPr>
  </w:style>
  <w:style w:type="paragraph" w:styleId="Revision">
    <w:name w:val="Revision"/>
    <w:hidden/>
    <w:uiPriority w:val="99"/>
    <w:semiHidden/>
    <w:rsid w:val="00F4158D"/>
    <w:rPr>
      <w:sz w:val="24"/>
      <w:lang w:val="da-DK"/>
    </w:rPr>
  </w:style>
  <w:style w:type="character" w:styleId="CommentReference">
    <w:name w:val="annotation reference"/>
    <w:basedOn w:val="DefaultParagraphFont"/>
    <w:rsid w:val="00F415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15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158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41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158D"/>
    <w:rPr>
      <w:b/>
      <w:bCs/>
      <w:lang w:val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9051B6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9051B6"/>
    <w:pPr>
      <w:keepLines/>
      <w:widowControl w:val="0"/>
      <w:spacing w:line="240" w:lineRule="exact"/>
      <w:ind w:left="850" w:hanging="850"/>
    </w:pPr>
    <w:rPr>
      <w:sz w:val="24"/>
      <w:lang w:val="da-DK" w:eastAsia="en-US"/>
    </w:rPr>
  </w:style>
  <w:style w:type="character" w:styleId="FollowedHyperlink">
    <w:name w:val="FollowedHyperlink"/>
    <w:basedOn w:val="DefaultParagraphFont"/>
    <w:rsid w:val="007425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2626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2026-01-28T07:58:00Z</dcterms:created>
  <dcterms:modified xsi:type="dcterms:W3CDTF">2026-01-28T07:58:00Z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