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2E5E" w14:paraId="41334FE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04D609" w14:textId="77777777" w:rsidR="00751A4A" w:rsidRPr="00992E5E" w:rsidRDefault="00C61C9B" w:rsidP="0010095E">
            <w:pPr>
              <w:pStyle w:val="EPName"/>
            </w:pPr>
            <w:r w:rsidRPr="00992E5E">
              <w:t>Euroopan parlamentti</w:t>
            </w:r>
          </w:p>
          <w:p w14:paraId="569406FD" w14:textId="77777777" w:rsidR="00751A4A" w:rsidRPr="00992E5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2E5E">
              <w:t>2024</w:t>
            </w:r>
            <w:r w:rsidR="00817416" w:rsidRPr="00992E5E">
              <w:t>-202</w:t>
            </w:r>
            <w:r w:rsidRPr="00992E5E">
              <w:t>9</w:t>
            </w:r>
          </w:p>
        </w:tc>
        <w:tc>
          <w:tcPr>
            <w:tcW w:w="2268" w:type="dxa"/>
            <w:shd w:val="clear" w:color="auto" w:fill="auto"/>
          </w:tcPr>
          <w:p w14:paraId="07DCEB16" w14:textId="77777777" w:rsidR="00751A4A" w:rsidRPr="00992E5E" w:rsidRDefault="00187494" w:rsidP="0010095E">
            <w:pPr>
              <w:pStyle w:val="EPLogo"/>
            </w:pPr>
            <w:r w:rsidRPr="00992E5E">
              <w:rPr>
                <w:noProof/>
                <w:lang w:eastAsia="ja-JP"/>
              </w:rPr>
              <w:drawing>
                <wp:inline distT="0" distB="0" distL="0" distR="0" wp14:anchorId="14650448" wp14:editId="0262095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8E4C5A" w14:textId="77777777" w:rsidR="00D058B8" w:rsidRPr="00992E5E" w:rsidRDefault="00D058B8" w:rsidP="004C5D52">
      <w:pPr>
        <w:pStyle w:val="LineTop"/>
      </w:pPr>
    </w:p>
    <w:p w14:paraId="3614124E" w14:textId="77777777" w:rsidR="00680577" w:rsidRPr="00992E5E" w:rsidRDefault="00C61C9B" w:rsidP="00680577">
      <w:pPr>
        <w:pStyle w:val="EPBodyTA1"/>
      </w:pPr>
      <w:r w:rsidRPr="00992E5E">
        <w:t>HYVÄKSYTYT TEKSTIT</w:t>
      </w:r>
    </w:p>
    <w:p w14:paraId="3B0F0C9C" w14:textId="77777777" w:rsidR="00D058B8" w:rsidRPr="00992E5E" w:rsidRDefault="00D058B8" w:rsidP="00D058B8">
      <w:pPr>
        <w:pStyle w:val="LineBottom"/>
      </w:pPr>
    </w:p>
    <w:p w14:paraId="4B638115" w14:textId="544E9AF9" w:rsidR="00C61C9B" w:rsidRPr="00992E5E" w:rsidRDefault="00C61C9B" w:rsidP="00C61C9B">
      <w:pPr>
        <w:pStyle w:val="ATHeading1"/>
      </w:pPr>
      <w:bookmarkStart w:id="0" w:name="TANumber"/>
      <w:r w:rsidRPr="00992E5E">
        <w:t>P10_TA(2025)0</w:t>
      </w:r>
      <w:r w:rsidR="00170E91">
        <w:t>296</w:t>
      </w:r>
      <w:bookmarkEnd w:id="0"/>
    </w:p>
    <w:p w14:paraId="435BD640" w14:textId="68469849" w:rsidR="00C61C9B" w:rsidRPr="00992E5E" w:rsidRDefault="002A7672" w:rsidP="002A7672">
      <w:pPr>
        <w:pStyle w:val="ATHeading2"/>
      </w:pPr>
      <w:bookmarkStart w:id="1" w:name="title"/>
      <w:r w:rsidRPr="00992E5E">
        <w:rPr>
          <w:bCs/>
        </w:rPr>
        <w:t>InvestEU-asetuksen mukaisen EU:n takuun tehostaminen ja raportointivaatimusten yksinkertaistaminen</w:t>
      </w:r>
      <w:bookmarkEnd w:id="1"/>
    </w:p>
    <w:p w14:paraId="35372400" w14:textId="2E741BEC" w:rsidR="00C61C9B" w:rsidRPr="00992E5E" w:rsidRDefault="00C61C9B" w:rsidP="00C61C9B">
      <w:pPr>
        <w:rPr>
          <w:i/>
          <w:vanish/>
        </w:rPr>
      </w:pPr>
      <w:r w:rsidRPr="00992E5E">
        <w:rPr>
          <w:i/>
        </w:rPr>
        <w:fldChar w:fldCharType="begin"/>
      </w:r>
      <w:r w:rsidRPr="00992E5E">
        <w:rPr>
          <w:i/>
        </w:rPr>
        <w:instrText xml:space="preserve"> TC"(</w:instrText>
      </w:r>
      <w:bookmarkStart w:id="2" w:name="DocNumber"/>
      <w:r w:rsidRPr="00992E5E">
        <w:rPr>
          <w:i/>
        </w:rPr>
        <w:instrText>A10-0117/2025</w:instrText>
      </w:r>
      <w:bookmarkEnd w:id="2"/>
      <w:r w:rsidRPr="00992E5E">
        <w:rPr>
          <w:i/>
        </w:rPr>
        <w:instrText xml:space="preserve"> - Esittelijä</w:instrText>
      </w:r>
      <w:r w:rsidR="001D6529" w:rsidRPr="00992E5E">
        <w:rPr>
          <w:i/>
        </w:rPr>
        <w:instrText>t</w:instrText>
      </w:r>
      <w:r w:rsidRPr="00992E5E">
        <w:rPr>
          <w:i/>
        </w:rPr>
        <w:instrText xml:space="preserve">: Aura Salla, Irene Tinagli)"\l3 \n&gt; \* MERGEFORMAT </w:instrText>
      </w:r>
      <w:r w:rsidRPr="00992E5E">
        <w:rPr>
          <w:i/>
        </w:rPr>
        <w:fldChar w:fldCharType="end"/>
      </w:r>
    </w:p>
    <w:p w14:paraId="1F6CEA2B" w14:textId="77777777" w:rsidR="00C61C9B" w:rsidRPr="00992E5E" w:rsidRDefault="00C61C9B" w:rsidP="00C61C9B">
      <w:pPr>
        <w:rPr>
          <w:vanish/>
        </w:rPr>
      </w:pPr>
      <w:bookmarkStart w:id="3" w:name="Commission"/>
      <w:r w:rsidRPr="00992E5E">
        <w:rPr>
          <w:vanish/>
        </w:rPr>
        <w:t>Budjettivaliokunta, Talous- ja raha-asioiden valiokunta</w:t>
      </w:r>
      <w:bookmarkEnd w:id="3"/>
    </w:p>
    <w:p w14:paraId="3060491E" w14:textId="77777777" w:rsidR="00C61C9B" w:rsidRPr="00992E5E" w:rsidRDefault="00C61C9B" w:rsidP="00C61C9B">
      <w:pPr>
        <w:rPr>
          <w:vanish/>
        </w:rPr>
      </w:pPr>
      <w:bookmarkStart w:id="4" w:name="PE"/>
      <w:r w:rsidRPr="00992E5E">
        <w:rPr>
          <w:vanish/>
        </w:rPr>
        <w:t>PE773.087</w:t>
      </w:r>
      <w:bookmarkEnd w:id="4"/>
    </w:p>
    <w:p w14:paraId="78E1C109" w14:textId="28CB3E38" w:rsidR="00C61C9B" w:rsidRPr="00992E5E" w:rsidRDefault="00C61C9B" w:rsidP="00C61C9B">
      <w:pPr>
        <w:pStyle w:val="ATHeading3"/>
      </w:pPr>
      <w:bookmarkStart w:id="5" w:name="Sujet"/>
      <w:r w:rsidRPr="00992E5E">
        <w:t xml:space="preserve">Euroopan parlamentin lainsäädäntöpäätöslauselma </w:t>
      </w:r>
      <w:r w:rsidR="002A7672" w:rsidRPr="00992E5E">
        <w:t>2</w:t>
      </w:r>
      <w:r w:rsidR="00DE6B3B" w:rsidRPr="00992E5E">
        <w:t>6</w:t>
      </w:r>
      <w:r w:rsidRPr="00992E5E">
        <w:t>. marraskuuta 2025 ehdotuksesta Euroopan parlamentin ja neuvoston asetukseksi asetusten (EU) 2015/1017, (EU) 2021/523, (EU) 2021/695 ja (EU) 2021/1153 muuttamisesta asetuksen (EU) 2021/523 mukaisen EU:n takuun tehostamiseksi ja raportointivaatimusten yksinkertaistamiseksi</w:t>
      </w:r>
      <w:bookmarkEnd w:id="5"/>
      <w:r w:rsidRPr="00992E5E">
        <w:t xml:space="preserve"> </w:t>
      </w:r>
      <w:bookmarkStart w:id="6" w:name="References"/>
      <w:r w:rsidRPr="00992E5E">
        <w:t>(COM(2025)0084 – C10-0036/2025 – 2025/0040(COD))</w:t>
      </w:r>
      <w:bookmarkEnd w:id="6"/>
    </w:p>
    <w:p w14:paraId="39395BF7" w14:textId="77777777" w:rsidR="00D208F3" w:rsidRPr="00992E5E" w:rsidRDefault="00D208F3" w:rsidP="00D208F3">
      <w:pPr>
        <w:pStyle w:val="NormalBold"/>
        <w:widowControl/>
      </w:pPr>
      <w:r w:rsidRPr="00992E5E">
        <w:t>(Tavallinen lainsäätämisjärjestys: ensimmäinen käsittely)</w:t>
      </w:r>
    </w:p>
    <w:p w14:paraId="6889DC3C" w14:textId="77777777" w:rsidR="00D208F3" w:rsidRPr="00992E5E" w:rsidRDefault="00D208F3" w:rsidP="00447B63">
      <w:pPr>
        <w:pStyle w:val="EPComma"/>
        <w:widowControl/>
      </w:pPr>
      <w:r w:rsidRPr="00992E5E">
        <w:rPr>
          <w:i/>
          <w:iCs/>
        </w:rPr>
        <w:t>Euroopan parlamentti</w:t>
      </w:r>
      <w:r w:rsidRPr="00992E5E">
        <w:t>, joka</w:t>
      </w:r>
    </w:p>
    <w:p w14:paraId="0BD2CAE8" w14:textId="77777777" w:rsidR="00D208F3" w:rsidRPr="00992E5E" w:rsidRDefault="00D208F3" w:rsidP="00447B63">
      <w:pPr>
        <w:pStyle w:val="NormalHanging12a"/>
        <w:widowControl/>
      </w:pPr>
      <w:r w:rsidRPr="00992E5E">
        <w:t>–</w:t>
      </w:r>
      <w:r w:rsidRPr="00992E5E">
        <w:tab/>
        <w:t>ottaa huomioon komission ehdotuksen Euroopan parlamentille ja neuvostolle (COM(2025)0084),</w:t>
      </w:r>
    </w:p>
    <w:p w14:paraId="30BEE958" w14:textId="181EBE1E" w:rsidR="00D208F3" w:rsidRPr="00992E5E" w:rsidRDefault="00D208F3" w:rsidP="00447B63">
      <w:pPr>
        <w:pStyle w:val="NormalHanging12a"/>
        <w:widowControl/>
      </w:pPr>
      <w:r w:rsidRPr="00992E5E">
        <w:t>–</w:t>
      </w:r>
      <w:r w:rsidRPr="00992E5E">
        <w:tab/>
        <w:t xml:space="preserve">ottaa huomioon Euroopan unionin toiminnasta tehdyn sopimuksen 294 artiklan 2 kohdan, 172 ja 173 artiklan, 175 artiklan kolmannen kohdan, 182 artiklan 1 kohdan, </w:t>
      </w:r>
      <w:r w:rsidR="00301541" w:rsidRPr="00992E5E">
        <w:t xml:space="preserve">183 artiklan, </w:t>
      </w:r>
      <w:r w:rsidRPr="00992E5E">
        <w:t>188 artiklan toisen kohdan</w:t>
      </w:r>
      <w:r w:rsidR="00301541" w:rsidRPr="00992E5E">
        <w:t xml:space="preserve"> </w:t>
      </w:r>
      <w:r w:rsidRPr="00992E5E">
        <w:t>ja 194 artiklan, joiden mukaisesti komissio on antanut ehdotuksen Euroopan parlamentille (C10-0036/2025),</w:t>
      </w:r>
    </w:p>
    <w:p w14:paraId="270A9E40" w14:textId="77777777" w:rsidR="00D208F3" w:rsidRPr="00992E5E" w:rsidRDefault="00D208F3" w:rsidP="00447B63">
      <w:pPr>
        <w:pStyle w:val="NormalHanging12a"/>
        <w:widowControl/>
      </w:pPr>
      <w:r w:rsidRPr="00992E5E">
        <w:t>–</w:t>
      </w:r>
      <w:r w:rsidRPr="00992E5E">
        <w:tab/>
        <w:t>ottaa huomioon Euroopan unionin toiminnasta tehdyn sopimuksen 294 artiklan 3 kohdan,</w:t>
      </w:r>
    </w:p>
    <w:p w14:paraId="5D65C973" w14:textId="77777777" w:rsidR="00D208F3" w:rsidRPr="00992E5E" w:rsidRDefault="00D208F3" w:rsidP="00447B63">
      <w:pPr>
        <w:pStyle w:val="NormalHanging12a"/>
        <w:widowControl/>
      </w:pPr>
      <w:r w:rsidRPr="00992E5E">
        <w:t>–</w:t>
      </w:r>
      <w:r w:rsidRPr="00992E5E">
        <w:tab/>
        <w:t>ottaa huomioon Euroopan talous- ja sosiaalikomitean 29. huhtikuuta 2025 antaman lausunnon</w:t>
      </w:r>
      <w:r w:rsidRPr="00992E5E">
        <w:rPr>
          <w:rStyle w:val="FootnoteReference"/>
        </w:rPr>
        <w:footnoteReference w:id="1"/>
      </w:r>
      <w:r w:rsidRPr="00992E5E">
        <w:t>,</w:t>
      </w:r>
    </w:p>
    <w:p w14:paraId="24EE3691" w14:textId="77777777" w:rsidR="00D208F3" w:rsidRPr="00992E5E" w:rsidRDefault="00D208F3" w:rsidP="00447B63">
      <w:pPr>
        <w:pStyle w:val="NormalHanging12a"/>
        <w:widowControl/>
      </w:pPr>
      <w:r w:rsidRPr="00992E5E">
        <w:t>–</w:t>
      </w:r>
      <w:r w:rsidRPr="00992E5E">
        <w:tab/>
        <w:t>on kuullut alueiden komiteaa,</w:t>
      </w:r>
    </w:p>
    <w:p w14:paraId="5D5C4868" w14:textId="65610654" w:rsidR="00301541" w:rsidRPr="00992E5E" w:rsidRDefault="00301541" w:rsidP="00447B63">
      <w:pPr>
        <w:pStyle w:val="NormalHanging12a"/>
        <w:widowControl/>
      </w:pPr>
      <w:r w:rsidRPr="00992E5E">
        <w:rPr>
          <w:szCs w:val="24"/>
        </w:rPr>
        <w:t>–</w:t>
      </w:r>
      <w:r w:rsidRPr="00992E5E">
        <w:rPr>
          <w:szCs w:val="24"/>
        </w:rPr>
        <w:tab/>
        <w:t>ottaa huomioon asiasta vastaavan valiokunnan työjärjestyksen 75 artiklan 4 kohdan mukaisesti hyväksymän alustavan sopimuksen</w:t>
      </w:r>
      <w:r w:rsidRPr="00992E5E">
        <w:t xml:space="preserve"> </w:t>
      </w:r>
      <w:r w:rsidRPr="00992E5E">
        <w:rPr>
          <w:szCs w:val="24"/>
        </w:rPr>
        <w:t>sekä</w:t>
      </w:r>
      <w:r w:rsidRPr="00992E5E">
        <w:t xml:space="preserve"> </w:t>
      </w:r>
      <w:r w:rsidRPr="00992E5E">
        <w:rPr>
          <w:szCs w:val="24"/>
        </w:rPr>
        <w:t>neuvoston edustajan 8. lokakuuta 2025 päivätyllä kirjeellä antaman sitoumuksen hyväksyä Euroopan parlamentin kanta Euroopan unionin toiminnasta tehdyn sopimuksen 294 artiklan 4 kohdan mukaisesti,</w:t>
      </w:r>
    </w:p>
    <w:p w14:paraId="61B020D4" w14:textId="77777777" w:rsidR="00D208F3" w:rsidRPr="00992E5E" w:rsidRDefault="00D208F3" w:rsidP="00447B63">
      <w:pPr>
        <w:pStyle w:val="NormalHanging12a"/>
        <w:widowControl/>
      </w:pPr>
      <w:r w:rsidRPr="00992E5E">
        <w:t>–</w:t>
      </w:r>
      <w:r w:rsidRPr="00992E5E">
        <w:tab/>
        <w:t>ottaa huomioon työjärjestyksen 60 artiklan,</w:t>
      </w:r>
    </w:p>
    <w:p w14:paraId="3CE86225" w14:textId="77777777" w:rsidR="00D208F3" w:rsidRPr="00992E5E" w:rsidRDefault="00D208F3" w:rsidP="00447B63">
      <w:pPr>
        <w:pStyle w:val="NormalHanging12a"/>
        <w:widowControl/>
      </w:pPr>
      <w:r w:rsidRPr="00992E5E">
        <w:t>–</w:t>
      </w:r>
      <w:r w:rsidRPr="00992E5E">
        <w:tab/>
        <w:t>ottaa huomioon budjettivaliokunnan ja talous- ja raha-asioiden valiokunnan työjärjestyksen 59 artiklan mukaisen yhteiskäsittelyn,</w:t>
      </w:r>
    </w:p>
    <w:p w14:paraId="3A0A0C52" w14:textId="77777777" w:rsidR="00D208F3" w:rsidRPr="00992E5E" w:rsidRDefault="00D208F3" w:rsidP="00447B63">
      <w:pPr>
        <w:pStyle w:val="NormalHanging12a"/>
        <w:widowControl/>
      </w:pPr>
      <w:r w:rsidRPr="00992E5E">
        <w:lastRenderedPageBreak/>
        <w:t>–</w:t>
      </w:r>
      <w:r w:rsidRPr="00992E5E">
        <w:tab/>
        <w:t>ottaa huomioon teollisuus-, tutkimus- ja energiavaliokunnan sekä liikenne- ja matkailuvaliokunnan lausunnot,</w:t>
      </w:r>
    </w:p>
    <w:p w14:paraId="2E876854" w14:textId="77777777" w:rsidR="00D208F3" w:rsidRPr="00992E5E" w:rsidRDefault="00D208F3" w:rsidP="00447B63">
      <w:pPr>
        <w:pStyle w:val="NormalHanging12a"/>
        <w:widowControl/>
      </w:pPr>
      <w:r w:rsidRPr="00992E5E">
        <w:t>–</w:t>
      </w:r>
      <w:r w:rsidRPr="00992E5E">
        <w:tab/>
        <w:t>ottaa huomioon budjettivaliokunnan ja talous- ja raha-asioiden valiokunnan mietinnön (A10-0117/2025),</w:t>
      </w:r>
    </w:p>
    <w:p w14:paraId="1BBA1D62" w14:textId="77777777" w:rsidR="00D208F3" w:rsidRPr="00992E5E" w:rsidRDefault="00D208F3" w:rsidP="00447B63">
      <w:pPr>
        <w:pStyle w:val="NormalHanging12a"/>
        <w:widowControl/>
      </w:pPr>
      <w:r w:rsidRPr="00992E5E">
        <w:t>1.</w:t>
      </w:r>
      <w:r w:rsidRPr="00992E5E">
        <w:tab/>
        <w:t>vahvistaa jäljempänä esitetyn ensimmäisen käsittelyn kannan;</w:t>
      </w:r>
    </w:p>
    <w:p w14:paraId="4E05FB4A" w14:textId="77777777" w:rsidR="00D208F3" w:rsidRPr="00992E5E" w:rsidRDefault="00D208F3" w:rsidP="00447B63">
      <w:pPr>
        <w:pStyle w:val="NormalHanging12a"/>
        <w:widowControl/>
      </w:pPr>
      <w:r w:rsidRPr="00992E5E">
        <w:t>2.</w:t>
      </w:r>
      <w:r w:rsidRPr="00992E5E">
        <w:tab/>
        <w:t>pyytää komissiota antamaan asian uudelleen Euroopan parlamentin käsiteltäväksi, jos se korvaa ehdotuksensa, muuttaa sitä huomattavasti tai aikoo muuttaa sitä huomattavasti;</w:t>
      </w:r>
    </w:p>
    <w:p w14:paraId="568612AF" w14:textId="77777777" w:rsidR="00D208F3" w:rsidRPr="00992E5E" w:rsidRDefault="00D208F3" w:rsidP="00447B63">
      <w:pPr>
        <w:pStyle w:val="NormalHanging12a"/>
        <w:widowControl/>
      </w:pPr>
      <w:r w:rsidRPr="00992E5E">
        <w:t>3.</w:t>
      </w:r>
      <w:r w:rsidRPr="00992E5E">
        <w:tab/>
        <w:t>kehottaa puhemiestä välittämään parlamentin kannan neuvostolle ja komissiolle sekä kansallisille parlamenteille.</w:t>
      </w:r>
    </w:p>
    <w:p w14:paraId="38DB8288" w14:textId="77777777" w:rsidR="00501D06" w:rsidRPr="00992E5E" w:rsidRDefault="00501D06">
      <w:pPr>
        <w:widowControl/>
        <w:rPr>
          <w:b/>
        </w:rPr>
        <w:sectPr w:rsidR="00501D06" w:rsidRPr="00992E5E" w:rsidSect="00EF6CE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872C8FC" w14:textId="77777777" w:rsidR="00301541" w:rsidRPr="00992E5E" w:rsidRDefault="00301541" w:rsidP="0030154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992E5E">
        <w:rPr>
          <w:b/>
          <w:bCs/>
          <w:color w:val="000000"/>
        </w:rPr>
        <w:lastRenderedPageBreak/>
        <w:t>P10_TC1-COD(2025)0040</w:t>
      </w:r>
    </w:p>
    <w:p w14:paraId="21EBE5D2" w14:textId="6E703B38" w:rsidR="00173B9D" w:rsidRDefault="00301541" w:rsidP="00173B9D">
      <w:pPr>
        <w:spacing w:after="240"/>
        <w:rPr>
          <w:b/>
          <w:szCs w:val="24"/>
          <w:lang w:eastAsia="en-US"/>
        </w:rPr>
      </w:pPr>
      <w:r w:rsidRPr="00992E5E">
        <w:rPr>
          <w:b/>
          <w:szCs w:val="24"/>
        </w:rPr>
        <w:t>Euroopan parlamentin kanta, vahvistettu ensimmäisessä käsittelyssä 2</w:t>
      </w:r>
      <w:r w:rsidR="00DE6B3B" w:rsidRPr="00992E5E">
        <w:rPr>
          <w:b/>
          <w:szCs w:val="24"/>
        </w:rPr>
        <w:t>6</w:t>
      </w:r>
      <w:r w:rsidRPr="00992E5E">
        <w:rPr>
          <w:b/>
          <w:szCs w:val="24"/>
        </w:rPr>
        <w:t xml:space="preserve">. marraskuuta 2025, Euroopan parlamentin ja neuvoston asetuksen (EU) 2025/… antamiseksi </w:t>
      </w:r>
      <w:r w:rsidR="00173B9D" w:rsidRPr="00992E5E">
        <w:rPr>
          <w:b/>
          <w:szCs w:val="24"/>
          <w:lang w:eastAsia="en-US"/>
        </w:rPr>
        <w:t>asetusten (EU) 2015/1017, (EU) 2021/523, (EU) 2021/695 ja (EU) 2021/1153 muuttamisesta asetuksen (EU) 2021/523 mukaisen EU:n takuun tehostamiseksi ja raportointivaatimusten yksinkertaistamiseksi</w:t>
      </w:r>
    </w:p>
    <w:p w14:paraId="29B9EC03" w14:textId="77777777" w:rsidR="0055146A" w:rsidRPr="006E0791" w:rsidRDefault="0055146A" w:rsidP="0055146A">
      <w:pPr>
        <w:rPr>
          <w:szCs w:val="24"/>
        </w:rPr>
      </w:pPr>
    </w:p>
    <w:p w14:paraId="5C9FF991" w14:textId="71B2AB70" w:rsidR="0055146A" w:rsidRDefault="0055146A" w:rsidP="0055146A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2025</w:t>
      </w:r>
      <w:r w:rsidRPr="002F34F6">
        <w:rPr>
          <w:i/>
          <w:szCs w:val="24"/>
        </w:rPr>
        <w:t>/</w:t>
      </w:r>
      <w:r>
        <w:rPr>
          <w:i/>
          <w:szCs w:val="24"/>
        </w:rPr>
        <w:t>2005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R="0055146A" w:rsidSect="00EF6CE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35345" w14:textId="77777777" w:rsidR="00C61C9B" w:rsidRPr="00EF6CEA" w:rsidRDefault="00C61C9B">
      <w:r w:rsidRPr="00EF6CEA">
        <w:separator/>
      </w:r>
    </w:p>
  </w:endnote>
  <w:endnote w:type="continuationSeparator" w:id="0">
    <w:p w14:paraId="0F94AA3B" w14:textId="77777777" w:rsidR="00C61C9B" w:rsidRPr="00EF6CEA" w:rsidRDefault="00C61C9B">
      <w:r w:rsidRPr="00EF6C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89486" w14:textId="77777777" w:rsidR="00C61C9B" w:rsidRPr="00EF6CEA" w:rsidRDefault="00C61C9B">
      <w:r w:rsidRPr="00EF6CEA">
        <w:separator/>
      </w:r>
    </w:p>
  </w:footnote>
  <w:footnote w:type="continuationSeparator" w:id="0">
    <w:p w14:paraId="61BEB6E1" w14:textId="77777777" w:rsidR="00C61C9B" w:rsidRPr="00EF6CEA" w:rsidRDefault="00C61C9B">
      <w:r w:rsidRPr="00EF6CEA">
        <w:continuationSeparator/>
      </w:r>
    </w:p>
  </w:footnote>
  <w:footnote w:id="1">
    <w:p w14:paraId="190899A5" w14:textId="629CC7A1" w:rsidR="00D208F3" w:rsidRPr="00992E5E" w:rsidRDefault="00D208F3" w:rsidP="00EF6CEA">
      <w:pPr>
        <w:pStyle w:val="FootnoteText"/>
        <w:ind w:left="567" w:hanging="567"/>
        <w:rPr>
          <w:sz w:val="24"/>
          <w:lang w:val="fi-FI"/>
        </w:rPr>
      </w:pPr>
      <w:r w:rsidRPr="00992E5E">
        <w:rPr>
          <w:rStyle w:val="FootnoteReference"/>
          <w:sz w:val="24"/>
          <w:lang w:val="fi-FI"/>
        </w:rPr>
        <w:footnoteRef/>
      </w:r>
      <w:r w:rsidR="00EF6CEA" w:rsidRPr="00992E5E">
        <w:rPr>
          <w:sz w:val="24"/>
          <w:lang w:val="fi-FI"/>
        </w:rPr>
        <w:t xml:space="preserve"> </w:t>
      </w:r>
      <w:r w:rsidR="00EF6CEA" w:rsidRPr="00992E5E">
        <w:rPr>
          <w:sz w:val="24"/>
          <w:lang w:val="fi-FI"/>
        </w:rPr>
        <w:tab/>
      </w:r>
      <w:r w:rsidR="00301541" w:rsidRPr="00992E5E">
        <w:rPr>
          <w:sz w:val="24"/>
          <w:lang w:val="fi-FI"/>
        </w:rPr>
        <w:t xml:space="preserve">EUVL C, C/2025/3199, 2.7.2025, ELI: </w:t>
      </w:r>
      <w:hyperlink r:id="rId1" w:history="1">
        <w:r w:rsidR="00301541" w:rsidRPr="00992E5E">
          <w:rPr>
            <w:rStyle w:val="Hyperlink"/>
            <w:sz w:val="24"/>
            <w:lang w:val="fi-FI"/>
          </w:rPr>
          <w:t>http://data.europa.eu/eli/C/2025/3199/oj</w:t>
        </w:r>
      </w:hyperlink>
      <w:r w:rsidRPr="00992E5E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1618898">
    <w:abstractNumId w:val="9"/>
  </w:num>
  <w:num w:numId="2" w16cid:durableId="1582329899">
    <w:abstractNumId w:val="9"/>
  </w:num>
  <w:num w:numId="3" w16cid:durableId="1762333225">
    <w:abstractNumId w:val="7"/>
  </w:num>
  <w:num w:numId="4" w16cid:durableId="2054957494">
    <w:abstractNumId w:val="7"/>
  </w:num>
  <w:num w:numId="5" w16cid:durableId="1886336338">
    <w:abstractNumId w:val="6"/>
  </w:num>
  <w:num w:numId="6" w16cid:durableId="1038512772">
    <w:abstractNumId w:val="6"/>
  </w:num>
  <w:num w:numId="7" w16cid:durableId="312023842">
    <w:abstractNumId w:val="5"/>
  </w:num>
  <w:num w:numId="8" w16cid:durableId="2088569221">
    <w:abstractNumId w:val="5"/>
  </w:num>
  <w:num w:numId="9" w16cid:durableId="1775635887">
    <w:abstractNumId w:val="4"/>
  </w:num>
  <w:num w:numId="10" w16cid:durableId="452751360">
    <w:abstractNumId w:val="4"/>
  </w:num>
  <w:num w:numId="11" w16cid:durableId="1303002923">
    <w:abstractNumId w:val="8"/>
  </w:num>
  <w:num w:numId="12" w16cid:durableId="22173235">
    <w:abstractNumId w:val="8"/>
  </w:num>
  <w:num w:numId="13" w16cid:durableId="1902132739">
    <w:abstractNumId w:val="3"/>
  </w:num>
  <w:num w:numId="14" w16cid:durableId="1119909137">
    <w:abstractNumId w:val="3"/>
  </w:num>
  <w:num w:numId="15" w16cid:durableId="1383627335">
    <w:abstractNumId w:val="2"/>
  </w:num>
  <w:num w:numId="16" w16cid:durableId="1941445920">
    <w:abstractNumId w:val="2"/>
  </w:num>
  <w:num w:numId="17" w16cid:durableId="985209003">
    <w:abstractNumId w:val="1"/>
  </w:num>
  <w:num w:numId="18" w16cid:durableId="728378019">
    <w:abstractNumId w:val="1"/>
  </w:num>
  <w:num w:numId="19" w16cid:durableId="22564494">
    <w:abstractNumId w:val="0"/>
  </w:num>
  <w:num w:numId="20" w16cid:durableId="1113985202">
    <w:abstractNumId w:val="0"/>
  </w:num>
  <w:num w:numId="21" w16cid:durableId="666791058">
    <w:abstractNumId w:val="9"/>
  </w:num>
  <w:num w:numId="22" w16cid:durableId="1304698756">
    <w:abstractNumId w:val="7"/>
  </w:num>
  <w:num w:numId="23" w16cid:durableId="258568959">
    <w:abstractNumId w:val="6"/>
  </w:num>
  <w:num w:numId="24" w16cid:durableId="385682226">
    <w:abstractNumId w:val="5"/>
  </w:num>
  <w:num w:numId="25" w16cid:durableId="1154876404">
    <w:abstractNumId w:val="4"/>
  </w:num>
  <w:num w:numId="26" w16cid:durableId="2068643992">
    <w:abstractNumId w:val="8"/>
  </w:num>
  <w:num w:numId="27" w16cid:durableId="683939390">
    <w:abstractNumId w:val="3"/>
  </w:num>
  <w:num w:numId="28" w16cid:durableId="462427678">
    <w:abstractNumId w:val="2"/>
  </w:num>
  <w:num w:numId="29" w16cid:durableId="1885360154">
    <w:abstractNumId w:val="1"/>
  </w:num>
  <w:num w:numId="30" w16cid:durableId="1690569406">
    <w:abstractNumId w:val="0"/>
  </w:num>
  <w:num w:numId="31" w16cid:durableId="452870561">
    <w:abstractNumId w:val="9"/>
  </w:num>
  <w:num w:numId="32" w16cid:durableId="602803128">
    <w:abstractNumId w:val="7"/>
  </w:num>
  <w:num w:numId="33" w16cid:durableId="487138104">
    <w:abstractNumId w:val="6"/>
  </w:num>
  <w:num w:numId="34" w16cid:durableId="2044360213">
    <w:abstractNumId w:val="5"/>
  </w:num>
  <w:num w:numId="35" w16cid:durableId="684091262">
    <w:abstractNumId w:val="4"/>
  </w:num>
  <w:num w:numId="36" w16cid:durableId="553273182">
    <w:abstractNumId w:val="8"/>
  </w:num>
  <w:num w:numId="37" w16cid:durableId="360060510">
    <w:abstractNumId w:val="3"/>
  </w:num>
  <w:num w:numId="38" w16cid:durableId="519927283">
    <w:abstractNumId w:val="2"/>
  </w:num>
  <w:num w:numId="39" w16cid:durableId="134765150">
    <w:abstractNumId w:val="1"/>
  </w:num>
  <w:num w:numId="40" w16cid:durableId="1667590203">
    <w:abstractNumId w:val="0"/>
  </w:num>
  <w:num w:numId="41" w16cid:durableId="1570265574">
    <w:abstractNumId w:val="10"/>
  </w:num>
  <w:num w:numId="42" w16cid:durableId="779839024">
    <w:abstractNumId w:val="10"/>
  </w:num>
  <w:num w:numId="43" w16cid:durableId="722876060">
    <w:abstractNumId w:val="10"/>
  </w:num>
  <w:num w:numId="44" w16cid:durableId="20452788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FI"/>
    <w:docVar w:name="dvnumam" w:val="0"/>
    <w:docVar w:name="dvpe" w:val="773.087"/>
    <w:docVar w:name="dvrapporteur" w:val="Esittelijä: "/>
    <w:docVar w:name="dvstar" w:val="***I"/>
    <w:docVar w:name="dvtitre" w:val="Euroopan parlamentin lainsäädäntöpäätöslauselma xx. marraskuuta 2025 ehdotuksesta Euroopan parlamentin ja neuvoston asetukseksi asetusten (EU) 2015/1017, (EU) 2021/523, (EU) 2021/695 ja (EU) 2021/1153 muuttamisesta asetuksen (EU) 2021/523 mukaisen EU:n takuun tehostamiseksi ja raportointivaatimusten yksinkertaistamiseksi(COM(2025)0084 – C10-0036/2025 – 2025/0040(COD))"/>
  </w:docVars>
  <w:rsids>
    <w:rsidRoot w:val="00C61C9B"/>
    <w:rsid w:val="00002272"/>
    <w:rsid w:val="00064002"/>
    <w:rsid w:val="000677B9"/>
    <w:rsid w:val="000831BA"/>
    <w:rsid w:val="000A42CC"/>
    <w:rsid w:val="000E7DD9"/>
    <w:rsid w:val="0010095E"/>
    <w:rsid w:val="00125B37"/>
    <w:rsid w:val="00170E91"/>
    <w:rsid w:val="00173B9D"/>
    <w:rsid w:val="00187494"/>
    <w:rsid w:val="001D6529"/>
    <w:rsid w:val="001F32AE"/>
    <w:rsid w:val="00255B57"/>
    <w:rsid w:val="002767FF"/>
    <w:rsid w:val="002A7672"/>
    <w:rsid w:val="002B18FE"/>
    <w:rsid w:val="002B5493"/>
    <w:rsid w:val="00301541"/>
    <w:rsid w:val="00343214"/>
    <w:rsid w:val="00343B8B"/>
    <w:rsid w:val="00361C00"/>
    <w:rsid w:val="00395FA1"/>
    <w:rsid w:val="003A3BF7"/>
    <w:rsid w:val="003E15D4"/>
    <w:rsid w:val="00411CCE"/>
    <w:rsid w:val="0041666E"/>
    <w:rsid w:val="00421060"/>
    <w:rsid w:val="00447B63"/>
    <w:rsid w:val="00471C19"/>
    <w:rsid w:val="004867E3"/>
    <w:rsid w:val="00494A28"/>
    <w:rsid w:val="004C0004"/>
    <w:rsid w:val="004C5D52"/>
    <w:rsid w:val="00501D06"/>
    <w:rsid w:val="0050519A"/>
    <w:rsid w:val="005072A1"/>
    <w:rsid w:val="00514517"/>
    <w:rsid w:val="00545827"/>
    <w:rsid w:val="0055146A"/>
    <w:rsid w:val="00560270"/>
    <w:rsid w:val="005C2568"/>
    <w:rsid w:val="005F1B17"/>
    <w:rsid w:val="005F59C0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310"/>
    <w:rsid w:val="00817416"/>
    <w:rsid w:val="00842779"/>
    <w:rsid w:val="00865F67"/>
    <w:rsid w:val="00881A7B"/>
    <w:rsid w:val="008840E5"/>
    <w:rsid w:val="00887B3E"/>
    <w:rsid w:val="008C2AC6"/>
    <w:rsid w:val="00900680"/>
    <w:rsid w:val="00930C23"/>
    <w:rsid w:val="0093193B"/>
    <w:rsid w:val="009509D8"/>
    <w:rsid w:val="00950B64"/>
    <w:rsid w:val="00961689"/>
    <w:rsid w:val="00981893"/>
    <w:rsid w:val="00992E5E"/>
    <w:rsid w:val="00A1687D"/>
    <w:rsid w:val="00A43E52"/>
    <w:rsid w:val="00A43FB0"/>
    <w:rsid w:val="00A4678D"/>
    <w:rsid w:val="00A778C7"/>
    <w:rsid w:val="00AB441E"/>
    <w:rsid w:val="00AB6293"/>
    <w:rsid w:val="00AE0928"/>
    <w:rsid w:val="00AF3B82"/>
    <w:rsid w:val="00B05E5D"/>
    <w:rsid w:val="00B12E95"/>
    <w:rsid w:val="00B22876"/>
    <w:rsid w:val="00B558F0"/>
    <w:rsid w:val="00BB2CD3"/>
    <w:rsid w:val="00BD2179"/>
    <w:rsid w:val="00BD48FE"/>
    <w:rsid w:val="00BD7BD8"/>
    <w:rsid w:val="00BE6ADC"/>
    <w:rsid w:val="00C05BFE"/>
    <w:rsid w:val="00C23CD4"/>
    <w:rsid w:val="00C61C0C"/>
    <w:rsid w:val="00C61C9B"/>
    <w:rsid w:val="00C941CB"/>
    <w:rsid w:val="00CB10F5"/>
    <w:rsid w:val="00CC2357"/>
    <w:rsid w:val="00CF071A"/>
    <w:rsid w:val="00D058B8"/>
    <w:rsid w:val="00D208F3"/>
    <w:rsid w:val="00D56C11"/>
    <w:rsid w:val="00D834A0"/>
    <w:rsid w:val="00D872DF"/>
    <w:rsid w:val="00D91E21"/>
    <w:rsid w:val="00DA7FCD"/>
    <w:rsid w:val="00DE6B3B"/>
    <w:rsid w:val="00E365E1"/>
    <w:rsid w:val="00E820A4"/>
    <w:rsid w:val="00EB006A"/>
    <w:rsid w:val="00EB4772"/>
    <w:rsid w:val="00ED169E"/>
    <w:rsid w:val="00ED4235"/>
    <w:rsid w:val="00EF6CEA"/>
    <w:rsid w:val="00F04346"/>
    <w:rsid w:val="00F075DC"/>
    <w:rsid w:val="00F149E9"/>
    <w:rsid w:val="00F5134D"/>
    <w:rsid w:val="00F6176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B16094"/>
  <w15:chartTrackingRefBased/>
  <w15:docId w15:val="{C00C5AA1-D9BB-49C4-9626-38FD375AA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208F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208F3"/>
    <w:pPr>
      <w:spacing w:before="480" w:after="240"/>
    </w:pPr>
  </w:style>
  <w:style w:type="paragraph" w:customStyle="1" w:styleId="PageHeading">
    <w:name w:val="PageHeading"/>
    <w:basedOn w:val="Normal"/>
    <w:rsid w:val="00D208F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208F3"/>
    <w:rPr>
      <w:b/>
    </w:rPr>
  </w:style>
  <w:style w:type="paragraph" w:customStyle="1" w:styleId="NormalHanging12a">
    <w:name w:val="NormalHanging12a"/>
    <w:basedOn w:val="Normal"/>
    <w:rsid w:val="00D208F3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D208F3"/>
    <w:pPr>
      <w:spacing w:after="240"/>
      <w:jc w:val="center"/>
    </w:pPr>
  </w:style>
  <w:style w:type="paragraph" w:styleId="Header">
    <w:name w:val="header"/>
    <w:basedOn w:val="Normal"/>
    <w:link w:val="HeaderChar"/>
    <w:rsid w:val="00D208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208F3"/>
    <w:rPr>
      <w:sz w:val="24"/>
      <w:lang w:val="fi-FI"/>
    </w:rPr>
  </w:style>
  <w:style w:type="paragraph" w:customStyle="1" w:styleId="AmNumberTabs">
    <w:name w:val="AmNumberTabs"/>
    <w:basedOn w:val="Normal"/>
    <w:rsid w:val="00D208F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D208F3"/>
    <w:pPr>
      <w:spacing w:before="720" w:after="240"/>
      <w:jc w:val="center"/>
    </w:pPr>
  </w:style>
  <w:style w:type="paragraph" w:customStyle="1" w:styleId="EPFooter">
    <w:name w:val="EPFooter"/>
    <w:basedOn w:val="Normal"/>
    <w:rsid w:val="00D208F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D208F3"/>
    <w:pPr>
      <w:spacing w:after="480"/>
    </w:pPr>
  </w:style>
  <w:style w:type="paragraph" w:customStyle="1" w:styleId="NormalBoldCenter">
    <w:name w:val="NormalBoldCenter"/>
    <w:basedOn w:val="Normal"/>
    <w:rsid w:val="00D208F3"/>
    <w:pPr>
      <w:jc w:val="center"/>
    </w:pPr>
    <w:rPr>
      <w:b/>
    </w:rPr>
  </w:style>
  <w:style w:type="paragraph" w:customStyle="1" w:styleId="Footprint12b">
    <w:name w:val="Footprint12b"/>
    <w:basedOn w:val="Normal"/>
    <w:rsid w:val="00D208F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208F3"/>
    <w:rPr>
      <w:szCs w:val="24"/>
    </w:rPr>
  </w:style>
  <w:style w:type="character" w:styleId="Hyperlink">
    <w:name w:val="Hyperlink"/>
    <w:basedOn w:val="DefaultParagraphFont"/>
    <w:rsid w:val="00D208F3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D208F3"/>
    <w:pPr>
      <w:spacing w:after="240"/>
    </w:pPr>
  </w:style>
  <w:style w:type="character" w:customStyle="1" w:styleId="NormalBoldChar">
    <w:name w:val="NormalBold Char"/>
    <w:basedOn w:val="DefaultParagraphFont"/>
    <w:link w:val="NormalBold"/>
    <w:rsid w:val="00D208F3"/>
    <w:rPr>
      <w:b/>
      <w:sz w:val="24"/>
      <w:lang w:val="fi-FI"/>
    </w:rPr>
  </w:style>
  <w:style w:type="paragraph" w:styleId="Footer">
    <w:name w:val="footer"/>
    <w:basedOn w:val="Normal"/>
    <w:link w:val="FooterChar"/>
    <w:rsid w:val="00447B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47B63"/>
    <w:rPr>
      <w:sz w:val="24"/>
      <w:lang w:val="fi-FI"/>
    </w:rPr>
  </w:style>
  <w:style w:type="paragraph" w:styleId="Revision">
    <w:name w:val="Revision"/>
    <w:hidden/>
    <w:uiPriority w:val="99"/>
    <w:semiHidden/>
    <w:rsid w:val="00301541"/>
    <w:rPr>
      <w:sz w:val="24"/>
      <w:lang w:val="fi-FI"/>
    </w:rPr>
  </w:style>
  <w:style w:type="paragraph" w:customStyle="1" w:styleId="FootnoteTextForceStyle">
    <w:name w:val="Footnote Text ForceStyle"/>
    <w:rsid w:val="00173B9D"/>
    <w:pPr>
      <w:keepLines/>
      <w:widowControl w:val="0"/>
      <w:spacing w:line="240" w:lineRule="exact"/>
      <w:ind w:left="850" w:hanging="850"/>
    </w:pPr>
    <w:rPr>
      <w:sz w:val="24"/>
      <w:lang w:val="fi-FI" w:eastAsia="en-US"/>
    </w:rPr>
  </w:style>
  <w:style w:type="character" w:customStyle="1" w:styleId="Hyperlink1">
    <w:name w:val="Hyperlink1"/>
    <w:basedOn w:val="DefaultParagraphFont"/>
    <w:uiPriority w:val="99"/>
    <w:rsid w:val="00173B9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21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2672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2026-01-27T13:35:00Z</dcterms:created>
  <dcterms:modified xsi:type="dcterms:W3CDTF">2026-01-27T13:35:00Z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