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1C67" w14:paraId="4C3FBA2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D49383" w14:textId="77777777" w:rsidR="00751A4A" w:rsidRPr="00BE1C67" w:rsidRDefault="00D22F68" w:rsidP="0010095E">
            <w:pPr>
              <w:pStyle w:val="EPName"/>
            </w:pPr>
            <w:r w:rsidRPr="00BE1C67">
              <w:t>Parlaimint na hEorpa</w:t>
            </w:r>
          </w:p>
          <w:p w14:paraId="192BF384" w14:textId="77777777" w:rsidR="00751A4A" w:rsidRPr="00BE1C6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1C67">
              <w:t>2024</w:t>
            </w:r>
            <w:r w:rsidR="00817416" w:rsidRPr="00BE1C67">
              <w:t>-202</w:t>
            </w:r>
            <w:r w:rsidRPr="00BE1C67">
              <w:t>9</w:t>
            </w:r>
          </w:p>
        </w:tc>
        <w:tc>
          <w:tcPr>
            <w:tcW w:w="2268" w:type="dxa"/>
            <w:shd w:val="clear" w:color="auto" w:fill="auto"/>
          </w:tcPr>
          <w:p w14:paraId="4629CA39" w14:textId="77777777" w:rsidR="00751A4A" w:rsidRPr="00BE1C67" w:rsidRDefault="00187494" w:rsidP="0010095E">
            <w:pPr>
              <w:pStyle w:val="EPLogo"/>
            </w:pPr>
            <w:r w:rsidRPr="00BE1C67">
              <w:rPr>
                <w:noProof/>
                <w:lang w:eastAsia="ja-JP"/>
              </w:rPr>
              <w:drawing>
                <wp:inline distT="0" distB="0" distL="0" distR="0" wp14:anchorId="640844EA" wp14:editId="2C48A21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D66FDF" w14:textId="77777777" w:rsidR="00D058B8" w:rsidRPr="00BE1C67" w:rsidRDefault="00D058B8" w:rsidP="004C5D52">
      <w:pPr>
        <w:pStyle w:val="LineTop"/>
      </w:pPr>
    </w:p>
    <w:p w14:paraId="148E8CD7" w14:textId="77777777" w:rsidR="00680577" w:rsidRPr="00BE1C67" w:rsidRDefault="00D22F68" w:rsidP="00680577">
      <w:pPr>
        <w:pStyle w:val="EPBodyTA1"/>
      </w:pPr>
      <w:r w:rsidRPr="00BE1C67">
        <w:t xml:space="preserve">TÉACSANNA ARNA </w:t>
      </w:r>
      <w:proofErr w:type="spellStart"/>
      <w:r w:rsidRPr="00BE1C67">
        <w:t>nGLACADH</w:t>
      </w:r>
      <w:proofErr w:type="spellEnd"/>
    </w:p>
    <w:p w14:paraId="3BBDCAE1" w14:textId="77777777" w:rsidR="00D058B8" w:rsidRPr="00BE1C67" w:rsidRDefault="00D058B8" w:rsidP="00D058B8">
      <w:pPr>
        <w:pStyle w:val="LineBottom"/>
      </w:pPr>
    </w:p>
    <w:p w14:paraId="7B1CEB1B" w14:textId="3C5634DA" w:rsidR="00D22F68" w:rsidRPr="00BE1C67" w:rsidRDefault="00D22F68" w:rsidP="00D22F68">
      <w:pPr>
        <w:pStyle w:val="ATHeading1"/>
      </w:pPr>
      <w:bookmarkStart w:id="0" w:name="TANumber"/>
      <w:r w:rsidRPr="00BE1C67">
        <w:t>P10_TA(2025)0</w:t>
      </w:r>
      <w:bookmarkEnd w:id="0"/>
      <w:r w:rsidR="00AC5B41">
        <w:t>296</w:t>
      </w:r>
    </w:p>
    <w:p w14:paraId="1F74750E" w14:textId="02FFB8F3" w:rsidR="00D22F68" w:rsidRPr="00BE1C67" w:rsidRDefault="00640069" w:rsidP="00D22F68">
      <w:pPr>
        <w:pStyle w:val="ATHeading2"/>
      </w:pPr>
      <w:bookmarkStart w:id="1" w:name="title"/>
      <w:r w:rsidRPr="00640069">
        <w:t>Éifeachtúlacht ráthaíocht AE a mhéadú faoin Rialachán InvestEU agus ceanglais tuairiscithe a shimpliú</w:t>
      </w:r>
      <w:bookmarkEnd w:id="1"/>
    </w:p>
    <w:p w14:paraId="51BB5282" w14:textId="5B7BB189" w:rsidR="00D22F68" w:rsidRPr="00BE1C67" w:rsidRDefault="00D22F68" w:rsidP="00D22F68">
      <w:pPr>
        <w:rPr>
          <w:i/>
          <w:vanish/>
        </w:rPr>
      </w:pPr>
      <w:r w:rsidRPr="00BE1C67">
        <w:rPr>
          <w:i/>
        </w:rPr>
        <w:fldChar w:fldCharType="begin"/>
      </w:r>
      <w:r w:rsidRPr="00BE1C67">
        <w:rPr>
          <w:i/>
        </w:rPr>
        <w:instrText xml:space="preserve"> TC"(</w:instrText>
      </w:r>
      <w:bookmarkStart w:id="2" w:name="DocNumber"/>
      <w:r w:rsidRPr="00BE1C67">
        <w:rPr>
          <w:i/>
        </w:rPr>
        <w:instrText>A10-0117/2025</w:instrText>
      </w:r>
      <w:bookmarkEnd w:id="2"/>
      <w:r w:rsidRPr="00BE1C67">
        <w:rPr>
          <w:i/>
        </w:rPr>
        <w:instrText xml:space="preserve"> - </w:instrText>
      </w:r>
      <w:proofErr w:type="spellStart"/>
      <w:r w:rsidRPr="00BE1C67">
        <w:rPr>
          <w:i/>
        </w:rPr>
        <w:instrText>Rapóirtéir</w:instrText>
      </w:r>
      <w:r w:rsidR="00C431F6">
        <w:rPr>
          <w:i/>
        </w:rPr>
        <w:instrText>í</w:instrText>
      </w:r>
      <w:r w:rsidRPr="00BE1C67">
        <w:rPr>
          <w:i/>
        </w:rPr>
        <w:instrText>:Aura</w:instrText>
      </w:r>
      <w:proofErr w:type="spellEnd"/>
      <w:r w:rsidRPr="00BE1C67">
        <w:rPr>
          <w:i/>
        </w:rPr>
        <w:instrText xml:space="preserve"> </w:instrText>
      </w:r>
      <w:proofErr w:type="spellStart"/>
      <w:r w:rsidRPr="00BE1C67">
        <w:rPr>
          <w:i/>
        </w:rPr>
        <w:instrText>Salla</w:instrText>
      </w:r>
      <w:proofErr w:type="spellEnd"/>
      <w:r w:rsidRPr="00BE1C67">
        <w:rPr>
          <w:i/>
        </w:rPr>
        <w:instrText xml:space="preserve">, </w:instrText>
      </w:r>
      <w:proofErr w:type="spellStart"/>
      <w:r w:rsidRPr="00BE1C67">
        <w:rPr>
          <w:i/>
        </w:rPr>
        <w:instrText>Irene</w:instrText>
      </w:r>
      <w:proofErr w:type="spellEnd"/>
      <w:r w:rsidRPr="00BE1C67">
        <w:rPr>
          <w:i/>
        </w:rPr>
        <w:instrText xml:space="preserve"> </w:instrText>
      </w:r>
      <w:proofErr w:type="spellStart"/>
      <w:r w:rsidRPr="00BE1C67">
        <w:rPr>
          <w:i/>
        </w:rPr>
        <w:instrText>Tinagli</w:instrText>
      </w:r>
      <w:proofErr w:type="spellEnd"/>
      <w:r w:rsidRPr="00BE1C67">
        <w:rPr>
          <w:i/>
        </w:rPr>
        <w:instrText xml:space="preserve">)"\l3 \n&gt; \* MERGEFORMAT </w:instrText>
      </w:r>
      <w:r w:rsidRPr="00BE1C67">
        <w:rPr>
          <w:i/>
        </w:rPr>
        <w:fldChar w:fldCharType="end"/>
      </w:r>
    </w:p>
    <w:p w14:paraId="1A591674" w14:textId="77777777" w:rsidR="00D22F68" w:rsidRPr="00BE1C67" w:rsidRDefault="00D22F68" w:rsidP="00D22F68">
      <w:pPr>
        <w:rPr>
          <w:vanish/>
        </w:rPr>
      </w:pPr>
      <w:bookmarkStart w:id="3" w:name="Commission"/>
      <w:r w:rsidRPr="00BE1C67">
        <w:rPr>
          <w:vanish/>
        </w:rPr>
        <w:t>An Coiste um Buiséid, An Coiste um Ghnóthaí Eacnamaíochta agus Airgeadaíochta</w:t>
      </w:r>
      <w:bookmarkEnd w:id="3"/>
    </w:p>
    <w:p w14:paraId="66BF0FB8" w14:textId="77777777" w:rsidR="00D22F68" w:rsidRPr="00BE1C67" w:rsidRDefault="00D22F68" w:rsidP="00D22F68">
      <w:pPr>
        <w:rPr>
          <w:vanish/>
        </w:rPr>
      </w:pPr>
      <w:bookmarkStart w:id="4" w:name="PE"/>
      <w:r w:rsidRPr="00BE1C67">
        <w:rPr>
          <w:vanish/>
        </w:rPr>
        <w:t>PE773.087</w:t>
      </w:r>
      <w:bookmarkEnd w:id="4"/>
    </w:p>
    <w:p w14:paraId="4ACAECCB" w14:textId="12B6B686" w:rsidR="00D22F68" w:rsidRPr="00BE1C67" w:rsidRDefault="00D22F68" w:rsidP="00D22F68">
      <w:pPr>
        <w:pStyle w:val="ATHeading3"/>
      </w:pPr>
      <w:bookmarkStart w:id="5" w:name="Sujet"/>
      <w:r w:rsidRPr="00BE1C67">
        <w:t xml:space="preserve">Rún reachtach ó Pharlaimint na hEorpa an </w:t>
      </w:r>
      <w:r w:rsidR="00640069">
        <w:t>2</w:t>
      </w:r>
      <w:r w:rsidR="00016BEE">
        <w:t>6</w:t>
      </w:r>
      <w:r w:rsidR="00640069" w:rsidRPr="00BE1C67">
        <w:t xml:space="preserve"> </w:t>
      </w:r>
      <w:r w:rsidR="00640069">
        <w:t>Samhain</w:t>
      </w:r>
      <w:r w:rsidR="00640069" w:rsidRPr="00BE1C67">
        <w:t xml:space="preserve"> </w:t>
      </w:r>
      <w:r w:rsidRPr="00BE1C67">
        <w:t>2025 ar an togra le haghaidh Rialachán ó Pharlaimint na hEorpa agus ón gComhairle lena leasaítear Rialacháin (AE) 2015/1017, (AE) 2021/523, (AE) 2021/695 agus (AE) 2021/1153 a mhéid a bhaineann le héifeachtúlacht ráthaíocht AE a mhéadú faoi Rialachán (AE) 2021/523 agus ceanglais tuairiscithe a shimpliú</w:t>
      </w:r>
      <w:bookmarkEnd w:id="5"/>
      <w:r w:rsidRPr="00BE1C67">
        <w:t xml:space="preserve"> </w:t>
      </w:r>
      <w:bookmarkStart w:id="6" w:name="References"/>
      <w:r w:rsidRPr="00BE1C67">
        <w:t>(COM(2025)0084 – C10-0036/2025 – 2025/0040(COD))</w:t>
      </w:r>
      <w:bookmarkEnd w:id="6"/>
    </w:p>
    <w:p w14:paraId="65EB179D" w14:textId="77777777" w:rsidR="00D22F68" w:rsidRPr="00BE1C67" w:rsidRDefault="00D22F68" w:rsidP="00D22F68"/>
    <w:p w14:paraId="2CE4348A" w14:textId="3E728014" w:rsidR="00682194" w:rsidRPr="00BE1C67" w:rsidRDefault="00682194" w:rsidP="00682194">
      <w:pPr>
        <w:pStyle w:val="NormalBold"/>
      </w:pPr>
      <w:bookmarkStart w:id="7" w:name="TextBodyBegin"/>
      <w:bookmarkEnd w:id="7"/>
      <w:r w:rsidRPr="00BE1C67">
        <w:t>(</w:t>
      </w:r>
      <w:r w:rsidR="00640069">
        <w:t>An g</w:t>
      </w:r>
      <w:r w:rsidRPr="00BE1C67">
        <w:t>náthnós imeachta reachtach: an chéad léamh)</w:t>
      </w:r>
    </w:p>
    <w:p w14:paraId="49C06826" w14:textId="77777777" w:rsidR="00682194" w:rsidRPr="00BE1C67" w:rsidRDefault="00682194" w:rsidP="00682194">
      <w:pPr>
        <w:pStyle w:val="EPComma"/>
      </w:pPr>
      <w:r w:rsidRPr="00BE1C67">
        <w:rPr>
          <w:i/>
        </w:rPr>
        <w:t>Tá Parlaimint na hEorpa</w:t>
      </w:r>
      <w:r w:rsidRPr="00BE1C67">
        <w:t>,</w:t>
      </w:r>
    </w:p>
    <w:p w14:paraId="756867B9" w14:textId="77777777" w:rsidR="00682194" w:rsidRPr="00BE1C67" w:rsidRDefault="00682194" w:rsidP="00682194">
      <w:pPr>
        <w:pStyle w:val="NormalHanging12a"/>
      </w:pPr>
      <w:r w:rsidRPr="00BE1C67">
        <w:t>–</w:t>
      </w:r>
      <w:r w:rsidRPr="00BE1C67">
        <w:tab/>
        <w:t>ag féachaint don togra ón gCoimisiún chuig Parlaimint na hEorpa agus chuig an gComhairle (COM(2025)0084),</w:t>
      </w:r>
    </w:p>
    <w:p w14:paraId="41600FF4" w14:textId="49A851D6" w:rsidR="00682194" w:rsidRPr="00BE1C67" w:rsidRDefault="00682194" w:rsidP="00682194">
      <w:pPr>
        <w:pStyle w:val="NormalHanging12a"/>
      </w:pPr>
      <w:r w:rsidRPr="00BE1C67">
        <w:t>–</w:t>
      </w:r>
      <w:r w:rsidRPr="00BE1C67">
        <w:tab/>
        <w:t xml:space="preserve">ag féachaint </w:t>
      </w:r>
      <w:proofErr w:type="spellStart"/>
      <w:r w:rsidRPr="00BE1C67">
        <w:t>d’Airteagal</w:t>
      </w:r>
      <w:proofErr w:type="spellEnd"/>
      <w:r w:rsidRPr="00BE1C67">
        <w:t xml:space="preserve"> 294(2), agus </w:t>
      </w:r>
      <w:proofErr w:type="spellStart"/>
      <w:r w:rsidRPr="00BE1C67">
        <w:t>d’Airteagal</w:t>
      </w:r>
      <w:proofErr w:type="spellEnd"/>
      <w:r w:rsidRPr="00BE1C67">
        <w:t xml:space="preserve"> 172 agus </w:t>
      </w:r>
      <w:proofErr w:type="spellStart"/>
      <w:r w:rsidRPr="00BE1C67">
        <w:t>d’Airteagal</w:t>
      </w:r>
      <w:proofErr w:type="spellEnd"/>
      <w:r w:rsidRPr="00BE1C67">
        <w:t xml:space="preserve"> 173, </w:t>
      </w:r>
      <w:proofErr w:type="spellStart"/>
      <w:r w:rsidRPr="00BE1C67">
        <w:t>d’Airteagal</w:t>
      </w:r>
      <w:proofErr w:type="spellEnd"/>
      <w:r w:rsidRPr="00BE1C67">
        <w:t xml:space="preserve"> 175(3), </w:t>
      </w:r>
      <w:proofErr w:type="spellStart"/>
      <w:r w:rsidRPr="00BE1C67">
        <w:t>d’Airteagal</w:t>
      </w:r>
      <w:proofErr w:type="spellEnd"/>
      <w:r w:rsidRPr="00BE1C67">
        <w:t xml:space="preserve"> 182(1), </w:t>
      </w:r>
      <w:r w:rsidR="007B7281">
        <w:t xml:space="preserve">Airteagal 183, </w:t>
      </w:r>
      <w:proofErr w:type="spellStart"/>
      <w:r w:rsidRPr="00BE1C67">
        <w:t>d’Airteagal</w:t>
      </w:r>
      <w:proofErr w:type="spellEnd"/>
      <w:r w:rsidRPr="00BE1C67">
        <w:t xml:space="preserve"> 188(2), agus </w:t>
      </w:r>
      <w:proofErr w:type="spellStart"/>
      <w:r w:rsidRPr="00BE1C67">
        <w:t>d’Airteagal</w:t>
      </w:r>
      <w:proofErr w:type="spellEnd"/>
      <w:r w:rsidRPr="00BE1C67">
        <w:t xml:space="preserve"> 194 den Chonradh ar Fheidhmiú an Aontais Eorpaigh, ar dá mbun a thíolaic an Coimisiún an togra do Pharlaimint na hEorpa (C10</w:t>
      </w:r>
      <w:r w:rsidRPr="00BE1C67">
        <w:noBreakHyphen/>
        <w:t>0036/2025),</w:t>
      </w:r>
    </w:p>
    <w:p w14:paraId="1D50E546" w14:textId="77777777" w:rsidR="00682194" w:rsidRPr="00BE1C67" w:rsidRDefault="00682194" w:rsidP="00682194">
      <w:pPr>
        <w:pStyle w:val="NormalHanging12a"/>
      </w:pPr>
      <w:r w:rsidRPr="00BE1C67">
        <w:t>–</w:t>
      </w:r>
      <w:r w:rsidRPr="00BE1C67">
        <w:tab/>
        <w:t xml:space="preserve">ag féachaint </w:t>
      </w:r>
      <w:proofErr w:type="spellStart"/>
      <w:r w:rsidRPr="00BE1C67">
        <w:t>d’Airteagal</w:t>
      </w:r>
      <w:proofErr w:type="spellEnd"/>
      <w:r w:rsidRPr="00BE1C67">
        <w:t xml:space="preserve"> 294(3) den Chonradh ar Fheidhmiú an Aontais Eorpaigh,</w:t>
      </w:r>
    </w:p>
    <w:p w14:paraId="43787BE8" w14:textId="77777777" w:rsidR="00682194" w:rsidRPr="00BE1C67" w:rsidRDefault="00682194" w:rsidP="00682194">
      <w:pPr>
        <w:pStyle w:val="NormalHanging12a"/>
      </w:pPr>
      <w:r w:rsidRPr="00BE1C67">
        <w:t>–</w:t>
      </w:r>
      <w:r w:rsidRPr="00BE1C67">
        <w:tab/>
        <w:t>ag féachaint do thuairim ó Choiste Eacnamaíoch agus Sóisialta na hEorpa an 29 Aibreán 2025</w:t>
      </w:r>
      <w:r w:rsidRPr="00BE1C67">
        <w:rPr>
          <w:rStyle w:val="FootnoteReference"/>
        </w:rPr>
        <w:footnoteReference w:id="1"/>
      </w:r>
      <w:r w:rsidRPr="00BE1C67">
        <w:t>,</w:t>
      </w:r>
    </w:p>
    <w:p w14:paraId="00364615" w14:textId="77777777" w:rsidR="00682194" w:rsidRDefault="00682194" w:rsidP="00682194">
      <w:pPr>
        <w:pStyle w:val="NormalHanging12a"/>
      </w:pPr>
      <w:r w:rsidRPr="00BE1C67">
        <w:t>–</w:t>
      </w:r>
      <w:r w:rsidRPr="00BE1C67">
        <w:tab/>
        <w:t>tar éis di dul i gcomhairle le Coiste na Réigiún,</w:t>
      </w:r>
    </w:p>
    <w:p w14:paraId="0E1EBBCD" w14:textId="7CF79214" w:rsidR="007B7281" w:rsidRPr="00BE1C67" w:rsidRDefault="007B7281" w:rsidP="00682194">
      <w:pPr>
        <w:pStyle w:val="NormalHanging12a"/>
      </w:pPr>
      <w:r w:rsidRPr="00BE1C67">
        <w:t>–</w:t>
      </w:r>
      <w:r w:rsidRPr="00BE1C67">
        <w:tab/>
      </w:r>
      <w:r w:rsidRPr="007B7281">
        <w:t xml:space="preserve">ag féachaint don chomhaontú sealadach arna fhormheas de bhun Riail 75(4) dá Rialacha Nós Imeachta ag na coistí freagracha, agus don ghealltanas a thug ionadaí na Comhairle i litir dar dáta an </w:t>
      </w:r>
      <w:r>
        <w:t>8</w:t>
      </w:r>
      <w:r w:rsidRPr="007B7281">
        <w:t xml:space="preserve"> </w:t>
      </w:r>
      <w:r>
        <w:t>Deireadh Fómhair</w:t>
      </w:r>
      <w:r w:rsidRPr="007B7281">
        <w:t xml:space="preserve"> 202</w:t>
      </w:r>
      <w:r>
        <w:t>5</w:t>
      </w:r>
      <w:r w:rsidRPr="007B7281">
        <w:t xml:space="preserve"> go ndéanfadh sí seasamh Pharlaimint na hEorpa a fhormheas, i gcomhréir le hAirteagal 294(4) den Chonradh ar Fheidhmiú an Aontais Eorpaigh</w:t>
      </w:r>
      <w:r>
        <w:t>,</w:t>
      </w:r>
    </w:p>
    <w:p w14:paraId="3D2B3C17" w14:textId="77777777" w:rsidR="00682194" w:rsidRPr="00BE1C67" w:rsidRDefault="00682194" w:rsidP="00682194">
      <w:pPr>
        <w:pStyle w:val="NormalHanging12a"/>
      </w:pPr>
      <w:r w:rsidRPr="00BE1C67">
        <w:lastRenderedPageBreak/>
        <w:t>–</w:t>
      </w:r>
      <w:r w:rsidRPr="00BE1C67">
        <w:tab/>
        <w:t>ag féachaint do Riail 60 dá Rialacha Nós Imeachta,</w:t>
      </w:r>
    </w:p>
    <w:p w14:paraId="3EAD1B7E" w14:textId="77777777" w:rsidR="00682194" w:rsidRPr="00BE1C67" w:rsidRDefault="00682194" w:rsidP="00682194">
      <w:pPr>
        <w:pStyle w:val="NormalHanging12a"/>
      </w:pPr>
      <w:r w:rsidRPr="00BE1C67">
        <w:t>–</w:t>
      </w:r>
      <w:r w:rsidRPr="00BE1C67">
        <w:tab/>
        <w:t xml:space="preserve">ag féachaint do </w:t>
      </w:r>
      <w:proofErr w:type="spellStart"/>
      <w:r w:rsidRPr="00BE1C67">
        <w:t>chomhphléití</w:t>
      </w:r>
      <w:proofErr w:type="spellEnd"/>
      <w:r w:rsidRPr="00BE1C67">
        <w:t xml:space="preserve"> an Choiste um Buiséid agus an Choiste um </w:t>
      </w:r>
      <w:proofErr w:type="spellStart"/>
      <w:r w:rsidRPr="00BE1C67">
        <w:t>Ghnóthaí</w:t>
      </w:r>
      <w:proofErr w:type="spellEnd"/>
      <w:r w:rsidRPr="00BE1C67">
        <w:t xml:space="preserve"> Eacnamaíochta agus Airgeadaíochta faoi Riail 59 de na Rialacha Nós Imeachta,</w:t>
      </w:r>
    </w:p>
    <w:p w14:paraId="12049089" w14:textId="77777777" w:rsidR="00682194" w:rsidRPr="00BE1C67" w:rsidRDefault="00682194" w:rsidP="00682194">
      <w:pPr>
        <w:pStyle w:val="NormalHanging12a"/>
      </w:pPr>
      <w:r w:rsidRPr="00BE1C67">
        <w:t>–</w:t>
      </w:r>
      <w:r w:rsidRPr="00BE1C67">
        <w:tab/>
        <w:t>ag féachaint do na tuairimí ón gCoiste um Thionsclaíocht, um Thaighde agus um Fhuinneamh agus ón gCoiste um Thalmhaíocht agus um Fhorbairt Tuaithe,</w:t>
      </w:r>
    </w:p>
    <w:p w14:paraId="5429907D" w14:textId="77777777" w:rsidR="00682194" w:rsidRPr="00BE1C67" w:rsidRDefault="00682194" w:rsidP="00682194">
      <w:pPr>
        <w:pStyle w:val="NormalHanging12a"/>
      </w:pPr>
      <w:r w:rsidRPr="00BE1C67">
        <w:t>–</w:t>
      </w:r>
      <w:r w:rsidRPr="00BE1C67">
        <w:tab/>
        <w:t xml:space="preserve">ag féachaint don tuarascáil ón gCoiste um Buiséid agus ón gCoiste um </w:t>
      </w:r>
      <w:proofErr w:type="spellStart"/>
      <w:r w:rsidRPr="00BE1C67">
        <w:t>Ghnóthaí</w:t>
      </w:r>
      <w:proofErr w:type="spellEnd"/>
      <w:r w:rsidRPr="00BE1C67">
        <w:t xml:space="preserve"> Eacnamaíochta agus Airgeadaíochta (A10-0117/2025),</w:t>
      </w:r>
    </w:p>
    <w:p w14:paraId="5998F881" w14:textId="012B349A" w:rsidR="00682194" w:rsidRPr="00BE1C67" w:rsidRDefault="00682194" w:rsidP="00682194">
      <w:pPr>
        <w:pStyle w:val="NormalHanging12a"/>
      </w:pPr>
      <w:r w:rsidRPr="00BE1C67">
        <w:t>1.</w:t>
      </w:r>
      <w:r w:rsidRPr="00BE1C67">
        <w:tab/>
        <w:t>ag glacadh a seasaimh ar an gcéad léamh mar a leagtar amach ina dhiaidh seo é;</w:t>
      </w:r>
    </w:p>
    <w:p w14:paraId="5C8258AF" w14:textId="77777777" w:rsidR="00682194" w:rsidRPr="00BE1C67" w:rsidRDefault="00682194" w:rsidP="00682194">
      <w:pPr>
        <w:pStyle w:val="NormalHanging12a"/>
      </w:pPr>
      <w:r w:rsidRPr="00BE1C67">
        <w:t>2.</w:t>
      </w:r>
      <w:r w:rsidRPr="00BE1C67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20E95004" w14:textId="77777777" w:rsidR="00640069" w:rsidRDefault="00682194" w:rsidP="00682194">
      <w:pPr>
        <w:pStyle w:val="NormalHanging12a"/>
      </w:pPr>
      <w:r w:rsidRPr="00BE1C67">
        <w:t>3.</w:t>
      </w:r>
      <w:r w:rsidRPr="00BE1C67">
        <w:tab/>
        <w:t xml:space="preserve">á threorú dá hUachtarán a seasamh a chur ar aghaidh chuig an gComhairle, chuig an gCoimisiún agus chuig na </w:t>
      </w:r>
      <w:proofErr w:type="spellStart"/>
      <w:r w:rsidRPr="00BE1C67">
        <w:t>parlaimintí</w:t>
      </w:r>
      <w:proofErr w:type="spellEnd"/>
      <w:r w:rsidRPr="00BE1C67">
        <w:t xml:space="preserve"> náisiúnta.</w:t>
      </w:r>
    </w:p>
    <w:p w14:paraId="6A33F51C" w14:textId="77777777" w:rsidR="007B7281" w:rsidRDefault="007B7281" w:rsidP="00682194">
      <w:pPr>
        <w:pStyle w:val="NormalHanging12a"/>
        <w:sectPr w:rsidR="007B7281" w:rsidSect="00BE1C67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FC14D3F" w14:textId="77777777" w:rsidR="007B7281" w:rsidRPr="00586FAD" w:rsidRDefault="007B7281" w:rsidP="007B728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586FAD">
        <w:rPr>
          <w:b/>
          <w:bCs/>
          <w:color w:val="000000"/>
        </w:rPr>
        <w:lastRenderedPageBreak/>
        <w:t>P10_TC1-COD(2025)0040</w:t>
      </w:r>
    </w:p>
    <w:p w14:paraId="2A8B1A14" w14:textId="718DA5CC" w:rsidR="006573F5" w:rsidRPr="006573F5" w:rsidRDefault="006573F5" w:rsidP="006573F5">
      <w:pPr>
        <w:widowControl/>
        <w:spacing w:before="360" w:after="360"/>
        <w:rPr>
          <w:b/>
          <w:szCs w:val="24"/>
          <w:lang w:eastAsia="en-US"/>
        </w:rPr>
      </w:pPr>
      <w:r w:rsidRPr="006573F5">
        <w:rPr>
          <w:b/>
          <w:bCs/>
        </w:rPr>
        <w:t xml:space="preserve">Seasamh ó Pharlaimint na hEorpa arna ghlacadh ar an gcéad léamh an </w:t>
      </w:r>
      <w:r>
        <w:rPr>
          <w:b/>
          <w:bCs/>
        </w:rPr>
        <w:t>2</w:t>
      </w:r>
      <w:r w:rsidR="00016BEE">
        <w:rPr>
          <w:b/>
          <w:bCs/>
        </w:rPr>
        <w:t>6</w:t>
      </w:r>
      <w:r w:rsidRPr="006573F5">
        <w:rPr>
          <w:b/>
          <w:bCs/>
        </w:rPr>
        <w:t xml:space="preserve"> Samhain 2025 chun go nglacfaí Rialachán (AE) 2025/... ó Pharlaimint na hEorpa agus ón gComhairle </w:t>
      </w:r>
      <w:r w:rsidRPr="006573F5">
        <w:rPr>
          <w:b/>
          <w:szCs w:val="24"/>
          <w:lang w:eastAsia="en-US"/>
        </w:rPr>
        <w:t>lena leasaítear Rialacháin (AE) 2015/1017, (AE) 2021/523, (AE) 2021/695 agus (AE) 2021/1153 a mhéid a bhaineann le héifeachtúlacht ráthaíocht AE a mhéadú faoi Rialachán (AE) 2021/523 agus ceanglais tuairiscithe a shimpliú</w:t>
      </w:r>
    </w:p>
    <w:p w14:paraId="1D4C2581" w14:textId="7DB5AADD" w:rsidR="00E365E1" w:rsidRPr="001F5010" w:rsidRDefault="001F5010" w:rsidP="001F5010">
      <w:pPr>
        <w:widowControl/>
        <w:spacing w:before="100" w:beforeAutospacing="1" w:after="100" w:afterAutospacing="1"/>
        <w:rPr>
          <w:i/>
          <w:color w:val="000000"/>
          <w:szCs w:val="24"/>
        </w:rPr>
      </w:pPr>
      <w:r w:rsidRPr="001F5010">
        <w:rPr>
          <w:i/>
          <w:color w:val="000000"/>
          <w:szCs w:val="24"/>
        </w:rPr>
        <w:t>(Ós rud é gur tháinig an Pharlaimint agus an Chomhairle ar chomhaontú, comhfhreagraíonn seasamh na Parlaiminte don ghníomh reachtach críochnaitheach, Rialachán (AE) 202</w:t>
      </w:r>
      <w:r>
        <w:rPr>
          <w:i/>
          <w:color w:val="000000"/>
          <w:szCs w:val="24"/>
        </w:rPr>
        <w:t>5/2005.</w:t>
      </w:r>
      <w:r w:rsidRPr="001F5010">
        <w:rPr>
          <w:i/>
          <w:color w:val="000000"/>
          <w:szCs w:val="24"/>
        </w:rPr>
        <w:t>)</w:t>
      </w:r>
    </w:p>
    <w:sectPr w:rsidR="00E365E1" w:rsidRPr="001F5010" w:rsidSect="00BE1C6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A8BF9" w14:textId="77777777" w:rsidR="00D22F68" w:rsidRPr="00BE1C67" w:rsidRDefault="00D22F68">
      <w:r w:rsidRPr="00BE1C67">
        <w:separator/>
      </w:r>
    </w:p>
  </w:endnote>
  <w:endnote w:type="continuationSeparator" w:id="0">
    <w:p w14:paraId="2C6D1372" w14:textId="77777777" w:rsidR="00D22F68" w:rsidRPr="00BE1C67" w:rsidRDefault="00D22F68">
      <w:r w:rsidRPr="00BE1C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1108" w14:textId="77777777" w:rsidR="00682194" w:rsidRPr="00BE1C67" w:rsidRDefault="00682194" w:rsidP="0017126F">
    <w:pPr>
      <w:pStyle w:val="EPFooter"/>
    </w:pPr>
    <w:r w:rsidRPr="00BE1C67">
      <w:t>PE</w:t>
    </w:r>
    <w:r w:rsidRPr="00BE1C67">
      <w:rPr>
        <w:rStyle w:val="HideTWBExt"/>
      </w:rPr>
      <w:t>&lt;NoPE&gt;</w:t>
    </w:r>
    <w:r w:rsidRPr="00BE1C67">
      <w:t>773.087</w:t>
    </w:r>
    <w:r w:rsidRPr="00BE1C67">
      <w:rPr>
        <w:rStyle w:val="HideTWBExt"/>
      </w:rPr>
      <w:t>&lt;/NoPE&gt;&lt;Version&gt;</w:t>
    </w:r>
    <w:r w:rsidRPr="00BE1C67">
      <w:t>v02-00</w:t>
    </w:r>
    <w:r w:rsidRPr="00BE1C67">
      <w:rPr>
        <w:rStyle w:val="HideTWBExt"/>
      </w:rPr>
      <w:t>&lt;/Version&gt;</w:t>
    </w:r>
    <w:r w:rsidRPr="00BE1C67">
      <w:tab/>
    </w:r>
    <w:r w:rsidRPr="00BE1C67">
      <w:fldChar w:fldCharType="begin"/>
    </w:r>
    <w:r w:rsidRPr="00BE1C67">
      <w:instrText xml:space="preserve"> PAGE  \* MERGEFORMAT </w:instrText>
    </w:r>
    <w:r w:rsidRPr="00BE1C67">
      <w:fldChar w:fldCharType="separate"/>
    </w:r>
    <w:r w:rsidRPr="00BE1C67">
      <w:rPr>
        <w:noProof/>
      </w:rPr>
      <w:t>44</w:t>
    </w:r>
    <w:r w:rsidRPr="00BE1C67">
      <w:fldChar w:fldCharType="end"/>
    </w:r>
    <w:r w:rsidRPr="00BE1C67">
      <w:t>/</w:t>
    </w:r>
    <w:r w:rsidR="00742E76">
      <w:fldChar w:fldCharType="begin"/>
    </w:r>
    <w:r w:rsidR="00742E76">
      <w:instrText xml:space="preserve"> NUMPAGES  \* MERGEFORMAT </w:instrText>
    </w:r>
    <w:r w:rsidR="00742E76">
      <w:fldChar w:fldCharType="separate"/>
    </w:r>
    <w:r w:rsidRPr="00BE1C67">
      <w:rPr>
        <w:noProof/>
      </w:rPr>
      <w:t>58</w:t>
    </w:r>
    <w:r w:rsidR="00742E76">
      <w:rPr>
        <w:noProof/>
      </w:rPr>
      <w:fldChar w:fldCharType="end"/>
    </w:r>
    <w:r w:rsidRPr="00BE1C67">
      <w:tab/>
    </w:r>
    <w:r w:rsidRPr="00BE1C67">
      <w:rPr>
        <w:rStyle w:val="HideTWBExt"/>
      </w:rPr>
      <w:t>&lt;PathFdR&gt;</w:t>
    </w:r>
    <w:r w:rsidRPr="00BE1C67">
      <w:t>RR\1323942GA.docx</w:t>
    </w:r>
    <w:r w:rsidRPr="00BE1C67">
      <w:rPr>
        <w:rStyle w:val="HideTWBExt"/>
      </w:rPr>
      <w:t>&lt;/PathFdR&gt;</w:t>
    </w:r>
  </w:p>
  <w:p w14:paraId="01F12080" w14:textId="77777777" w:rsidR="00682194" w:rsidRPr="00BE1C67" w:rsidRDefault="00682194" w:rsidP="0017126F">
    <w:pPr>
      <w:pStyle w:val="EPFooter2"/>
    </w:pPr>
    <w:r w:rsidRPr="00BE1C67">
      <w:t>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B7E59" w14:textId="77777777" w:rsidR="00682194" w:rsidRPr="00BE1C67" w:rsidRDefault="00682194" w:rsidP="0017126F">
    <w:pPr>
      <w:pStyle w:val="EPFooter"/>
    </w:pPr>
    <w:r w:rsidRPr="00BE1C67">
      <w:rPr>
        <w:rStyle w:val="HideTWBExt"/>
      </w:rPr>
      <w:t>&lt;PathFdR&gt;</w:t>
    </w:r>
    <w:r w:rsidRPr="00BE1C67">
      <w:t>RR\1323942GA.docx</w:t>
    </w:r>
    <w:r w:rsidRPr="00BE1C67">
      <w:rPr>
        <w:rStyle w:val="HideTWBExt"/>
      </w:rPr>
      <w:t>&lt;/PathFdR&gt;</w:t>
    </w:r>
    <w:r w:rsidRPr="00BE1C67">
      <w:tab/>
    </w:r>
    <w:r w:rsidRPr="00BE1C67">
      <w:tab/>
      <w:t>PE</w:t>
    </w:r>
    <w:r w:rsidRPr="00BE1C67">
      <w:rPr>
        <w:rStyle w:val="HideTWBExt"/>
      </w:rPr>
      <w:t>&lt;NoPE&gt;</w:t>
    </w:r>
    <w:r w:rsidRPr="00BE1C67">
      <w:t>773.087</w:t>
    </w:r>
    <w:r w:rsidRPr="00BE1C67">
      <w:rPr>
        <w:rStyle w:val="HideTWBExt"/>
      </w:rPr>
      <w:t>&lt;/NoPE&gt;&lt;Version&gt;</w:t>
    </w:r>
    <w:r w:rsidRPr="00BE1C67">
      <w:t>v02-00</w:t>
    </w:r>
    <w:r w:rsidRPr="00BE1C67">
      <w:rPr>
        <w:rStyle w:val="HideTWBExt"/>
      </w:rPr>
      <w:t>&lt;/Version&gt;</w:t>
    </w:r>
  </w:p>
  <w:p w14:paraId="243AD7E7" w14:textId="77777777" w:rsidR="00682194" w:rsidRPr="00BE1C67" w:rsidRDefault="00682194" w:rsidP="0017126F">
    <w:pPr>
      <w:pStyle w:val="EPFooter2"/>
    </w:pPr>
    <w:r w:rsidRPr="00BE1C67">
      <w:t>GA</w:t>
    </w:r>
    <w:r w:rsidRPr="00BE1C67">
      <w:tab/>
    </w:r>
    <w:r w:rsidRPr="00BE1C67">
      <w:rPr>
        <w:b w:val="0"/>
        <w:i/>
        <w:color w:val="C0C0C0"/>
        <w:sz w:val="22"/>
      </w:rPr>
      <w:t>Aontaithe san éagsúlacht</w:t>
    </w:r>
    <w:r w:rsidRPr="00BE1C67">
      <w:tab/>
      <w:t>GA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2FEEC" w14:textId="77777777" w:rsidR="00064002" w:rsidRPr="00BE1C67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071D6" w14:textId="77777777" w:rsidR="00064002" w:rsidRPr="00BE1C6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3A632" w14:textId="77777777" w:rsidR="00064002" w:rsidRPr="00BE1C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A438C" w14:textId="77777777" w:rsidR="00D22F68" w:rsidRPr="00BE1C67" w:rsidRDefault="00D22F68">
      <w:r w:rsidRPr="00BE1C67">
        <w:separator/>
      </w:r>
    </w:p>
  </w:footnote>
  <w:footnote w:type="continuationSeparator" w:id="0">
    <w:p w14:paraId="3C2B79CD" w14:textId="77777777" w:rsidR="00D22F68" w:rsidRPr="00BE1C67" w:rsidRDefault="00D22F68">
      <w:r w:rsidRPr="00BE1C67">
        <w:continuationSeparator/>
      </w:r>
    </w:p>
  </w:footnote>
  <w:footnote w:id="1">
    <w:p w14:paraId="37382DB1" w14:textId="76906EFD" w:rsidR="00682194" w:rsidRPr="00BE1C67" w:rsidRDefault="00682194" w:rsidP="00BE1C67">
      <w:pPr>
        <w:pStyle w:val="FootnoteText"/>
        <w:ind w:left="567" w:hanging="567"/>
        <w:rPr>
          <w:sz w:val="24"/>
          <w:lang w:val="ga-IE"/>
        </w:rPr>
      </w:pPr>
      <w:r w:rsidRPr="00BE1C67">
        <w:rPr>
          <w:rStyle w:val="FootnoteReference"/>
          <w:sz w:val="24"/>
          <w:lang w:val="ga-IE"/>
        </w:rPr>
        <w:footnoteRef/>
      </w:r>
      <w:r w:rsidR="00BE1C67" w:rsidRPr="00BE1C67">
        <w:rPr>
          <w:sz w:val="24"/>
          <w:lang w:val="ga-IE"/>
        </w:rPr>
        <w:t xml:space="preserve"> </w:t>
      </w:r>
      <w:r w:rsidR="00BE1C67" w:rsidRPr="00BE1C67">
        <w:rPr>
          <w:sz w:val="24"/>
          <w:lang w:val="ga-IE"/>
        </w:rPr>
        <w:tab/>
      </w:r>
      <w:r w:rsidR="007B7281" w:rsidRPr="00203ACF">
        <w:rPr>
          <w:sz w:val="24"/>
          <w:lang w:val="ga-IE"/>
        </w:rPr>
        <w:t>IO</w:t>
      </w:r>
      <w:r w:rsidR="007B7281" w:rsidRPr="00203ACF">
        <w:rPr>
          <w:sz w:val="24"/>
          <w:lang w:val="it-IT"/>
        </w:rPr>
        <w:t xml:space="preserve"> C, C/2025/3199, 2.7.2025, ELI: </w:t>
      </w:r>
      <w:hyperlink r:id="rId1" w:history="1">
        <w:r w:rsidR="00796832" w:rsidRPr="0002044B">
          <w:rPr>
            <w:rStyle w:val="Hyperlink"/>
            <w:sz w:val="24"/>
            <w:lang w:val="it-IT"/>
          </w:rPr>
          <w:t>http://data.europa.eu/eli/C/2025/3199/oj</w:t>
        </w:r>
      </w:hyperlink>
      <w:r w:rsidR="00796832" w:rsidRPr="00796832">
        <w:rPr>
          <w:rStyle w:val="Hyperlink"/>
          <w:color w:val="auto"/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D7075" w14:textId="77777777" w:rsidR="00064002" w:rsidRPr="00BE1C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2BB8A" w14:textId="77777777" w:rsidR="00064002" w:rsidRPr="00BE1C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6631A" w14:textId="77777777" w:rsidR="00064002" w:rsidRPr="00BE1C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5D572E35"/>
    <w:multiLevelType w:val="hybridMultilevel"/>
    <w:tmpl w:val="1294238A"/>
    <w:lvl w:ilvl="0" w:tplc="F4108A0E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A51C9C62" w:tentative="1">
      <w:start w:val="1"/>
      <w:numFmt w:val="lowerLetter"/>
      <w:lvlText w:val="%2."/>
      <w:lvlJc w:val="left"/>
      <w:pPr>
        <w:ind w:left="2520" w:hanging="360"/>
      </w:pPr>
    </w:lvl>
    <w:lvl w:ilvl="2" w:tplc="E9060BFC" w:tentative="1">
      <w:start w:val="1"/>
      <w:numFmt w:val="lowerRoman"/>
      <w:lvlText w:val="%3."/>
      <w:lvlJc w:val="right"/>
      <w:pPr>
        <w:ind w:left="3240" w:hanging="180"/>
      </w:pPr>
    </w:lvl>
    <w:lvl w:ilvl="3" w:tplc="0A803616" w:tentative="1">
      <w:start w:val="1"/>
      <w:numFmt w:val="decimal"/>
      <w:lvlText w:val="%4."/>
      <w:lvlJc w:val="left"/>
      <w:pPr>
        <w:ind w:left="3960" w:hanging="360"/>
      </w:pPr>
    </w:lvl>
    <w:lvl w:ilvl="4" w:tplc="77F45ADE" w:tentative="1">
      <w:start w:val="1"/>
      <w:numFmt w:val="lowerLetter"/>
      <w:lvlText w:val="%5."/>
      <w:lvlJc w:val="left"/>
      <w:pPr>
        <w:ind w:left="4680" w:hanging="360"/>
      </w:pPr>
    </w:lvl>
    <w:lvl w:ilvl="5" w:tplc="9198FBFE" w:tentative="1">
      <w:start w:val="1"/>
      <w:numFmt w:val="lowerRoman"/>
      <w:lvlText w:val="%6."/>
      <w:lvlJc w:val="right"/>
      <w:pPr>
        <w:ind w:left="5400" w:hanging="180"/>
      </w:pPr>
    </w:lvl>
    <w:lvl w:ilvl="6" w:tplc="F24293CC" w:tentative="1">
      <w:start w:val="1"/>
      <w:numFmt w:val="decimal"/>
      <w:lvlText w:val="%7."/>
      <w:lvlJc w:val="left"/>
      <w:pPr>
        <w:ind w:left="6120" w:hanging="360"/>
      </w:pPr>
    </w:lvl>
    <w:lvl w:ilvl="7" w:tplc="83360FF6" w:tentative="1">
      <w:start w:val="1"/>
      <w:numFmt w:val="lowerLetter"/>
      <w:lvlText w:val="%8."/>
      <w:lvlJc w:val="left"/>
      <w:pPr>
        <w:ind w:left="6840" w:hanging="360"/>
      </w:pPr>
    </w:lvl>
    <w:lvl w:ilvl="8" w:tplc="ABF086A8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13375723">
    <w:abstractNumId w:val="9"/>
  </w:num>
  <w:num w:numId="2" w16cid:durableId="837579159">
    <w:abstractNumId w:val="9"/>
  </w:num>
  <w:num w:numId="3" w16cid:durableId="931550534">
    <w:abstractNumId w:val="7"/>
  </w:num>
  <w:num w:numId="4" w16cid:durableId="506293170">
    <w:abstractNumId w:val="7"/>
  </w:num>
  <w:num w:numId="5" w16cid:durableId="588807686">
    <w:abstractNumId w:val="6"/>
  </w:num>
  <w:num w:numId="6" w16cid:durableId="1752045158">
    <w:abstractNumId w:val="6"/>
  </w:num>
  <w:num w:numId="7" w16cid:durableId="2037390333">
    <w:abstractNumId w:val="5"/>
  </w:num>
  <w:num w:numId="8" w16cid:durableId="939526060">
    <w:abstractNumId w:val="5"/>
  </w:num>
  <w:num w:numId="9" w16cid:durableId="979190864">
    <w:abstractNumId w:val="4"/>
  </w:num>
  <w:num w:numId="10" w16cid:durableId="1781561380">
    <w:abstractNumId w:val="4"/>
  </w:num>
  <w:num w:numId="11" w16cid:durableId="22556367">
    <w:abstractNumId w:val="8"/>
  </w:num>
  <w:num w:numId="12" w16cid:durableId="1218929422">
    <w:abstractNumId w:val="8"/>
  </w:num>
  <w:num w:numId="13" w16cid:durableId="573780654">
    <w:abstractNumId w:val="3"/>
  </w:num>
  <w:num w:numId="14" w16cid:durableId="1286698223">
    <w:abstractNumId w:val="3"/>
  </w:num>
  <w:num w:numId="15" w16cid:durableId="196504785">
    <w:abstractNumId w:val="2"/>
  </w:num>
  <w:num w:numId="16" w16cid:durableId="1992633452">
    <w:abstractNumId w:val="2"/>
  </w:num>
  <w:num w:numId="17" w16cid:durableId="2024553692">
    <w:abstractNumId w:val="1"/>
  </w:num>
  <w:num w:numId="18" w16cid:durableId="1921719094">
    <w:abstractNumId w:val="1"/>
  </w:num>
  <w:num w:numId="19" w16cid:durableId="716203572">
    <w:abstractNumId w:val="0"/>
  </w:num>
  <w:num w:numId="20" w16cid:durableId="1833254169">
    <w:abstractNumId w:val="0"/>
  </w:num>
  <w:num w:numId="21" w16cid:durableId="2147122014">
    <w:abstractNumId w:val="9"/>
  </w:num>
  <w:num w:numId="22" w16cid:durableId="1438021570">
    <w:abstractNumId w:val="7"/>
  </w:num>
  <w:num w:numId="23" w16cid:durableId="858659601">
    <w:abstractNumId w:val="6"/>
  </w:num>
  <w:num w:numId="24" w16cid:durableId="1709186128">
    <w:abstractNumId w:val="5"/>
  </w:num>
  <w:num w:numId="25" w16cid:durableId="1801534597">
    <w:abstractNumId w:val="4"/>
  </w:num>
  <w:num w:numId="26" w16cid:durableId="1860659596">
    <w:abstractNumId w:val="8"/>
  </w:num>
  <w:num w:numId="27" w16cid:durableId="1755544825">
    <w:abstractNumId w:val="3"/>
  </w:num>
  <w:num w:numId="28" w16cid:durableId="773129641">
    <w:abstractNumId w:val="2"/>
  </w:num>
  <w:num w:numId="29" w16cid:durableId="1638606797">
    <w:abstractNumId w:val="1"/>
  </w:num>
  <w:num w:numId="30" w16cid:durableId="1494568681">
    <w:abstractNumId w:val="0"/>
  </w:num>
  <w:num w:numId="31" w16cid:durableId="1662779814">
    <w:abstractNumId w:val="9"/>
  </w:num>
  <w:num w:numId="32" w16cid:durableId="476530682">
    <w:abstractNumId w:val="7"/>
  </w:num>
  <w:num w:numId="33" w16cid:durableId="145709696">
    <w:abstractNumId w:val="6"/>
  </w:num>
  <w:num w:numId="34" w16cid:durableId="421680051">
    <w:abstractNumId w:val="5"/>
  </w:num>
  <w:num w:numId="35" w16cid:durableId="231739756">
    <w:abstractNumId w:val="4"/>
  </w:num>
  <w:num w:numId="36" w16cid:durableId="457572555">
    <w:abstractNumId w:val="8"/>
  </w:num>
  <w:num w:numId="37" w16cid:durableId="20211180">
    <w:abstractNumId w:val="3"/>
  </w:num>
  <w:num w:numId="38" w16cid:durableId="1372414021">
    <w:abstractNumId w:val="2"/>
  </w:num>
  <w:num w:numId="39" w16cid:durableId="1008678043">
    <w:abstractNumId w:val="1"/>
  </w:num>
  <w:num w:numId="40" w16cid:durableId="31810836">
    <w:abstractNumId w:val="0"/>
  </w:num>
  <w:num w:numId="41" w16cid:durableId="544488428">
    <w:abstractNumId w:val="10"/>
  </w:num>
  <w:num w:numId="42" w16cid:durableId="312024224">
    <w:abstractNumId w:val="10"/>
  </w:num>
  <w:num w:numId="43" w16cid:durableId="1626691590">
    <w:abstractNumId w:val="10"/>
  </w:num>
  <w:num w:numId="44" w16cid:durableId="163981985">
    <w:abstractNumId w:val="11"/>
  </w:num>
  <w:num w:numId="45" w16cid:durableId="94589199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GA"/>
    <w:docVar w:name="dvnumam" w:val="0"/>
    <w:docVar w:name="dvpe" w:val="773.087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lena leasaítear Rialacháin (AE) 2015/1017, (AE) 2021/523, (AE) 2021/695 agus (AE) 2021/1153 a mhéid a bhaineann le héifeachtúlacht ráthaíocht AE a mhéadú faoi Rialachán (AE) 2021/523 agus ceanglais tuairiscithe a shimpliú(COM(2025)0084 – C10-0036/2025 – 2025/0040(COD))"/>
  </w:docVars>
  <w:rsids>
    <w:rsidRoot w:val="00D22F68"/>
    <w:rsid w:val="00002272"/>
    <w:rsid w:val="00016BEE"/>
    <w:rsid w:val="00064002"/>
    <w:rsid w:val="000677B9"/>
    <w:rsid w:val="000831BA"/>
    <w:rsid w:val="000A42CC"/>
    <w:rsid w:val="000D5E51"/>
    <w:rsid w:val="000E7DD9"/>
    <w:rsid w:val="0010095E"/>
    <w:rsid w:val="00125B37"/>
    <w:rsid w:val="00187494"/>
    <w:rsid w:val="001F32AE"/>
    <w:rsid w:val="001F5010"/>
    <w:rsid w:val="00203ACF"/>
    <w:rsid w:val="002767FF"/>
    <w:rsid w:val="002B18FE"/>
    <w:rsid w:val="002B5493"/>
    <w:rsid w:val="00343214"/>
    <w:rsid w:val="00361C00"/>
    <w:rsid w:val="00395FA1"/>
    <w:rsid w:val="003C669E"/>
    <w:rsid w:val="003E15D4"/>
    <w:rsid w:val="00411CCE"/>
    <w:rsid w:val="0041666E"/>
    <w:rsid w:val="00421060"/>
    <w:rsid w:val="004471E0"/>
    <w:rsid w:val="00471C19"/>
    <w:rsid w:val="004867E3"/>
    <w:rsid w:val="00494A28"/>
    <w:rsid w:val="004C0004"/>
    <w:rsid w:val="004C5D52"/>
    <w:rsid w:val="0050519A"/>
    <w:rsid w:val="005072A1"/>
    <w:rsid w:val="00513117"/>
    <w:rsid w:val="00514517"/>
    <w:rsid w:val="00545827"/>
    <w:rsid w:val="00560270"/>
    <w:rsid w:val="005C2568"/>
    <w:rsid w:val="005F1B17"/>
    <w:rsid w:val="006037C0"/>
    <w:rsid w:val="00640069"/>
    <w:rsid w:val="006573F5"/>
    <w:rsid w:val="006631B6"/>
    <w:rsid w:val="00664827"/>
    <w:rsid w:val="00680577"/>
    <w:rsid w:val="00682194"/>
    <w:rsid w:val="006F74FA"/>
    <w:rsid w:val="00731ADD"/>
    <w:rsid w:val="00734777"/>
    <w:rsid w:val="00742E76"/>
    <w:rsid w:val="00747932"/>
    <w:rsid w:val="00751A4A"/>
    <w:rsid w:val="00756632"/>
    <w:rsid w:val="00762C74"/>
    <w:rsid w:val="00786EC0"/>
    <w:rsid w:val="00796832"/>
    <w:rsid w:val="007B728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520"/>
    <w:rsid w:val="00981893"/>
    <w:rsid w:val="009C0A3E"/>
    <w:rsid w:val="00A1687D"/>
    <w:rsid w:val="00A43E52"/>
    <w:rsid w:val="00A43FB0"/>
    <w:rsid w:val="00A4678D"/>
    <w:rsid w:val="00A778C7"/>
    <w:rsid w:val="00AB441E"/>
    <w:rsid w:val="00AB6293"/>
    <w:rsid w:val="00AC5B41"/>
    <w:rsid w:val="00AE0928"/>
    <w:rsid w:val="00AF3B82"/>
    <w:rsid w:val="00B12E95"/>
    <w:rsid w:val="00B22876"/>
    <w:rsid w:val="00B558F0"/>
    <w:rsid w:val="00BD48FE"/>
    <w:rsid w:val="00BD7BD8"/>
    <w:rsid w:val="00BE1C67"/>
    <w:rsid w:val="00BE6ADC"/>
    <w:rsid w:val="00C05BFE"/>
    <w:rsid w:val="00C23CD4"/>
    <w:rsid w:val="00C431F6"/>
    <w:rsid w:val="00C61C0C"/>
    <w:rsid w:val="00C941CB"/>
    <w:rsid w:val="00CC2357"/>
    <w:rsid w:val="00CF071A"/>
    <w:rsid w:val="00D058B8"/>
    <w:rsid w:val="00D22F68"/>
    <w:rsid w:val="00D56C11"/>
    <w:rsid w:val="00D834A0"/>
    <w:rsid w:val="00D872DF"/>
    <w:rsid w:val="00D91E21"/>
    <w:rsid w:val="00DA7FCD"/>
    <w:rsid w:val="00DF59EA"/>
    <w:rsid w:val="00E365E1"/>
    <w:rsid w:val="00E55E9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EC046C"/>
  <w15:chartTrackingRefBased/>
  <w15:docId w15:val="{63C00C7B-96B9-4B48-A085-6F2201739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8219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8219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8219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8219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8219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82194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682194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682194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682194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nhideWhenUsed/>
    <w:qFormat/>
    <w:rsid w:val="0068219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8219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82194"/>
    <w:pPr>
      <w:spacing w:before="480" w:after="240"/>
    </w:pPr>
  </w:style>
  <w:style w:type="paragraph" w:customStyle="1" w:styleId="TOCPage">
    <w:name w:val="TOC Page"/>
    <w:basedOn w:val="Normal"/>
    <w:next w:val="TOC1"/>
    <w:rsid w:val="00682194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68219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82194"/>
    <w:rPr>
      <w:b/>
    </w:rPr>
  </w:style>
  <w:style w:type="paragraph" w:customStyle="1" w:styleId="NormalBold12a">
    <w:name w:val="NormalBold12a"/>
    <w:basedOn w:val="Normal"/>
    <w:rsid w:val="00682194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8219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82194"/>
    <w:pPr>
      <w:spacing w:after="480"/>
      <w:ind w:left="1417"/>
    </w:pPr>
  </w:style>
  <w:style w:type="paragraph" w:customStyle="1" w:styleId="CoverNormal">
    <w:name w:val="CoverNormal"/>
    <w:basedOn w:val="Normal"/>
    <w:rsid w:val="00682194"/>
    <w:pPr>
      <w:ind w:left="1418"/>
    </w:pPr>
  </w:style>
  <w:style w:type="paragraph" w:customStyle="1" w:styleId="NormalCenter12a">
    <w:name w:val="NormalCenter12a"/>
    <w:basedOn w:val="Normal"/>
    <w:rsid w:val="00682194"/>
    <w:pPr>
      <w:spacing w:after="240"/>
      <w:jc w:val="center"/>
    </w:pPr>
  </w:style>
  <w:style w:type="paragraph" w:customStyle="1" w:styleId="CoverReference">
    <w:name w:val="CoverReference"/>
    <w:basedOn w:val="Normal"/>
    <w:rsid w:val="0068219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8219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8219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82194"/>
    <w:pPr>
      <w:spacing w:before="240" w:after="1200"/>
    </w:pPr>
  </w:style>
  <w:style w:type="paragraph" w:styleId="Header">
    <w:name w:val="header"/>
    <w:basedOn w:val="Normal"/>
    <w:link w:val="HeaderChar"/>
    <w:rsid w:val="006821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82194"/>
    <w:rPr>
      <w:sz w:val="24"/>
      <w:lang w:val="ga-IE"/>
    </w:rPr>
  </w:style>
  <w:style w:type="paragraph" w:customStyle="1" w:styleId="AmNumberTabs">
    <w:name w:val="AmNumberTabs"/>
    <w:basedOn w:val="Normal"/>
    <w:rsid w:val="0068219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82194"/>
    <w:pPr>
      <w:spacing w:before="720" w:after="240"/>
      <w:jc w:val="center"/>
    </w:pPr>
  </w:style>
  <w:style w:type="paragraph" w:customStyle="1" w:styleId="EPBody">
    <w:name w:val="EPBody"/>
    <w:basedOn w:val="Normal"/>
    <w:rsid w:val="0068219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8219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68219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8219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82194"/>
    <w:rPr>
      <w:sz w:val="18"/>
    </w:rPr>
  </w:style>
  <w:style w:type="paragraph" w:styleId="BalloonText">
    <w:name w:val="Balloon Text"/>
    <w:basedOn w:val="Normal"/>
    <w:link w:val="BalloonTextChar"/>
    <w:unhideWhenUsed/>
    <w:rsid w:val="006821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82194"/>
    <w:rPr>
      <w:rFonts w:ascii="Segoe UI" w:hAnsi="Segoe UI" w:cs="Segoe UI"/>
      <w:sz w:val="18"/>
      <w:szCs w:val="18"/>
      <w:lang w:val="ga-IE"/>
    </w:rPr>
  </w:style>
  <w:style w:type="paragraph" w:customStyle="1" w:styleId="Normal6a">
    <w:name w:val="Normal6a"/>
    <w:basedOn w:val="Normal"/>
    <w:rsid w:val="00682194"/>
    <w:pPr>
      <w:spacing w:after="120"/>
    </w:pPr>
  </w:style>
  <w:style w:type="paragraph" w:customStyle="1" w:styleId="AmCrossRef">
    <w:name w:val="AmCrossRef"/>
    <w:basedOn w:val="Normal"/>
    <w:rsid w:val="00682194"/>
    <w:pPr>
      <w:spacing w:before="240" w:after="240"/>
      <w:jc w:val="center"/>
    </w:pPr>
    <w:rPr>
      <w:i/>
    </w:rPr>
  </w:style>
  <w:style w:type="paragraph" w:styleId="EndnoteText">
    <w:name w:val="endnote text"/>
    <w:basedOn w:val="Normal"/>
    <w:link w:val="EndnoteTextChar"/>
    <w:rsid w:val="00682194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682194"/>
    <w:rPr>
      <w:lang w:val="ga-IE"/>
    </w:rPr>
  </w:style>
  <w:style w:type="character" w:styleId="EndnoteReference">
    <w:name w:val="endnote reference"/>
    <w:basedOn w:val="DefaultParagraphFont"/>
    <w:rsid w:val="00682194"/>
    <w:rPr>
      <w:vertAlign w:val="superscript"/>
    </w:rPr>
  </w:style>
  <w:style w:type="paragraph" w:customStyle="1" w:styleId="Normal24a">
    <w:name w:val="Normal24a"/>
    <w:basedOn w:val="Normal"/>
    <w:rsid w:val="00682194"/>
    <w:pPr>
      <w:spacing w:after="480"/>
    </w:pPr>
  </w:style>
  <w:style w:type="paragraph" w:customStyle="1" w:styleId="NormalBoldCenter">
    <w:name w:val="NormalBoldCenter"/>
    <w:basedOn w:val="Normal"/>
    <w:rsid w:val="00682194"/>
    <w:pPr>
      <w:jc w:val="center"/>
    </w:pPr>
    <w:rPr>
      <w:b/>
    </w:rPr>
  </w:style>
  <w:style w:type="paragraph" w:customStyle="1" w:styleId="Footprint12b">
    <w:name w:val="Footprint12b"/>
    <w:basedOn w:val="Normal"/>
    <w:rsid w:val="0068219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82194"/>
    <w:rPr>
      <w:szCs w:val="24"/>
    </w:rPr>
  </w:style>
  <w:style w:type="character" w:styleId="Hyperlink">
    <w:name w:val="Hyperlink"/>
    <w:basedOn w:val="DefaultParagraphFont"/>
    <w:rsid w:val="00682194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682194"/>
    <w:pPr>
      <w:spacing w:after="240"/>
    </w:pPr>
  </w:style>
  <w:style w:type="paragraph" w:customStyle="1" w:styleId="PageHeadingNotTOC">
    <w:name w:val="PageHeadingNotTOC"/>
    <w:basedOn w:val="Normal"/>
    <w:rsid w:val="0068219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8219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6">
    <w:name w:val="Normal6"/>
    <w:basedOn w:val="Normal"/>
    <w:link w:val="Normal6Char"/>
    <w:rsid w:val="00682194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682194"/>
    <w:rPr>
      <w:b/>
      <w:sz w:val="24"/>
      <w:lang w:val="ga-IE"/>
    </w:rPr>
  </w:style>
  <w:style w:type="character" w:customStyle="1" w:styleId="Normal6Char">
    <w:name w:val="Normal6 Char"/>
    <w:basedOn w:val="DefaultParagraphFont"/>
    <w:link w:val="Normal6"/>
    <w:rsid w:val="00682194"/>
    <w:rPr>
      <w:sz w:val="24"/>
      <w:lang w:val="ga-IE"/>
    </w:rPr>
  </w:style>
  <w:style w:type="paragraph" w:customStyle="1" w:styleId="ColumnHeading">
    <w:name w:val="ColumnHeading"/>
    <w:basedOn w:val="Normal"/>
    <w:rsid w:val="0068219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8219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RollCallSymbols14pt">
    <w:name w:val="RollCallSymbols14pt"/>
    <w:basedOn w:val="Normal"/>
    <w:rsid w:val="0068219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8219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8219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82194"/>
    <w:pPr>
      <w:spacing w:before="120" w:after="120"/>
    </w:pPr>
    <w:rPr>
      <w:snapToGrid w:val="0"/>
      <w:sz w:val="16"/>
      <w:lang w:eastAsia="en-US"/>
    </w:rPr>
  </w:style>
  <w:style w:type="paragraph" w:customStyle="1" w:styleId="AmColumnHeading">
    <w:name w:val="AmColumnHeading"/>
    <w:basedOn w:val="Normal"/>
    <w:rsid w:val="00682194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682194"/>
    <w:pPr>
      <w:spacing w:before="240"/>
    </w:pPr>
    <w:rPr>
      <w:b/>
    </w:rPr>
  </w:style>
  <w:style w:type="paragraph" w:customStyle="1" w:styleId="CrossRef">
    <w:name w:val="CrossRef"/>
    <w:basedOn w:val="Normal"/>
    <w:rsid w:val="00682194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rsid w:val="006821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82194"/>
    <w:rPr>
      <w:sz w:val="24"/>
      <w:lang w:val="ga-IE"/>
    </w:rPr>
  </w:style>
  <w:style w:type="paragraph" w:styleId="Revision">
    <w:name w:val="Revision"/>
    <w:hidden/>
    <w:uiPriority w:val="99"/>
    <w:semiHidden/>
    <w:rsid w:val="00682194"/>
    <w:rPr>
      <w:sz w:val="24"/>
      <w:lang w:val="ga-IE"/>
    </w:rPr>
  </w:style>
  <w:style w:type="character" w:styleId="CommentReference">
    <w:name w:val="annotation reference"/>
    <w:basedOn w:val="DefaultParagraphFont"/>
    <w:rsid w:val="006400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006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40069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6400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40069"/>
    <w:rPr>
      <w:b/>
      <w:bCs/>
      <w:lang w:val="ga-IE"/>
    </w:rPr>
  </w:style>
  <w:style w:type="paragraph" w:customStyle="1" w:styleId="FootnoteTextForceStyle">
    <w:name w:val="Footnote Text ForceStyle"/>
    <w:rsid w:val="006573F5"/>
    <w:pPr>
      <w:keepLines/>
      <w:widowControl w:val="0"/>
      <w:spacing w:line="240" w:lineRule="exact"/>
      <w:ind w:left="850" w:hanging="850"/>
    </w:pPr>
    <w:rPr>
      <w:sz w:val="24"/>
      <w:lang w:val="ga-IE" w:eastAsia="en-US"/>
    </w:rPr>
  </w:style>
  <w:style w:type="character" w:customStyle="1" w:styleId="Hyperlink1">
    <w:name w:val="Hyperlink1"/>
    <w:basedOn w:val="DefaultParagraphFont"/>
    <w:uiPriority w:val="99"/>
    <w:rsid w:val="006573F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68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483</Words>
  <Characters>2894</Characters>
  <Application>Microsoft Office Word</Application>
  <DocSecurity>0</DocSecurity>
  <Lines>107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2026-02-04T16:14:00Z</dcterms:created>
  <dcterms:modified xsi:type="dcterms:W3CDTF">2026-02-04T16:14:00Z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P10_TA(2025)0296_</vt:lpwstr>
  </property>
  <property fmtid="{D5CDD505-2E9C-101B-9397-08002B2CF9AE}" pid="4" name="&lt;Type&gt;">
    <vt:lpwstr>RR</vt:lpwstr>
  </property>
</Properties>
</file>