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9A5" w14:paraId="42AE8E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8DD103" w14:textId="77777777" w:rsidR="00751A4A" w:rsidRPr="00E279A5" w:rsidRDefault="00C00BFF" w:rsidP="0010095E">
            <w:pPr>
              <w:pStyle w:val="EPName"/>
            </w:pPr>
            <w:r w:rsidRPr="00E279A5">
              <w:t>Europski parlament</w:t>
            </w:r>
          </w:p>
          <w:p w14:paraId="51985115" w14:textId="77777777" w:rsidR="00751A4A" w:rsidRPr="00E279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9A5">
              <w:t>2024</w:t>
            </w:r>
            <w:r w:rsidR="00817416" w:rsidRPr="00E279A5">
              <w:t>-202</w:t>
            </w:r>
            <w:r w:rsidRPr="00E279A5">
              <w:t>9</w:t>
            </w:r>
          </w:p>
        </w:tc>
        <w:tc>
          <w:tcPr>
            <w:tcW w:w="2268" w:type="dxa"/>
            <w:shd w:val="clear" w:color="auto" w:fill="auto"/>
          </w:tcPr>
          <w:p w14:paraId="5B6B692B" w14:textId="77777777" w:rsidR="00751A4A" w:rsidRPr="00E279A5" w:rsidRDefault="00187494" w:rsidP="0010095E">
            <w:pPr>
              <w:pStyle w:val="EPLogo"/>
            </w:pPr>
            <w:r w:rsidRPr="00E279A5">
              <w:rPr>
                <w:noProof/>
                <w:lang w:eastAsia="ja-JP"/>
              </w:rPr>
              <w:drawing>
                <wp:inline distT="0" distB="0" distL="0" distR="0" wp14:anchorId="3870945E" wp14:editId="51F8B0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F1BE7" w14:textId="77777777" w:rsidR="00D058B8" w:rsidRPr="00E279A5" w:rsidRDefault="00D058B8" w:rsidP="004C5D52">
      <w:pPr>
        <w:pStyle w:val="LineTop"/>
      </w:pPr>
    </w:p>
    <w:p w14:paraId="01CE5107" w14:textId="77777777" w:rsidR="00680577" w:rsidRPr="00E279A5" w:rsidRDefault="00C00BFF" w:rsidP="00680577">
      <w:pPr>
        <w:pStyle w:val="EPBodyTA1"/>
      </w:pPr>
      <w:r w:rsidRPr="00E279A5">
        <w:t>USVOJENI TEKSTOVI</w:t>
      </w:r>
    </w:p>
    <w:p w14:paraId="6307206E" w14:textId="77777777" w:rsidR="00D058B8" w:rsidRPr="00E279A5" w:rsidRDefault="00D058B8" w:rsidP="00D058B8">
      <w:pPr>
        <w:pStyle w:val="LineBottom"/>
      </w:pPr>
    </w:p>
    <w:p w14:paraId="23740038" w14:textId="3D5AA5AD" w:rsidR="00C00BFF" w:rsidRPr="00E279A5" w:rsidRDefault="00C00BFF" w:rsidP="00C00BFF">
      <w:pPr>
        <w:pStyle w:val="ATHeading1"/>
      </w:pPr>
      <w:bookmarkStart w:id="0" w:name="TANumber"/>
      <w:r w:rsidRPr="00E279A5">
        <w:t>P10_TA(2025)0</w:t>
      </w:r>
      <w:r w:rsidR="00416378">
        <w:t>296</w:t>
      </w:r>
      <w:bookmarkEnd w:id="0"/>
    </w:p>
    <w:p w14:paraId="3439302C" w14:textId="23A6E820" w:rsidR="00C00BFF" w:rsidRPr="00E279A5" w:rsidRDefault="00C00BFF" w:rsidP="00C00BFF">
      <w:pPr>
        <w:pStyle w:val="ATHeading2"/>
      </w:pPr>
      <w:bookmarkStart w:id="1" w:name="title"/>
      <w:r w:rsidRPr="00E279A5">
        <w:t>Povećanje učinkovitosti jamstva EU-a na temelju Uredbe o programu InvestEU i pojednostavnjenja zahtjeva za izvješćivanje</w:t>
      </w:r>
      <w:bookmarkEnd w:id="1"/>
    </w:p>
    <w:p w14:paraId="10F9DAEF" w14:textId="77777777" w:rsidR="00C00BFF" w:rsidRPr="00E279A5" w:rsidRDefault="00C00BFF" w:rsidP="00C00BFF">
      <w:pPr>
        <w:rPr>
          <w:i/>
          <w:vanish/>
        </w:rPr>
      </w:pPr>
      <w:r w:rsidRPr="00E279A5">
        <w:rPr>
          <w:i/>
        </w:rPr>
        <w:fldChar w:fldCharType="begin"/>
      </w:r>
      <w:r w:rsidRPr="00E279A5">
        <w:rPr>
          <w:i/>
        </w:rPr>
        <w:instrText xml:space="preserve"> TC"(</w:instrText>
      </w:r>
      <w:bookmarkStart w:id="2" w:name="DocNumber"/>
      <w:r w:rsidRPr="00E279A5">
        <w:rPr>
          <w:i/>
        </w:rPr>
        <w:instrText>A10-0117/2025</w:instrText>
      </w:r>
      <w:bookmarkEnd w:id="2"/>
      <w:r w:rsidRPr="00E279A5">
        <w:rPr>
          <w:i/>
        </w:rPr>
        <w:instrText xml:space="preserve"> - Izvjestiteljice: Aura Salla, Irene </w:instrText>
      </w:r>
      <w:proofErr w:type="spellStart"/>
      <w:r w:rsidRPr="00E279A5">
        <w:rPr>
          <w:i/>
        </w:rPr>
        <w:instrText>Tinagli</w:instrText>
      </w:r>
      <w:proofErr w:type="spellEnd"/>
      <w:r w:rsidRPr="00E279A5">
        <w:rPr>
          <w:i/>
        </w:rPr>
        <w:instrText xml:space="preserve">)"\l3 \n&gt; \* MERGEFORMAT </w:instrText>
      </w:r>
      <w:r w:rsidRPr="00E279A5">
        <w:rPr>
          <w:i/>
        </w:rPr>
        <w:fldChar w:fldCharType="end"/>
      </w:r>
    </w:p>
    <w:p w14:paraId="5C50B939" w14:textId="77777777" w:rsidR="00C00BFF" w:rsidRPr="00E279A5" w:rsidRDefault="00C00BFF" w:rsidP="00C00BFF">
      <w:pPr>
        <w:rPr>
          <w:vanish/>
        </w:rPr>
      </w:pPr>
      <w:bookmarkStart w:id="3" w:name="Commission"/>
      <w:r w:rsidRPr="00E279A5">
        <w:rPr>
          <w:vanish/>
        </w:rPr>
        <w:t>Odbor za proračune, Odbor za ekonomsku i monetarnu politiku</w:t>
      </w:r>
      <w:bookmarkEnd w:id="3"/>
    </w:p>
    <w:p w14:paraId="1FDE949A" w14:textId="77777777" w:rsidR="00C00BFF" w:rsidRPr="00E279A5" w:rsidRDefault="00C00BFF" w:rsidP="00C00BFF">
      <w:pPr>
        <w:rPr>
          <w:vanish/>
        </w:rPr>
      </w:pPr>
      <w:bookmarkStart w:id="4" w:name="PE"/>
      <w:r w:rsidRPr="00E279A5">
        <w:rPr>
          <w:vanish/>
        </w:rPr>
        <w:t>PE773.087</w:t>
      </w:r>
      <w:bookmarkEnd w:id="4"/>
    </w:p>
    <w:p w14:paraId="38F7AA11" w14:textId="587B3A7F" w:rsidR="00C00BFF" w:rsidRPr="00E279A5" w:rsidRDefault="00C00BFF" w:rsidP="00C00BFF">
      <w:pPr>
        <w:pStyle w:val="ATHeading3"/>
      </w:pPr>
      <w:bookmarkStart w:id="5" w:name="Sujet"/>
      <w:r w:rsidRPr="00E279A5">
        <w:t xml:space="preserve">Zakonodavna rezolucija Europskog parlamenta od </w:t>
      </w:r>
      <w:r w:rsidR="00E279A5">
        <w:t>2</w:t>
      </w:r>
      <w:r w:rsidR="009A2563">
        <w:t>6</w:t>
      </w:r>
      <w:r w:rsidRPr="00E279A5">
        <w:t xml:space="preserve">. </w:t>
      </w:r>
      <w:r w:rsidR="00E279A5">
        <w:t xml:space="preserve">studenoga </w:t>
      </w:r>
      <w:r w:rsidRPr="00E279A5">
        <w:t>2025. o Prijedlogu uredbe Europskog parlamenta i Vijeća o izmjeni uredaba (EU) 2015/1017, (EU) 2021/523, (EU) 2021/695 i (EU) 2021/1153 u pogledu povećanja učinkovitosti jamstva EU-a na temelju Uredbe (EU) 2021/523 i pojednostavnjenja zahtjeva za izvješćivanje</w:t>
      </w:r>
      <w:bookmarkEnd w:id="5"/>
      <w:r w:rsidRPr="00E279A5">
        <w:t xml:space="preserve"> </w:t>
      </w:r>
      <w:bookmarkStart w:id="6" w:name="References"/>
      <w:r w:rsidRPr="00E279A5">
        <w:t>(COM(2025)0084 – C10-0036/2025 – 2025/0040(COD))</w:t>
      </w:r>
      <w:bookmarkEnd w:id="6"/>
    </w:p>
    <w:p w14:paraId="0DFD7C4E" w14:textId="77777777" w:rsidR="004A2176" w:rsidRPr="00E279A5" w:rsidRDefault="004A2176" w:rsidP="004A2176">
      <w:pPr>
        <w:pStyle w:val="NormalBold"/>
      </w:pPr>
      <w:r w:rsidRPr="00E279A5">
        <w:t>(Redovni zakonodavni postupak: prvo čitanje)</w:t>
      </w:r>
    </w:p>
    <w:p w14:paraId="509664CC" w14:textId="77777777" w:rsidR="004A2176" w:rsidRPr="00E279A5" w:rsidRDefault="004A2176" w:rsidP="004A2176">
      <w:pPr>
        <w:pStyle w:val="EPComma"/>
      </w:pPr>
      <w:r w:rsidRPr="00E279A5">
        <w:rPr>
          <w:i/>
        </w:rPr>
        <w:t>Europski parlament</w:t>
      </w:r>
      <w:r w:rsidRPr="00E279A5">
        <w:t>,</w:t>
      </w:r>
    </w:p>
    <w:p w14:paraId="34A5C33F" w14:textId="77777777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Prijedlog Komisije upućen Europskom parlamentu i Vijeću (COM(2025)0084),</w:t>
      </w:r>
    </w:p>
    <w:p w14:paraId="56401942" w14:textId="325D76DA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 xml:space="preserve">uzimajući u obzir članak 294. stavak 2., članke 172. i 173., članak 175. treći stavak, članak 182. stavak 1., </w:t>
      </w:r>
      <w:r w:rsidR="009A2563">
        <w:t xml:space="preserve">članak 183., </w:t>
      </w:r>
      <w:r w:rsidRPr="00E279A5">
        <w:t>članak 188. drugi stavak i član</w:t>
      </w:r>
      <w:r w:rsidR="009A2563">
        <w:t>a</w:t>
      </w:r>
      <w:r w:rsidRPr="00E279A5">
        <w:t>k 194. Ugovora o funkcioniranju Europske unije, u skladu s kojima je Komisija podnijela prijedlog Parlamentu (C10-0036/2025),</w:t>
      </w:r>
    </w:p>
    <w:p w14:paraId="7415DCDA" w14:textId="77777777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članak 294. stavak 3. Ugovora o funkcioniranju Europske unije,</w:t>
      </w:r>
    </w:p>
    <w:p w14:paraId="05C69C46" w14:textId="0972C343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mišljenje Europskoga gospodarskog i socijalnog odbora od 29. travnja 2025</w:t>
      </w:r>
      <w:r w:rsidR="000E2656">
        <w:t>.</w:t>
      </w:r>
      <w:r w:rsidRPr="00E279A5">
        <w:rPr>
          <w:rStyle w:val="FootnoteReference"/>
        </w:rPr>
        <w:footnoteReference w:id="1"/>
      </w:r>
      <w:r w:rsidRPr="00E279A5">
        <w:t>,</w:t>
      </w:r>
    </w:p>
    <w:p w14:paraId="2F65CD52" w14:textId="77777777" w:rsidR="004A2176" w:rsidRDefault="004A2176" w:rsidP="004A2176">
      <w:pPr>
        <w:pStyle w:val="NormalHanging12a"/>
      </w:pPr>
      <w:r w:rsidRPr="00E279A5">
        <w:t>–</w:t>
      </w:r>
      <w:r w:rsidRPr="00E279A5">
        <w:tab/>
        <w:t>uzimajući u obzir mišljenje Odbora regija,</w:t>
      </w:r>
    </w:p>
    <w:p w14:paraId="6516642E" w14:textId="564D41E3" w:rsidR="009A2563" w:rsidRPr="00E279A5" w:rsidRDefault="009A2563" w:rsidP="004A2176">
      <w:pPr>
        <w:pStyle w:val="NormalHanging12a"/>
      </w:pPr>
      <w:r w:rsidRPr="007B36D8">
        <w:t>–</w:t>
      </w:r>
      <w:r w:rsidRPr="007B36D8"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 xml:space="preserve">vremeni sporazum koji </w:t>
      </w:r>
      <w:r>
        <w:rPr>
          <w:szCs w:val="24"/>
        </w:rPr>
        <w:t>su</w:t>
      </w:r>
      <w:r w:rsidRPr="009A1596">
        <w:rPr>
          <w:szCs w:val="24"/>
        </w:rPr>
        <w:t xml:space="preserve"> </w:t>
      </w:r>
      <w:r>
        <w:rPr>
          <w:szCs w:val="24"/>
        </w:rPr>
        <w:t xml:space="preserve">odobrili </w:t>
      </w:r>
      <w:r w:rsidRPr="009A1596">
        <w:rPr>
          <w:szCs w:val="24"/>
        </w:rPr>
        <w:t>nadl</w:t>
      </w:r>
      <w:r w:rsidRPr="00D91453">
        <w:rPr>
          <w:szCs w:val="24"/>
        </w:rPr>
        <w:t>ežni odbor</w:t>
      </w:r>
      <w:r>
        <w:rPr>
          <w:szCs w:val="24"/>
        </w:rPr>
        <w:t>i</w:t>
      </w:r>
      <w:r w:rsidRPr="00D91453">
        <w:rPr>
          <w:szCs w:val="24"/>
        </w:rPr>
        <w:t xml:space="preserve"> u skladu s člankom 75</w:t>
      </w:r>
      <w:r w:rsidRPr="009A1596">
        <w:rPr>
          <w:szCs w:val="24"/>
        </w:rPr>
        <w:t xml:space="preserve">. stavkom 4. Poslovnika </w:t>
      </w:r>
      <w:r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</w:t>
      </w:r>
      <w:r>
        <w:rPr>
          <w:szCs w:val="24"/>
        </w:rPr>
        <w:t xml:space="preserve">8. listopada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>
        <w:rPr>
          <w:szCs w:val="24"/>
        </w:rPr>
        <w:t>,</w:t>
      </w:r>
    </w:p>
    <w:p w14:paraId="6F829CDA" w14:textId="77777777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članak 60. Poslovnika,</w:t>
      </w:r>
    </w:p>
    <w:p w14:paraId="00C83DC7" w14:textId="77777777" w:rsidR="004A2176" w:rsidRPr="00E279A5" w:rsidRDefault="004A2176" w:rsidP="004A2176">
      <w:pPr>
        <w:pStyle w:val="NormalHanging12a"/>
      </w:pPr>
      <w:r w:rsidRPr="00E279A5">
        <w:lastRenderedPageBreak/>
        <w:t>–</w:t>
      </w:r>
      <w:r w:rsidRPr="00E279A5">
        <w:tab/>
        <w:t>uzimajući u obzir zajedničke rasprave Odbora za proračune i Odbora za ekonomsku i monetarnu politiku, u skladu s člankom 59. Poslovnika,</w:t>
      </w:r>
    </w:p>
    <w:p w14:paraId="1CF6A209" w14:textId="77777777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mišljenja Odbora za industriju, istraživanje i energetiku i Odbora za promet i turizam,</w:t>
      </w:r>
    </w:p>
    <w:p w14:paraId="3CB2E33A" w14:textId="77777777" w:rsidR="004A2176" w:rsidRPr="00E279A5" w:rsidRDefault="004A2176" w:rsidP="004A2176">
      <w:pPr>
        <w:pStyle w:val="NormalHanging12a"/>
      </w:pPr>
      <w:r w:rsidRPr="00E279A5">
        <w:t>–</w:t>
      </w:r>
      <w:r w:rsidRPr="00E279A5">
        <w:tab/>
        <w:t>uzimajući u obzir izvješće Odbora za proračune i Odbora za ekonomsku i monetarnu politiku (A10</w:t>
      </w:r>
      <w:r w:rsidRPr="00E279A5">
        <w:noBreakHyphen/>
        <w:t>0117/2025),</w:t>
      </w:r>
    </w:p>
    <w:p w14:paraId="35C3F0A4" w14:textId="19C3A9FE" w:rsidR="004A2176" w:rsidRPr="00E279A5" w:rsidRDefault="004A2176" w:rsidP="004A2176">
      <w:pPr>
        <w:pStyle w:val="NormalHanging12a"/>
      </w:pPr>
      <w:r w:rsidRPr="00E279A5">
        <w:t>1.</w:t>
      </w:r>
      <w:r w:rsidRPr="00E279A5">
        <w:tab/>
        <w:t xml:space="preserve">usvaja </w:t>
      </w:r>
      <w:r w:rsidR="00E279A5">
        <w:t>niže navedeno</w:t>
      </w:r>
      <w:r w:rsidRPr="00E279A5">
        <w:t xml:space="preserve"> stajalište u prvom čitanju;</w:t>
      </w:r>
    </w:p>
    <w:p w14:paraId="38F3872A" w14:textId="77777777" w:rsidR="004A2176" w:rsidRPr="00E279A5" w:rsidRDefault="004A2176" w:rsidP="004A2176">
      <w:pPr>
        <w:pStyle w:val="NormalHanging12a"/>
      </w:pPr>
      <w:r w:rsidRPr="00E279A5">
        <w:t>2.</w:t>
      </w:r>
      <w:r w:rsidRPr="00E279A5">
        <w:tab/>
        <w:t>poziva Komisiju da predmet ponovno uputi Parlamentu ako zamijeni, bitno izmijeni ili namjerava bitno izmijeniti svoj Prijedlog;</w:t>
      </w:r>
    </w:p>
    <w:p w14:paraId="719529F3" w14:textId="77777777" w:rsidR="004A2176" w:rsidRPr="00E279A5" w:rsidRDefault="004A2176" w:rsidP="004A2176">
      <w:pPr>
        <w:pStyle w:val="NormalHanging12a"/>
      </w:pPr>
      <w:r w:rsidRPr="00E279A5">
        <w:t>3.</w:t>
      </w:r>
      <w:r w:rsidRPr="00E279A5">
        <w:tab/>
        <w:t>nalaže svojoj predsjednici da stajalište Parlamenta proslijedi Vijeću, Komisiji i nacionalnim parlamentima.</w:t>
      </w:r>
    </w:p>
    <w:p w14:paraId="6300B402" w14:textId="77777777" w:rsidR="00E279A5" w:rsidRDefault="00E279A5" w:rsidP="004A2176">
      <w:pPr>
        <w:pStyle w:val="AmNumberTabs"/>
        <w:keepNext/>
        <w:sectPr w:rsidR="00E279A5" w:rsidSect="002048C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F212A4" w14:textId="77777777" w:rsidR="009A2563" w:rsidRPr="00586FAD" w:rsidRDefault="009A2563" w:rsidP="009A256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86FAD">
        <w:rPr>
          <w:b/>
          <w:bCs/>
          <w:color w:val="000000"/>
        </w:rPr>
        <w:lastRenderedPageBreak/>
        <w:t>P10_TC1-COD(2025)0040</w:t>
      </w:r>
    </w:p>
    <w:p w14:paraId="6F7DF726" w14:textId="47FC96B0" w:rsidR="00E85A51" w:rsidRDefault="009A2563" w:rsidP="00E85A51">
      <w:pPr>
        <w:widowControl/>
        <w:spacing w:before="360" w:after="360"/>
        <w:rPr>
          <w:b/>
          <w:bCs/>
          <w:szCs w:val="24"/>
          <w:lang w:eastAsia="en-US"/>
        </w:rPr>
      </w:pPr>
      <w:r w:rsidRPr="00E85A51">
        <w:rPr>
          <w:b/>
          <w:bCs/>
        </w:rPr>
        <w:t xml:space="preserve">Stajalište Europskog parlamenta usvojeno u prvom čitanju 26. studenoga 2025. radi donošenja </w:t>
      </w:r>
      <w:r w:rsidRPr="00E85A51">
        <w:rPr>
          <w:b/>
          <w:bCs/>
          <w:szCs w:val="24"/>
          <w:lang w:eastAsia="en-US"/>
        </w:rPr>
        <w:t xml:space="preserve">Uredbe (EU) 2025/... Europskog parlamenta i Vijeća </w:t>
      </w:r>
      <w:r w:rsidR="00E85A51" w:rsidRPr="00E85A51">
        <w:rPr>
          <w:b/>
          <w:bCs/>
          <w:szCs w:val="24"/>
          <w:lang w:eastAsia="en-US"/>
        </w:rPr>
        <w:t>o izmjeni uredaba (EU) 2015/1017, (EU) 2021/523, (EU) 2021/695 i (EU) 2021/1153 u pogledu povećanja učinkovitosti jamstva EU-a na temelju Uredbe (EU) 2021/523 i pojednostavnjenja zahtjeva za izvješćivanje</w:t>
      </w:r>
    </w:p>
    <w:p w14:paraId="18B44560" w14:textId="2866C022" w:rsidR="00E26913" w:rsidRPr="00E26913" w:rsidRDefault="00E26913" w:rsidP="00E26913">
      <w:pPr>
        <w:widowControl/>
        <w:rPr>
          <w:rFonts w:eastAsia="Calibri"/>
          <w:i/>
          <w:szCs w:val="24"/>
          <w:lang w:eastAsia="en-US"/>
        </w:rPr>
      </w:pPr>
      <w:r w:rsidRPr="00E26913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2025/2005.</w:t>
      </w:r>
      <w:r w:rsidRPr="00E26913">
        <w:rPr>
          <w:rFonts w:eastAsia="Calibri"/>
          <w:i/>
          <w:szCs w:val="24"/>
          <w:lang w:eastAsia="en-US"/>
        </w:rPr>
        <w:t>)</w:t>
      </w:r>
    </w:p>
    <w:p w14:paraId="0ACB8994" w14:textId="77777777" w:rsidR="00E26913" w:rsidRPr="00E26913" w:rsidRDefault="00E26913" w:rsidP="00E85A51">
      <w:pPr>
        <w:widowControl/>
        <w:spacing w:before="360" w:after="360"/>
        <w:rPr>
          <w:szCs w:val="24"/>
          <w:lang w:eastAsia="en-US"/>
        </w:rPr>
      </w:pPr>
    </w:p>
    <w:sectPr w:rsidR="00E26913" w:rsidRPr="00E26913" w:rsidSect="002048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07940" w14:textId="77777777" w:rsidR="00C00BFF" w:rsidRPr="002048CE" w:rsidRDefault="00C00BFF">
      <w:r w:rsidRPr="002048CE">
        <w:separator/>
      </w:r>
    </w:p>
  </w:endnote>
  <w:endnote w:type="continuationSeparator" w:id="0">
    <w:p w14:paraId="174A69C5" w14:textId="77777777" w:rsidR="00C00BFF" w:rsidRPr="002048CE" w:rsidRDefault="00C00BFF">
      <w:r w:rsidRPr="002048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AF6A" w14:textId="77777777" w:rsidR="004A2176" w:rsidRPr="002048CE" w:rsidRDefault="004A2176" w:rsidP="00B93E23">
    <w:pPr>
      <w:pStyle w:val="EPFooter"/>
    </w:pPr>
    <w:r w:rsidRPr="002048CE">
      <w:t>PE</w:t>
    </w:r>
    <w:r w:rsidRPr="002048CE">
      <w:rPr>
        <w:rStyle w:val="HideTWBExt"/>
      </w:rPr>
      <w:t>&lt;</w:t>
    </w:r>
    <w:proofErr w:type="spellStart"/>
    <w:r w:rsidRPr="002048CE">
      <w:rPr>
        <w:rStyle w:val="HideTWBExt"/>
      </w:rPr>
      <w:t>NoPE</w:t>
    </w:r>
    <w:proofErr w:type="spellEnd"/>
    <w:r w:rsidRPr="002048CE">
      <w:rPr>
        <w:rStyle w:val="HideTWBExt"/>
      </w:rPr>
      <w:t>&gt;</w:t>
    </w:r>
    <w:r w:rsidRPr="002048CE">
      <w:t>773.087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NoPE</w:t>
    </w:r>
    <w:proofErr w:type="spellEnd"/>
    <w:r w:rsidRPr="002048CE">
      <w:rPr>
        <w:rStyle w:val="HideTWBExt"/>
      </w:rPr>
      <w:t>&gt;&lt;Version&gt;</w:t>
    </w:r>
    <w:r w:rsidRPr="002048CE">
      <w:t>v02-00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Version</w:t>
    </w:r>
    <w:proofErr w:type="spellEnd"/>
    <w:r w:rsidRPr="002048CE">
      <w:rPr>
        <w:rStyle w:val="HideTWBExt"/>
      </w:rPr>
      <w:t>&gt;</w:t>
    </w:r>
    <w:r w:rsidRPr="002048CE">
      <w:tab/>
    </w:r>
    <w:r w:rsidRPr="002048CE">
      <w:fldChar w:fldCharType="begin"/>
    </w:r>
    <w:r w:rsidRPr="002048CE">
      <w:instrText xml:space="preserve"> PAGE  \* MERGEFORMAT </w:instrText>
    </w:r>
    <w:r w:rsidRPr="002048CE">
      <w:fldChar w:fldCharType="separate"/>
    </w:r>
    <w:r w:rsidRPr="002048CE">
      <w:rPr>
        <w:noProof/>
      </w:rPr>
      <w:t>38</w:t>
    </w:r>
    <w:r w:rsidRPr="002048CE">
      <w:fldChar w:fldCharType="end"/>
    </w:r>
    <w:r w:rsidRPr="002048CE">
      <w:t>/</w:t>
    </w:r>
    <w:fldSimple w:instr=" NUMPAGES  \* MERGEFORMAT ">
      <w:r w:rsidRPr="002048CE">
        <w:rPr>
          <w:noProof/>
        </w:rPr>
        <w:t>55</w:t>
      </w:r>
    </w:fldSimple>
    <w:r w:rsidRPr="002048CE">
      <w:tab/>
    </w:r>
    <w:r w:rsidRPr="002048CE">
      <w:rPr>
        <w:rStyle w:val="HideTWBExt"/>
      </w:rPr>
      <w:t>&lt;PathFdR&gt;</w:t>
    </w:r>
    <w:r w:rsidRPr="002048CE">
      <w:t>RR\1323942HR.docx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PathFdR</w:t>
    </w:r>
    <w:proofErr w:type="spellEnd"/>
    <w:r w:rsidRPr="002048CE">
      <w:rPr>
        <w:rStyle w:val="HideTWBExt"/>
      </w:rPr>
      <w:t>&gt;</w:t>
    </w:r>
  </w:p>
  <w:p w14:paraId="52D555A4" w14:textId="77777777" w:rsidR="004A2176" w:rsidRPr="002048CE" w:rsidRDefault="004A2176" w:rsidP="00B93E23">
    <w:pPr>
      <w:pStyle w:val="EPFooter2"/>
    </w:pPr>
    <w:r w:rsidRPr="002048CE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0E453" w14:textId="77777777" w:rsidR="004A2176" w:rsidRPr="002048CE" w:rsidRDefault="004A2176" w:rsidP="00B93E23">
    <w:pPr>
      <w:pStyle w:val="EPFooter"/>
    </w:pPr>
    <w:r w:rsidRPr="002048CE">
      <w:rPr>
        <w:rStyle w:val="HideTWBExt"/>
      </w:rPr>
      <w:t>&lt;PathFdR&gt;</w:t>
    </w:r>
    <w:r w:rsidRPr="002048CE">
      <w:t>RR\1323942HR.docx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PathFdR</w:t>
    </w:r>
    <w:proofErr w:type="spellEnd"/>
    <w:r w:rsidRPr="002048CE">
      <w:rPr>
        <w:rStyle w:val="HideTWBExt"/>
      </w:rPr>
      <w:t>&gt;</w:t>
    </w:r>
    <w:r w:rsidRPr="002048CE">
      <w:tab/>
    </w:r>
    <w:r w:rsidRPr="002048CE">
      <w:tab/>
      <w:t>PE</w:t>
    </w:r>
    <w:r w:rsidRPr="002048CE">
      <w:rPr>
        <w:rStyle w:val="HideTWBExt"/>
      </w:rPr>
      <w:t>&lt;</w:t>
    </w:r>
    <w:proofErr w:type="spellStart"/>
    <w:r w:rsidRPr="002048CE">
      <w:rPr>
        <w:rStyle w:val="HideTWBExt"/>
      </w:rPr>
      <w:t>NoPE</w:t>
    </w:r>
    <w:proofErr w:type="spellEnd"/>
    <w:r w:rsidRPr="002048CE">
      <w:rPr>
        <w:rStyle w:val="HideTWBExt"/>
      </w:rPr>
      <w:t>&gt;</w:t>
    </w:r>
    <w:r w:rsidRPr="002048CE">
      <w:t>773.087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NoPE</w:t>
    </w:r>
    <w:proofErr w:type="spellEnd"/>
    <w:r w:rsidRPr="002048CE">
      <w:rPr>
        <w:rStyle w:val="HideTWBExt"/>
      </w:rPr>
      <w:t>&gt;&lt;Version&gt;</w:t>
    </w:r>
    <w:r w:rsidRPr="002048CE">
      <w:t>v02-00</w:t>
    </w:r>
    <w:r w:rsidRPr="002048CE">
      <w:rPr>
        <w:rStyle w:val="HideTWBExt"/>
      </w:rPr>
      <w:t>&lt;/</w:t>
    </w:r>
    <w:proofErr w:type="spellStart"/>
    <w:r w:rsidRPr="002048CE">
      <w:rPr>
        <w:rStyle w:val="HideTWBExt"/>
      </w:rPr>
      <w:t>Version</w:t>
    </w:r>
    <w:proofErr w:type="spellEnd"/>
    <w:r w:rsidRPr="002048CE">
      <w:rPr>
        <w:rStyle w:val="HideTWBExt"/>
      </w:rPr>
      <w:t>&gt;</w:t>
    </w:r>
  </w:p>
  <w:p w14:paraId="5C940A49" w14:textId="77777777" w:rsidR="004A2176" w:rsidRPr="002048CE" w:rsidRDefault="004A2176" w:rsidP="00B93E23">
    <w:pPr>
      <w:pStyle w:val="EPFooter2"/>
    </w:pPr>
    <w:r w:rsidRPr="002048CE">
      <w:t>HR</w:t>
    </w:r>
    <w:r w:rsidRPr="002048CE">
      <w:tab/>
    </w:r>
    <w:r w:rsidRPr="002048CE">
      <w:rPr>
        <w:b w:val="0"/>
        <w:i/>
        <w:color w:val="C0C0C0"/>
        <w:sz w:val="22"/>
      </w:rPr>
      <w:t>Ujedinjena u raznolikosti</w:t>
    </w:r>
    <w:r w:rsidRPr="002048CE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D846F" w14:textId="77777777" w:rsidR="00064002" w:rsidRPr="002048C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9500" w14:textId="77777777" w:rsidR="00064002" w:rsidRPr="002048C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15B" w14:textId="77777777" w:rsidR="00064002" w:rsidRPr="002048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481C" w14:textId="77777777" w:rsidR="00C00BFF" w:rsidRPr="002048CE" w:rsidRDefault="00C00BFF">
      <w:r w:rsidRPr="002048CE">
        <w:separator/>
      </w:r>
    </w:p>
  </w:footnote>
  <w:footnote w:type="continuationSeparator" w:id="0">
    <w:p w14:paraId="3C86B5E7" w14:textId="77777777" w:rsidR="00C00BFF" w:rsidRPr="002048CE" w:rsidRDefault="00C00BFF">
      <w:r w:rsidRPr="002048CE">
        <w:continuationSeparator/>
      </w:r>
    </w:p>
  </w:footnote>
  <w:footnote w:id="1">
    <w:p w14:paraId="416FB41D" w14:textId="605A2A9B" w:rsidR="004A2176" w:rsidRPr="00394253" w:rsidRDefault="004A2176" w:rsidP="002048CE">
      <w:pPr>
        <w:pStyle w:val="FootnoteText"/>
        <w:ind w:left="567" w:hanging="567"/>
        <w:rPr>
          <w:sz w:val="24"/>
          <w:lang w:val="hr-HR"/>
        </w:rPr>
      </w:pPr>
      <w:r w:rsidRPr="00394253">
        <w:rPr>
          <w:rStyle w:val="FootnoteReference"/>
          <w:sz w:val="24"/>
          <w:lang w:val="hr-HR"/>
        </w:rPr>
        <w:footnoteRef/>
      </w:r>
      <w:r w:rsidR="002048CE" w:rsidRPr="00394253">
        <w:rPr>
          <w:sz w:val="24"/>
          <w:lang w:val="hr-HR"/>
        </w:rPr>
        <w:t xml:space="preserve"> </w:t>
      </w:r>
      <w:r w:rsidR="002048CE" w:rsidRPr="00394253">
        <w:rPr>
          <w:sz w:val="24"/>
          <w:lang w:val="hr-HR"/>
        </w:rPr>
        <w:tab/>
      </w:r>
      <w:r w:rsidR="009A2563" w:rsidRPr="00394253">
        <w:rPr>
          <w:sz w:val="24"/>
          <w:lang w:val="hr-HR"/>
        </w:rPr>
        <w:t>SL</w:t>
      </w:r>
      <w:r w:rsidR="009A2563" w:rsidRPr="00416378">
        <w:rPr>
          <w:sz w:val="24"/>
          <w:lang w:val="hr-HR"/>
        </w:rPr>
        <w:t xml:space="preserve"> C, C/2025/3199, 2.7.2025</w:t>
      </w:r>
      <w:r w:rsidR="009A2563" w:rsidRPr="00394253">
        <w:rPr>
          <w:sz w:val="24"/>
          <w:lang w:val="hr-HR"/>
        </w:rPr>
        <w:t>.</w:t>
      </w:r>
      <w:r w:rsidR="009A2563" w:rsidRPr="00416378">
        <w:rPr>
          <w:sz w:val="24"/>
          <w:lang w:val="hr-HR"/>
        </w:rPr>
        <w:t xml:space="preserve">, ELI: </w:t>
      </w:r>
      <w:hyperlink r:id="rId1" w:history="1">
        <w:r w:rsidR="009A2563" w:rsidRPr="00416378">
          <w:rPr>
            <w:rStyle w:val="Hyperlink"/>
            <w:sz w:val="24"/>
            <w:lang w:val="hr-HR"/>
          </w:rPr>
          <w:t>http://data.europa.eu/eli/C/2025/3199/oj</w:t>
        </w:r>
      </w:hyperlink>
      <w:r w:rsidR="009A2563" w:rsidRPr="0039425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2AA8" w14:textId="77777777" w:rsidR="00064002" w:rsidRPr="002048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2B79F" w14:textId="77777777" w:rsidR="00064002" w:rsidRPr="002048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3215" w14:textId="77777777" w:rsidR="00064002" w:rsidRPr="002048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1378980">
    <w:abstractNumId w:val="9"/>
  </w:num>
  <w:num w:numId="2" w16cid:durableId="291834397">
    <w:abstractNumId w:val="9"/>
  </w:num>
  <w:num w:numId="3" w16cid:durableId="878399879">
    <w:abstractNumId w:val="7"/>
  </w:num>
  <w:num w:numId="4" w16cid:durableId="19403798">
    <w:abstractNumId w:val="7"/>
  </w:num>
  <w:num w:numId="5" w16cid:durableId="1015424219">
    <w:abstractNumId w:val="6"/>
  </w:num>
  <w:num w:numId="6" w16cid:durableId="1534073698">
    <w:abstractNumId w:val="6"/>
  </w:num>
  <w:num w:numId="7" w16cid:durableId="75441710">
    <w:abstractNumId w:val="5"/>
  </w:num>
  <w:num w:numId="8" w16cid:durableId="571430938">
    <w:abstractNumId w:val="5"/>
  </w:num>
  <w:num w:numId="9" w16cid:durableId="1178616782">
    <w:abstractNumId w:val="4"/>
  </w:num>
  <w:num w:numId="10" w16cid:durableId="869295456">
    <w:abstractNumId w:val="4"/>
  </w:num>
  <w:num w:numId="11" w16cid:durableId="2101025549">
    <w:abstractNumId w:val="8"/>
  </w:num>
  <w:num w:numId="12" w16cid:durableId="524752832">
    <w:abstractNumId w:val="8"/>
  </w:num>
  <w:num w:numId="13" w16cid:durableId="261501102">
    <w:abstractNumId w:val="3"/>
  </w:num>
  <w:num w:numId="14" w16cid:durableId="1500001396">
    <w:abstractNumId w:val="3"/>
  </w:num>
  <w:num w:numId="15" w16cid:durableId="2053262969">
    <w:abstractNumId w:val="2"/>
  </w:num>
  <w:num w:numId="16" w16cid:durableId="1749107126">
    <w:abstractNumId w:val="2"/>
  </w:num>
  <w:num w:numId="17" w16cid:durableId="108817972">
    <w:abstractNumId w:val="1"/>
  </w:num>
  <w:num w:numId="18" w16cid:durableId="518206216">
    <w:abstractNumId w:val="1"/>
  </w:num>
  <w:num w:numId="19" w16cid:durableId="263347413">
    <w:abstractNumId w:val="0"/>
  </w:num>
  <w:num w:numId="20" w16cid:durableId="1443838010">
    <w:abstractNumId w:val="0"/>
  </w:num>
  <w:num w:numId="21" w16cid:durableId="1825974829">
    <w:abstractNumId w:val="9"/>
  </w:num>
  <w:num w:numId="22" w16cid:durableId="839006131">
    <w:abstractNumId w:val="7"/>
  </w:num>
  <w:num w:numId="23" w16cid:durableId="1760709853">
    <w:abstractNumId w:val="6"/>
  </w:num>
  <w:num w:numId="24" w16cid:durableId="1796948019">
    <w:abstractNumId w:val="5"/>
  </w:num>
  <w:num w:numId="25" w16cid:durableId="637028739">
    <w:abstractNumId w:val="4"/>
  </w:num>
  <w:num w:numId="26" w16cid:durableId="1561592727">
    <w:abstractNumId w:val="8"/>
  </w:num>
  <w:num w:numId="27" w16cid:durableId="1109659344">
    <w:abstractNumId w:val="3"/>
  </w:num>
  <w:num w:numId="28" w16cid:durableId="1688675783">
    <w:abstractNumId w:val="2"/>
  </w:num>
  <w:num w:numId="29" w16cid:durableId="657612454">
    <w:abstractNumId w:val="1"/>
  </w:num>
  <w:num w:numId="30" w16cid:durableId="1965116353">
    <w:abstractNumId w:val="0"/>
  </w:num>
  <w:num w:numId="31" w16cid:durableId="281694573">
    <w:abstractNumId w:val="9"/>
  </w:num>
  <w:num w:numId="32" w16cid:durableId="245117531">
    <w:abstractNumId w:val="7"/>
  </w:num>
  <w:num w:numId="33" w16cid:durableId="65423590">
    <w:abstractNumId w:val="6"/>
  </w:num>
  <w:num w:numId="34" w16cid:durableId="406416814">
    <w:abstractNumId w:val="5"/>
  </w:num>
  <w:num w:numId="35" w16cid:durableId="1804233869">
    <w:abstractNumId w:val="4"/>
  </w:num>
  <w:num w:numId="36" w16cid:durableId="2072842704">
    <w:abstractNumId w:val="8"/>
  </w:num>
  <w:num w:numId="37" w16cid:durableId="1617828151">
    <w:abstractNumId w:val="3"/>
  </w:num>
  <w:num w:numId="38" w16cid:durableId="1991134158">
    <w:abstractNumId w:val="2"/>
  </w:num>
  <w:num w:numId="39" w16cid:durableId="1691225412">
    <w:abstractNumId w:val="1"/>
  </w:num>
  <w:num w:numId="40" w16cid:durableId="1725333429">
    <w:abstractNumId w:val="0"/>
  </w:num>
  <w:num w:numId="41" w16cid:durableId="738144">
    <w:abstractNumId w:val="10"/>
  </w:num>
  <w:num w:numId="42" w16cid:durableId="1184200344">
    <w:abstractNumId w:val="10"/>
  </w:num>
  <w:num w:numId="43" w16cid:durableId="327442164">
    <w:abstractNumId w:val="10"/>
  </w:num>
  <w:num w:numId="44" w16cid:durableId="39596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HR"/>
    <w:docVar w:name="dvnumam" w:val="25"/>
    <w:docVar w:name="dvpe" w:val="773.087"/>
    <w:docVar w:name="dvrapporteur" w:val="Izvjestiteljice: "/>
    <w:docVar w:name="dvstar" w:val="***I"/>
    <w:docVar w:name="dvtitre" w:val="Zakonodavna rezolucija Europskog parlamenta od .... 2025. o Prijedlogu uredbe Europskog parlamenta i Vijeća o izmjeni uredaba (EU) 2015/1017, (EU) 2021/523, (EU) 2021/695 i (EU) 2021/1153 u pogledu povećanja učinkovitosti jamstva EU-a na temelju Uredbe (EU) 2021/523 i pojednostavnjenja zahtjeva za izvješćivanje(COM(2025)0084 – C10-0036/2025 – 2025/0040(COD))"/>
  </w:docVars>
  <w:rsids>
    <w:rsidRoot w:val="00C00BFF"/>
    <w:rsid w:val="00002272"/>
    <w:rsid w:val="00064002"/>
    <w:rsid w:val="000677B9"/>
    <w:rsid w:val="000831BA"/>
    <w:rsid w:val="000A42CC"/>
    <w:rsid w:val="000E2656"/>
    <w:rsid w:val="000E7DD9"/>
    <w:rsid w:val="0010095E"/>
    <w:rsid w:val="00125B37"/>
    <w:rsid w:val="00187494"/>
    <w:rsid w:val="001F32AE"/>
    <w:rsid w:val="002048CE"/>
    <w:rsid w:val="002114D6"/>
    <w:rsid w:val="002354C5"/>
    <w:rsid w:val="002767FF"/>
    <w:rsid w:val="002B18FE"/>
    <w:rsid w:val="002B5493"/>
    <w:rsid w:val="00343214"/>
    <w:rsid w:val="00361C00"/>
    <w:rsid w:val="00394253"/>
    <w:rsid w:val="00395FA1"/>
    <w:rsid w:val="003E15D4"/>
    <w:rsid w:val="00411CCE"/>
    <w:rsid w:val="00416378"/>
    <w:rsid w:val="0041666E"/>
    <w:rsid w:val="00421060"/>
    <w:rsid w:val="00471C19"/>
    <w:rsid w:val="004867E3"/>
    <w:rsid w:val="00494A28"/>
    <w:rsid w:val="004A2176"/>
    <w:rsid w:val="004C0004"/>
    <w:rsid w:val="004C5D52"/>
    <w:rsid w:val="004F1AE0"/>
    <w:rsid w:val="0050519A"/>
    <w:rsid w:val="005072A1"/>
    <w:rsid w:val="00514517"/>
    <w:rsid w:val="00545827"/>
    <w:rsid w:val="005552AA"/>
    <w:rsid w:val="00560270"/>
    <w:rsid w:val="0059241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A42"/>
    <w:rsid w:val="00930C23"/>
    <w:rsid w:val="0093193B"/>
    <w:rsid w:val="009509D8"/>
    <w:rsid w:val="00950B64"/>
    <w:rsid w:val="00981893"/>
    <w:rsid w:val="009A2563"/>
    <w:rsid w:val="00A1687D"/>
    <w:rsid w:val="00A43E52"/>
    <w:rsid w:val="00A4678D"/>
    <w:rsid w:val="00A4714C"/>
    <w:rsid w:val="00A778C7"/>
    <w:rsid w:val="00AB441E"/>
    <w:rsid w:val="00AB6293"/>
    <w:rsid w:val="00AE0928"/>
    <w:rsid w:val="00AF3B82"/>
    <w:rsid w:val="00B12E95"/>
    <w:rsid w:val="00B22876"/>
    <w:rsid w:val="00B33F7C"/>
    <w:rsid w:val="00B558F0"/>
    <w:rsid w:val="00BD48FE"/>
    <w:rsid w:val="00BD7BD8"/>
    <w:rsid w:val="00BE6ADC"/>
    <w:rsid w:val="00C00BF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913"/>
    <w:rsid w:val="00E279A5"/>
    <w:rsid w:val="00E365E1"/>
    <w:rsid w:val="00E820A4"/>
    <w:rsid w:val="00E85A5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1D60C"/>
  <w15:chartTrackingRefBased/>
  <w15:docId w15:val="{DE60796A-D421-4D36-B349-9BF9706C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A21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A21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2176"/>
    <w:rPr>
      <w:b/>
    </w:rPr>
  </w:style>
  <w:style w:type="paragraph" w:customStyle="1" w:styleId="NormalHanging12a">
    <w:name w:val="NormalHanging12a"/>
    <w:basedOn w:val="Normal"/>
    <w:rsid w:val="004A21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A2176"/>
    <w:pPr>
      <w:spacing w:after="480"/>
      <w:ind w:left="1417"/>
    </w:pPr>
  </w:style>
  <w:style w:type="paragraph" w:customStyle="1" w:styleId="CoverNormal">
    <w:name w:val="CoverNormal"/>
    <w:basedOn w:val="Normal"/>
    <w:rsid w:val="004A2176"/>
    <w:pPr>
      <w:ind w:left="1418"/>
    </w:pPr>
  </w:style>
  <w:style w:type="paragraph" w:customStyle="1" w:styleId="CoverDate">
    <w:name w:val="CoverDate"/>
    <w:basedOn w:val="Normal"/>
    <w:rsid w:val="004A2176"/>
    <w:pPr>
      <w:spacing w:before="240" w:after="1200"/>
    </w:pPr>
  </w:style>
  <w:style w:type="paragraph" w:styleId="Header">
    <w:name w:val="header"/>
    <w:basedOn w:val="Normal"/>
    <w:link w:val="HeaderChar"/>
    <w:rsid w:val="004A21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2176"/>
    <w:rPr>
      <w:sz w:val="24"/>
      <w:lang w:val="hr-HR"/>
    </w:rPr>
  </w:style>
  <w:style w:type="paragraph" w:customStyle="1" w:styleId="AmNumberTabs">
    <w:name w:val="AmNumberTabs"/>
    <w:basedOn w:val="Normal"/>
    <w:rsid w:val="004A21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4A21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2176"/>
    <w:pPr>
      <w:spacing w:before="480" w:after="240"/>
    </w:pPr>
  </w:style>
  <w:style w:type="paragraph" w:customStyle="1" w:styleId="NormalCenter12a">
    <w:name w:val="NormalCenter12a"/>
    <w:basedOn w:val="Normal"/>
    <w:rsid w:val="004A217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A2176"/>
    <w:pPr>
      <w:spacing w:before="720" w:after="240"/>
      <w:jc w:val="center"/>
    </w:pPr>
  </w:style>
  <w:style w:type="paragraph" w:customStyle="1" w:styleId="Normal24a">
    <w:name w:val="Normal24a"/>
    <w:basedOn w:val="Normal"/>
    <w:rsid w:val="004A2176"/>
    <w:pPr>
      <w:spacing w:after="480"/>
    </w:pPr>
  </w:style>
  <w:style w:type="paragraph" w:customStyle="1" w:styleId="NormalBoldCenter">
    <w:name w:val="NormalBoldCenter"/>
    <w:basedOn w:val="Normal"/>
    <w:rsid w:val="004A2176"/>
    <w:pPr>
      <w:jc w:val="center"/>
    </w:pPr>
    <w:rPr>
      <w:b/>
    </w:rPr>
  </w:style>
  <w:style w:type="paragraph" w:customStyle="1" w:styleId="Footprint12b">
    <w:name w:val="Footprint12b"/>
    <w:basedOn w:val="Normal"/>
    <w:rsid w:val="004A217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A2176"/>
    <w:rPr>
      <w:szCs w:val="24"/>
    </w:rPr>
  </w:style>
  <w:style w:type="character" w:styleId="Hyperlink">
    <w:name w:val="Hyperlink"/>
    <w:basedOn w:val="DefaultParagraphFont"/>
    <w:rsid w:val="004A2176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rsid w:val="004A2176"/>
    <w:rPr>
      <w:b/>
      <w:sz w:val="24"/>
      <w:lang w:val="hr-HR"/>
    </w:rPr>
  </w:style>
  <w:style w:type="paragraph" w:styleId="Footer">
    <w:name w:val="footer"/>
    <w:basedOn w:val="Normal"/>
    <w:link w:val="FooterChar"/>
    <w:rsid w:val="00E279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79A5"/>
    <w:rPr>
      <w:sz w:val="24"/>
      <w:lang w:val="hr-HR"/>
    </w:rPr>
  </w:style>
  <w:style w:type="paragraph" w:styleId="Revision">
    <w:name w:val="Revision"/>
    <w:hidden/>
    <w:uiPriority w:val="99"/>
    <w:semiHidden/>
    <w:rsid w:val="00E279A5"/>
    <w:rPr>
      <w:sz w:val="24"/>
      <w:lang w:val="hr-HR"/>
    </w:rPr>
  </w:style>
  <w:style w:type="character" w:styleId="FollowedHyperlink">
    <w:name w:val="FollowedHyperlink"/>
    <w:basedOn w:val="DefaultParagraphFont"/>
    <w:rsid w:val="009A2563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E85A51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character" w:customStyle="1" w:styleId="Hyperlink1">
    <w:name w:val="Hyperlink1"/>
    <w:basedOn w:val="DefaultParagraphFont"/>
    <w:uiPriority w:val="99"/>
    <w:rsid w:val="00E85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2026-02-03T15:00:00Z</dcterms:created>
  <dcterms:modified xsi:type="dcterms:W3CDTF">2026-02-03T15:00:00Z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