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1C49" w14:paraId="0DB600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80F003" w14:textId="50362127" w:rsidR="00751A4A" w:rsidRPr="009E1C49" w:rsidRDefault="004949BC" w:rsidP="0010095E">
            <w:pPr>
              <w:pStyle w:val="EPName"/>
            </w:pPr>
            <w:r w:rsidRPr="009E1C49">
              <w:t>Európai Parlament</w:t>
            </w:r>
          </w:p>
          <w:p w14:paraId="46845E6F" w14:textId="77777777" w:rsidR="00751A4A" w:rsidRPr="009E1C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1C49">
              <w:t>2024</w:t>
            </w:r>
            <w:r w:rsidR="00817416" w:rsidRPr="009E1C49">
              <w:t>-202</w:t>
            </w:r>
            <w:r w:rsidRPr="009E1C49">
              <w:t>9</w:t>
            </w:r>
          </w:p>
        </w:tc>
        <w:tc>
          <w:tcPr>
            <w:tcW w:w="2268" w:type="dxa"/>
            <w:shd w:val="clear" w:color="auto" w:fill="auto"/>
          </w:tcPr>
          <w:p w14:paraId="5F279CC4" w14:textId="77777777" w:rsidR="00751A4A" w:rsidRPr="009E1C49" w:rsidRDefault="00187494" w:rsidP="0010095E">
            <w:pPr>
              <w:pStyle w:val="EPLogo"/>
            </w:pPr>
            <w:r w:rsidRPr="009E1C49">
              <w:rPr>
                <w:noProof/>
                <w:lang w:eastAsia="ja-JP"/>
              </w:rPr>
              <w:drawing>
                <wp:inline distT="0" distB="0" distL="0" distR="0" wp14:anchorId="23B171AC" wp14:editId="6962A2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3419BA" w14:textId="77777777" w:rsidR="00D058B8" w:rsidRPr="009E1C49" w:rsidRDefault="00D058B8" w:rsidP="004C5D52">
      <w:pPr>
        <w:pStyle w:val="LineTop"/>
      </w:pPr>
    </w:p>
    <w:p w14:paraId="5BCBA7D2" w14:textId="48E11D39" w:rsidR="00680577" w:rsidRPr="009E1C49" w:rsidRDefault="004949BC" w:rsidP="00680577">
      <w:pPr>
        <w:pStyle w:val="EPBodyTA1"/>
      </w:pPr>
      <w:r w:rsidRPr="009E1C49">
        <w:t>ELFOGADOTT SZÖVEGEK</w:t>
      </w:r>
    </w:p>
    <w:p w14:paraId="2EF2066C" w14:textId="77777777" w:rsidR="00D058B8" w:rsidRPr="009E1C49" w:rsidRDefault="00D058B8" w:rsidP="00D058B8">
      <w:pPr>
        <w:pStyle w:val="LineBottom"/>
      </w:pPr>
    </w:p>
    <w:p w14:paraId="5A665F79" w14:textId="1EE4D431" w:rsidR="004949BC" w:rsidRPr="009E1C49" w:rsidRDefault="004949BC" w:rsidP="004949BC">
      <w:pPr>
        <w:pStyle w:val="ATHeading1"/>
      </w:pPr>
      <w:bookmarkStart w:id="0" w:name="TANumber"/>
      <w:r w:rsidRPr="009E1C49">
        <w:t>P10_</w:t>
      </w:r>
      <w:proofErr w:type="gramStart"/>
      <w:r w:rsidRPr="009E1C49">
        <w:t>TA(</w:t>
      </w:r>
      <w:proofErr w:type="gramEnd"/>
      <w:r w:rsidRPr="009E1C49">
        <w:t>2025)0</w:t>
      </w:r>
      <w:r w:rsidR="009E1C49" w:rsidRPr="009E1C49">
        <w:t>296</w:t>
      </w:r>
      <w:bookmarkEnd w:id="0"/>
    </w:p>
    <w:p w14:paraId="2BC47DF3" w14:textId="269195FB" w:rsidR="004949BC" w:rsidRPr="009E1C49" w:rsidRDefault="008A7D61" w:rsidP="008A7D61">
      <w:pPr>
        <w:pStyle w:val="ATHeading2"/>
      </w:pPr>
      <w:bookmarkStart w:id="1" w:name="title"/>
      <w:r w:rsidRPr="009E1C49">
        <w:t>Az uniós garancia hatékonyságának növelése az InvestEU rendelet keretében és a jelentéstételi követelmények egyszerűsítése</w:t>
      </w:r>
      <w:bookmarkEnd w:id="1"/>
    </w:p>
    <w:p w14:paraId="7C36E209" w14:textId="77777777" w:rsidR="004949BC" w:rsidRPr="009E1C49" w:rsidRDefault="004949BC" w:rsidP="004949BC">
      <w:pPr>
        <w:rPr>
          <w:i/>
          <w:vanish/>
        </w:rPr>
      </w:pPr>
      <w:r w:rsidRPr="009E1C49">
        <w:rPr>
          <w:i/>
        </w:rPr>
        <w:fldChar w:fldCharType="begin"/>
      </w:r>
      <w:r w:rsidRPr="009E1C49">
        <w:rPr>
          <w:i/>
        </w:rPr>
        <w:instrText xml:space="preserve"> TC"(</w:instrText>
      </w:r>
      <w:bookmarkStart w:id="2" w:name="DocNumber"/>
      <w:r w:rsidRPr="009E1C49">
        <w:rPr>
          <w:i/>
        </w:rPr>
        <w:instrText>A10-0117/2025</w:instrText>
      </w:r>
      <w:bookmarkEnd w:id="2"/>
      <w:r w:rsidRPr="009E1C49">
        <w:rPr>
          <w:i/>
        </w:rPr>
        <w:instrText xml:space="preserve"> - Előadók: Aura Salla, Irene Tinagli)"\l3 \n&gt; \* MERGEFORMAT </w:instrText>
      </w:r>
      <w:r w:rsidRPr="009E1C49">
        <w:rPr>
          <w:i/>
        </w:rPr>
        <w:fldChar w:fldCharType="end"/>
      </w:r>
    </w:p>
    <w:p w14:paraId="7E190707" w14:textId="77777777" w:rsidR="004949BC" w:rsidRPr="009E1C49" w:rsidRDefault="004949BC" w:rsidP="004949BC">
      <w:pPr>
        <w:rPr>
          <w:vanish/>
        </w:rPr>
      </w:pPr>
      <w:bookmarkStart w:id="3" w:name="Commission"/>
      <w:r w:rsidRPr="009E1C49">
        <w:rPr>
          <w:vanish/>
        </w:rPr>
        <w:t>Költségvetési Bizottság, Gazdasági és Monetáris Bizottság</w:t>
      </w:r>
      <w:bookmarkEnd w:id="3"/>
    </w:p>
    <w:p w14:paraId="1963F8CE" w14:textId="77777777" w:rsidR="004949BC" w:rsidRPr="009E1C49" w:rsidRDefault="004949BC" w:rsidP="004949BC">
      <w:pPr>
        <w:rPr>
          <w:vanish/>
        </w:rPr>
      </w:pPr>
      <w:bookmarkStart w:id="4" w:name="PE"/>
      <w:r w:rsidRPr="009E1C49">
        <w:rPr>
          <w:vanish/>
        </w:rPr>
        <w:t>PE773.087</w:t>
      </w:r>
      <w:bookmarkEnd w:id="4"/>
    </w:p>
    <w:p w14:paraId="179E9B6F" w14:textId="4D33C346" w:rsidR="004949BC" w:rsidRPr="009E1C49" w:rsidRDefault="004949BC" w:rsidP="004949BC">
      <w:pPr>
        <w:pStyle w:val="ATHeading3"/>
      </w:pPr>
      <w:bookmarkStart w:id="5" w:name="Sujet"/>
      <w:r w:rsidRPr="009E1C49">
        <w:t xml:space="preserve">Az Európai Parlament 2025. </w:t>
      </w:r>
      <w:r w:rsidR="0073171E" w:rsidRPr="009E1C49">
        <w:t>november</w:t>
      </w:r>
      <w:r w:rsidRPr="009E1C49">
        <w:t xml:space="preserve"> </w:t>
      </w:r>
      <w:r w:rsidR="008A7D61" w:rsidRPr="009E1C49">
        <w:t>2</w:t>
      </w:r>
      <w:r w:rsidR="005778E5" w:rsidRPr="009E1C49">
        <w:t>6</w:t>
      </w:r>
      <w:r w:rsidR="008A7D61" w:rsidRPr="009E1C49">
        <w:t>-</w:t>
      </w:r>
      <w:r w:rsidRPr="009E1C49">
        <w:t>i jogalkotási állásfoglalása az (EU) 2015/1017, az (EU) 2021/523, az (EU) 2021/695 és az (EU) 2021/1153 rendeletnek az (EU) 2021/523 rendelet szerinti uniós garancia hatékonyságának növelése és a jelentéstételi követelmények egyszerűsítése tekintetében történő módosításáról szóló európai parlamenti és tanácsi rendeletre irányuló javaslatról</w:t>
      </w:r>
      <w:bookmarkEnd w:id="5"/>
      <w:r w:rsidRPr="009E1C49">
        <w:t xml:space="preserve"> </w:t>
      </w:r>
      <w:bookmarkStart w:id="6" w:name="References"/>
      <w:r w:rsidRPr="009E1C49">
        <w:t>(</w:t>
      </w:r>
      <w:proofErr w:type="gramStart"/>
      <w:r w:rsidRPr="009E1C49">
        <w:t>COM(</w:t>
      </w:r>
      <w:proofErr w:type="gramEnd"/>
      <w:r w:rsidRPr="009E1C49">
        <w:t>2025)0084 – C10-0036/2025 – 2025/0040(COD))</w:t>
      </w:r>
      <w:bookmarkEnd w:id="6"/>
    </w:p>
    <w:p w14:paraId="50B522B1" w14:textId="77777777" w:rsidR="00735B06" w:rsidRPr="009E1C49" w:rsidRDefault="00735B06" w:rsidP="00735B06">
      <w:pPr>
        <w:pStyle w:val="NormalBold"/>
      </w:pPr>
      <w:r w:rsidRPr="009E1C49">
        <w:t>(Rendes jogalkotási eljárás: első olvasat)</w:t>
      </w:r>
    </w:p>
    <w:p w14:paraId="5000CBBF" w14:textId="77777777" w:rsidR="00735B06" w:rsidRPr="009E1C49" w:rsidRDefault="00735B06" w:rsidP="00735B06">
      <w:pPr>
        <w:pStyle w:val="EPComma"/>
      </w:pPr>
      <w:r w:rsidRPr="009E1C49">
        <w:rPr>
          <w:i/>
        </w:rPr>
        <w:t>Az Európai Parlament</w:t>
      </w:r>
      <w:r w:rsidRPr="009E1C49">
        <w:t>,</w:t>
      </w:r>
    </w:p>
    <w:p w14:paraId="49954A5C" w14:textId="77777777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tekintettel a Bizottság Parlamenthez és Tanácshoz intézett javaslatára (</w:t>
      </w:r>
      <w:proofErr w:type="gramStart"/>
      <w:r w:rsidRPr="009E1C49">
        <w:t>COM(</w:t>
      </w:r>
      <w:proofErr w:type="gramEnd"/>
      <w:r w:rsidRPr="009E1C49">
        <w:t>2025)0084),</w:t>
      </w:r>
    </w:p>
    <w:p w14:paraId="7F527B71" w14:textId="116ECB33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 xml:space="preserve">tekintettel az Európai Unió működéséről szóló szerződés 294. cikkének (2) bekezdésére, 172. és 173. cikkére, 175. cikkének harmadik bekezdésére, 182. cikkének (1) bekezdésére, </w:t>
      </w:r>
      <w:r w:rsidR="003F7D39" w:rsidRPr="009E1C49">
        <w:t xml:space="preserve">183. cikkére, </w:t>
      </w:r>
      <w:r w:rsidRPr="009E1C49">
        <w:t>188. cikkének második bekezdésére és 194. cikkére, amelyek alapján a Bizottság javaslatát benyújtotta a Parlamenthez (C10</w:t>
      </w:r>
      <w:r w:rsidRPr="009E1C49">
        <w:noBreakHyphen/>
        <w:t>0036/2025),</w:t>
      </w:r>
    </w:p>
    <w:p w14:paraId="1A569DF5" w14:textId="77777777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tekintettel az Európai Unió működéséről szóló szerződés 294. cikkének (3) bekezdésére,</w:t>
      </w:r>
    </w:p>
    <w:p w14:paraId="07F675E2" w14:textId="77777777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tekintettel az Európai Gazdasági és Szociális Bizottság 2025. április 29-i véleményére</w:t>
      </w:r>
      <w:r w:rsidRPr="009E1C49">
        <w:rPr>
          <w:rStyle w:val="FootnoteReference"/>
        </w:rPr>
        <w:footnoteReference w:id="1"/>
      </w:r>
      <w:r w:rsidRPr="009E1C49">
        <w:t>,</w:t>
      </w:r>
    </w:p>
    <w:p w14:paraId="15150338" w14:textId="77777777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a Régiók Bizottságával folytatott konzultációt követően,</w:t>
      </w:r>
    </w:p>
    <w:p w14:paraId="1477969C" w14:textId="7C45EC7A" w:rsidR="003F7D39" w:rsidRPr="009E1C49" w:rsidRDefault="003F7D39" w:rsidP="00C93763">
      <w:pPr>
        <w:pStyle w:val="NormalHanging12a"/>
        <w:widowControl/>
      </w:pPr>
      <w:r w:rsidRPr="009E1C49">
        <w:t>–</w:t>
      </w:r>
      <w:r w:rsidRPr="009E1C49">
        <w:tab/>
        <w:t>tekintettel az illetékes bizottságok által az eljárási szabályzat 75. cikkének (4) bekezdése alapján jóváhagyott ideiglenes megállapodásra és a Tanács képviselőjének 2025. október 8-i írásbeli kötelezettségvállalására, amely szerint egyetért a Parlament álláspontjával, az Európai Unió működéséről szóló szerződés 294. cikkének (4) bekezdésével összhangban,</w:t>
      </w:r>
    </w:p>
    <w:p w14:paraId="622943F3" w14:textId="77777777" w:rsidR="00735B06" w:rsidRPr="009E1C49" w:rsidDel="00173770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tekintettel eljárási szabályzata 60. cikkére,</w:t>
      </w:r>
    </w:p>
    <w:p w14:paraId="64209B7D" w14:textId="77777777" w:rsidR="00735B06" w:rsidRPr="009E1C49" w:rsidRDefault="00735B06" w:rsidP="00C93763">
      <w:pPr>
        <w:pStyle w:val="NormalHanging12a"/>
        <w:widowControl/>
      </w:pPr>
      <w:r w:rsidRPr="009E1C49">
        <w:lastRenderedPageBreak/>
        <w:t>–</w:t>
      </w:r>
      <w:r w:rsidRPr="009E1C49">
        <w:tab/>
        <w:t>tekintettel a Költségvetési Bizottság és a Gazdasági és Monetáris Bizottság által az eljárási szabályzat 59. cikke alapján folytatott közös tanácskozásokra,</w:t>
      </w:r>
    </w:p>
    <w:p w14:paraId="51F9FEEC" w14:textId="62762071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tekintettel az Ipari, Kutatási és Energiaügyi Bizottság és a Közlekedési és Idegenforgalmi Bizottság vélemény</w:t>
      </w:r>
      <w:r w:rsidR="008A7D61" w:rsidRPr="009E1C49">
        <w:t>ei</w:t>
      </w:r>
      <w:r w:rsidRPr="009E1C49">
        <w:t>re,</w:t>
      </w:r>
    </w:p>
    <w:p w14:paraId="7EB58EE1" w14:textId="77777777" w:rsidR="00735B06" w:rsidRPr="009E1C49" w:rsidRDefault="00735B06" w:rsidP="00C93763">
      <w:pPr>
        <w:pStyle w:val="NormalHanging12a"/>
        <w:widowControl/>
      </w:pPr>
      <w:r w:rsidRPr="009E1C49">
        <w:t>–</w:t>
      </w:r>
      <w:r w:rsidRPr="009E1C49">
        <w:tab/>
        <w:t>tekintettel a Költségvetési Bizottság és a Gazdasági és Monetáris Bizottság jelentésére (A10-0117/2025),</w:t>
      </w:r>
    </w:p>
    <w:p w14:paraId="16374434" w14:textId="77777777" w:rsidR="00735B06" w:rsidRPr="009E1C49" w:rsidRDefault="00735B06" w:rsidP="00C93763">
      <w:pPr>
        <w:pStyle w:val="NormalHanging12a"/>
        <w:widowControl/>
      </w:pPr>
      <w:r w:rsidRPr="009E1C49">
        <w:t>1.</w:t>
      </w:r>
      <w:r w:rsidRPr="009E1C49">
        <w:tab/>
        <w:t>elfogadja első olvasatban az alábbi álláspontot;</w:t>
      </w:r>
    </w:p>
    <w:p w14:paraId="6140391C" w14:textId="77777777" w:rsidR="00735B06" w:rsidRPr="009E1C49" w:rsidRDefault="00735B06" w:rsidP="00C93763">
      <w:pPr>
        <w:pStyle w:val="NormalHanging12a"/>
        <w:widowControl/>
      </w:pPr>
      <w:r w:rsidRPr="009E1C49">
        <w:t>2.</w:t>
      </w:r>
      <w:r w:rsidRPr="009E1C49">
        <w:tab/>
        <w:t>felkéri a Bizottságot, hogy utalja az ügyet újból a Parlamenthez, ha javaslatát másik szöveggel váltja fel, lényegesen módosítja vagy lényegesen módosítani kívánja;</w:t>
      </w:r>
    </w:p>
    <w:p w14:paraId="77DBC62E" w14:textId="77777777" w:rsidR="00735B06" w:rsidRPr="009E1C49" w:rsidRDefault="00735B06" w:rsidP="00C93763">
      <w:pPr>
        <w:pStyle w:val="NormalHanging12a"/>
        <w:widowControl/>
      </w:pPr>
      <w:r w:rsidRPr="009E1C49">
        <w:t>3.</w:t>
      </w:r>
      <w:r w:rsidRPr="009E1C49">
        <w:tab/>
        <w:t>utasítja elnökét, hogy továbbítsa a Parlament álláspontját a Tanácsnak és a Bizottságnak, valamint a nemzeti parlamenteknek.</w:t>
      </w:r>
    </w:p>
    <w:p w14:paraId="5176073E" w14:textId="77777777" w:rsidR="00277C12" w:rsidRPr="009E1C49" w:rsidRDefault="00277C12" w:rsidP="00277C12">
      <w:pPr>
        <w:pStyle w:val="Normal12"/>
        <w:rPr>
          <w:szCs w:val="24"/>
          <w:lang w:val="hu-HU"/>
        </w:rPr>
      </w:pPr>
    </w:p>
    <w:p w14:paraId="3800C072" w14:textId="77777777" w:rsidR="00277C12" w:rsidRPr="009E1C49" w:rsidRDefault="00277C12" w:rsidP="00277C12">
      <w:pPr>
        <w:pStyle w:val="Normal12"/>
        <w:rPr>
          <w:szCs w:val="24"/>
          <w:lang w:val="hu-HU"/>
        </w:rPr>
        <w:sectPr w:rsidR="00277C12" w:rsidRPr="009E1C49" w:rsidSect="00277C12">
          <w:footerReference w:type="even" r:id="rId9"/>
          <w:footnotePr>
            <w:numRestart w:val="eachPage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FE3B6F9" w14:textId="2082F484" w:rsidR="00277C12" w:rsidRPr="009E1C49" w:rsidRDefault="00277C12" w:rsidP="00277C12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</w:rPr>
      </w:pPr>
      <w:r w:rsidRPr="009E1C49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9E1C49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9E1C49">
        <w:rPr>
          <w:rFonts w:eastAsia="Calibri"/>
          <w:b/>
          <w:bCs/>
          <w:color w:val="000000"/>
          <w:szCs w:val="24"/>
        </w:rPr>
        <w:t>2025)</w:t>
      </w:r>
      <w:r w:rsidRPr="009E1C49">
        <w:rPr>
          <w:b/>
        </w:rPr>
        <w:t>0040</w:t>
      </w:r>
    </w:p>
    <w:p w14:paraId="4CCFBEA6" w14:textId="31A089E6" w:rsidR="00277C12" w:rsidRPr="009E1C49" w:rsidRDefault="00277C12" w:rsidP="00F50271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eastAsia="en-US"/>
        </w:rPr>
      </w:pPr>
      <w:r w:rsidRPr="009E1C49">
        <w:rPr>
          <w:b/>
          <w:lang w:eastAsia="en-US"/>
        </w:rPr>
        <w:t>Az Európai Parlament álláspontja, amely első olvasatban 2025. november 2</w:t>
      </w:r>
      <w:r w:rsidR="005778E5" w:rsidRPr="009E1C49">
        <w:rPr>
          <w:b/>
          <w:lang w:eastAsia="en-US"/>
        </w:rPr>
        <w:t>6-á</w:t>
      </w:r>
      <w:r w:rsidRPr="009E1C49">
        <w:rPr>
          <w:b/>
          <w:lang w:eastAsia="en-US"/>
        </w:rPr>
        <w:t xml:space="preserve">n került elfogadásra </w:t>
      </w:r>
      <w:r w:rsidR="00F50271" w:rsidRPr="00F50271">
        <w:rPr>
          <w:b/>
          <w:szCs w:val="24"/>
          <w:lang w:eastAsia="en-US"/>
        </w:rPr>
        <w:t>az (EU) 2015/1017, az (EU) 2021/523, az (EU) 2021/695 és az (EU) 2021/1153 rendeletnek az (EU) 2021/523 rendelet szerinti uniós garancia hatékonyságának növelése és a jelentéstételi követelmények egyszerűsítése tekintetében történő módosításáról</w:t>
      </w:r>
      <w:r w:rsidR="00274022" w:rsidRPr="009E1C49">
        <w:rPr>
          <w:b/>
          <w:szCs w:val="24"/>
          <w:lang w:eastAsia="en-US"/>
        </w:rPr>
        <w:t xml:space="preserve"> </w:t>
      </w:r>
      <w:r w:rsidRPr="009E1C49">
        <w:rPr>
          <w:b/>
          <w:bCs/>
          <w:lang w:eastAsia="en-US"/>
        </w:rPr>
        <w:t>sz</w:t>
      </w:r>
      <w:r w:rsidRPr="009E1C49">
        <w:rPr>
          <w:b/>
          <w:lang w:eastAsia="en-US"/>
        </w:rPr>
        <w:t>óló (EU) 2025/... európai parlamenti és tanácsi rendelet elfogadására tekintettel</w:t>
      </w:r>
      <w:r w:rsidRPr="009E1C49">
        <w:rPr>
          <w:rFonts w:eastAsia="Calibri"/>
          <w:b/>
          <w:noProof/>
          <w:szCs w:val="22"/>
          <w:lang w:eastAsia="en-US"/>
        </w:rPr>
        <w:t xml:space="preserve"> </w:t>
      </w:r>
    </w:p>
    <w:p w14:paraId="1248A601" w14:textId="6B6A9CE7" w:rsidR="00F50271" w:rsidRPr="00501EFB" w:rsidRDefault="00F50271" w:rsidP="00F50271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6F5EDD">
        <w:rPr>
          <w:i/>
        </w:rPr>
        <w:t>(</w:t>
      </w:r>
      <w:r w:rsidRPr="00F50271">
        <w:rPr>
          <w:i/>
        </w:rPr>
        <w:t>A Parlament és a Tanács megállapodása következtében a Parlament álláspontja megegyezik a végleges jogalkotási aktussal, az (EU) 2025/</w:t>
      </w:r>
      <w:r>
        <w:rPr>
          <w:i/>
        </w:rPr>
        <w:t>2005</w:t>
      </w:r>
      <w:r w:rsidRPr="00F50271">
        <w:rPr>
          <w:i/>
        </w:rPr>
        <w:t xml:space="preserve"> rendelettel</w:t>
      </w:r>
      <w:r w:rsidRPr="006F5EDD">
        <w:rPr>
          <w:i/>
        </w:rPr>
        <w:t>.)</w:t>
      </w:r>
    </w:p>
    <w:sectPr w:rsidR="00F50271" w:rsidRPr="00501EFB" w:rsidSect="008220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10F44" w14:textId="77777777" w:rsidR="004949BC" w:rsidRPr="00822086" w:rsidRDefault="004949BC">
      <w:r w:rsidRPr="00822086">
        <w:separator/>
      </w:r>
    </w:p>
  </w:endnote>
  <w:endnote w:type="continuationSeparator" w:id="0">
    <w:p w14:paraId="2A4E7089" w14:textId="77777777" w:rsidR="004949BC" w:rsidRPr="00822086" w:rsidRDefault="004949BC">
      <w:r w:rsidRPr="008220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B4C1" w14:textId="77777777" w:rsidR="00277C12" w:rsidRDefault="00277C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18A7" w14:textId="77777777" w:rsidR="00064002" w:rsidRPr="008220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216E4" w14:textId="77777777" w:rsidR="00064002" w:rsidRPr="0082208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018EC" w14:textId="77777777" w:rsidR="00064002" w:rsidRPr="008220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CC3AD" w14:textId="77777777" w:rsidR="004949BC" w:rsidRPr="00822086" w:rsidRDefault="004949BC">
      <w:r w:rsidRPr="00822086">
        <w:separator/>
      </w:r>
    </w:p>
  </w:footnote>
  <w:footnote w:type="continuationSeparator" w:id="0">
    <w:p w14:paraId="45A7E6B1" w14:textId="77777777" w:rsidR="004949BC" w:rsidRPr="00822086" w:rsidRDefault="004949BC">
      <w:r w:rsidRPr="00822086">
        <w:continuationSeparator/>
      </w:r>
    </w:p>
  </w:footnote>
  <w:footnote w:id="1">
    <w:p w14:paraId="145EF6CD" w14:textId="4AFC5E88" w:rsidR="00735B06" w:rsidRPr="00822086" w:rsidRDefault="00735B06" w:rsidP="00822086">
      <w:pPr>
        <w:pStyle w:val="FootnoteText"/>
        <w:ind w:left="567" w:hanging="567"/>
        <w:rPr>
          <w:sz w:val="24"/>
          <w:lang w:val="hu-HU"/>
        </w:rPr>
      </w:pPr>
      <w:r w:rsidRPr="00822086">
        <w:rPr>
          <w:rStyle w:val="FootnoteReference"/>
          <w:sz w:val="24"/>
          <w:lang w:val="hu-HU"/>
        </w:rPr>
        <w:footnoteRef/>
      </w:r>
      <w:r w:rsidR="00822086" w:rsidRPr="00822086">
        <w:rPr>
          <w:sz w:val="24"/>
          <w:lang w:val="hu-HU"/>
        </w:rPr>
        <w:t xml:space="preserve"> </w:t>
      </w:r>
      <w:r w:rsidR="00822086" w:rsidRPr="00822086">
        <w:rPr>
          <w:sz w:val="24"/>
          <w:lang w:val="hu-HU"/>
        </w:rPr>
        <w:tab/>
      </w:r>
      <w:r w:rsidR="003F7D39">
        <w:rPr>
          <w:sz w:val="24"/>
          <w:lang w:val="hu-HU"/>
        </w:rPr>
        <w:t xml:space="preserve">HL </w:t>
      </w:r>
      <w:r w:rsidR="003F7D39" w:rsidRPr="003F7D39">
        <w:rPr>
          <w:sz w:val="24"/>
          <w:lang w:val="hu-HU"/>
        </w:rPr>
        <w:t xml:space="preserve">C, C/2025/3199, </w:t>
      </w:r>
      <w:r w:rsidR="003F7D39">
        <w:rPr>
          <w:sz w:val="24"/>
          <w:lang w:val="hu-HU"/>
        </w:rPr>
        <w:t>2025.7.</w:t>
      </w:r>
      <w:r w:rsidR="003F7D39" w:rsidRPr="003F7D39">
        <w:rPr>
          <w:sz w:val="24"/>
          <w:lang w:val="hu-HU"/>
        </w:rPr>
        <w:t>2</w:t>
      </w:r>
      <w:r w:rsidR="003F7D39">
        <w:rPr>
          <w:sz w:val="24"/>
          <w:lang w:val="hu-HU"/>
        </w:rPr>
        <w:t>.</w:t>
      </w:r>
      <w:r w:rsidR="003F7D39" w:rsidRPr="003F7D39">
        <w:rPr>
          <w:sz w:val="24"/>
          <w:lang w:val="hu-HU"/>
        </w:rPr>
        <w:t xml:space="preserve">, ELI: </w:t>
      </w:r>
      <w:hyperlink r:id="rId1" w:history="1">
        <w:r w:rsidR="003F7D39" w:rsidRPr="003F7D39">
          <w:rPr>
            <w:rStyle w:val="Hyperlink"/>
            <w:sz w:val="24"/>
            <w:lang w:val="hu-HU"/>
          </w:rPr>
          <w:t>http://data.europa.eu/eli/C/2025/3199/oj</w:t>
        </w:r>
      </w:hyperlink>
      <w:r w:rsidRPr="00822086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7301" w14:textId="77777777" w:rsidR="00064002" w:rsidRPr="008220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3D4D3" w14:textId="77777777" w:rsidR="00064002" w:rsidRPr="008220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9DE1" w14:textId="77777777" w:rsidR="00064002" w:rsidRPr="008220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8437543">
    <w:abstractNumId w:val="9"/>
  </w:num>
  <w:num w:numId="2" w16cid:durableId="1732727737">
    <w:abstractNumId w:val="9"/>
  </w:num>
  <w:num w:numId="3" w16cid:durableId="204948155">
    <w:abstractNumId w:val="7"/>
  </w:num>
  <w:num w:numId="4" w16cid:durableId="403263239">
    <w:abstractNumId w:val="7"/>
  </w:num>
  <w:num w:numId="5" w16cid:durableId="813522324">
    <w:abstractNumId w:val="6"/>
  </w:num>
  <w:num w:numId="6" w16cid:durableId="589780305">
    <w:abstractNumId w:val="6"/>
  </w:num>
  <w:num w:numId="7" w16cid:durableId="1928463028">
    <w:abstractNumId w:val="5"/>
  </w:num>
  <w:num w:numId="8" w16cid:durableId="1564245714">
    <w:abstractNumId w:val="5"/>
  </w:num>
  <w:num w:numId="9" w16cid:durableId="83184664">
    <w:abstractNumId w:val="4"/>
  </w:num>
  <w:num w:numId="10" w16cid:durableId="1268269470">
    <w:abstractNumId w:val="4"/>
  </w:num>
  <w:num w:numId="11" w16cid:durableId="2062440301">
    <w:abstractNumId w:val="8"/>
  </w:num>
  <w:num w:numId="12" w16cid:durableId="1951278979">
    <w:abstractNumId w:val="8"/>
  </w:num>
  <w:num w:numId="13" w16cid:durableId="1442340643">
    <w:abstractNumId w:val="3"/>
  </w:num>
  <w:num w:numId="14" w16cid:durableId="2058432907">
    <w:abstractNumId w:val="3"/>
  </w:num>
  <w:num w:numId="15" w16cid:durableId="117843062">
    <w:abstractNumId w:val="2"/>
  </w:num>
  <w:num w:numId="16" w16cid:durableId="125702093">
    <w:abstractNumId w:val="2"/>
  </w:num>
  <w:num w:numId="17" w16cid:durableId="355929801">
    <w:abstractNumId w:val="1"/>
  </w:num>
  <w:num w:numId="18" w16cid:durableId="238028067">
    <w:abstractNumId w:val="1"/>
  </w:num>
  <w:num w:numId="19" w16cid:durableId="435444432">
    <w:abstractNumId w:val="0"/>
  </w:num>
  <w:num w:numId="20" w16cid:durableId="898399765">
    <w:abstractNumId w:val="0"/>
  </w:num>
  <w:num w:numId="21" w16cid:durableId="916790456">
    <w:abstractNumId w:val="9"/>
  </w:num>
  <w:num w:numId="22" w16cid:durableId="517044289">
    <w:abstractNumId w:val="7"/>
  </w:num>
  <w:num w:numId="23" w16cid:durableId="42757635">
    <w:abstractNumId w:val="6"/>
  </w:num>
  <w:num w:numId="24" w16cid:durableId="742291458">
    <w:abstractNumId w:val="5"/>
  </w:num>
  <w:num w:numId="25" w16cid:durableId="1094014839">
    <w:abstractNumId w:val="4"/>
  </w:num>
  <w:num w:numId="26" w16cid:durableId="1387294281">
    <w:abstractNumId w:val="8"/>
  </w:num>
  <w:num w:numId="27" w16cid:durableId="1259606538">
    <w:abstractNumId w:val="3"/>
  </w:num>
  <w:num w:numId="28" w16cid:durableId="2029791156">
    <w:abstractNumId w:val="2"/>
  </w:num>
  <w:num w:numId="29" w16cid:durableId="1547327058">
    <w:abstractNumId w:val="1"/>
  </w:num>
  <w:num w:numId="30" w16cid:durableId="1114909628">
    <w:abstractNumId w:val="0"/>
  </w:num>
  <w:num w:numId="31" w16cid:durableId="1835955096">
    <w:abstractNumId w:val="9"/>
  </w:num>
  <w:num w:numId="32" w16cid:durableId="73938464">
    <w:abstractNumId w:val="7"/>
  </w:num>
  <w:num w:numId="33" w16cid:durableId="639699459">
    <w:abstractNumId w:val="6"/>
  </w:num>
  <w:num w:numId="34" w16cid:durableId="371267653">
    <w:abstractNumId w:val="5"/>
  </w:num>
  <w:num w:numId="35" w16cid:durableId="750194944">
    <w:abstractNumId w:val="4"/>
  </w:num>
  <w:num w:numId="36" w16cid:durableId="727918899">
    <w:abstractNumId w:val="8"/>
  </w:num>
  <w:num w:numId="37" w16cid:durableId="430442296">
    <w:abstractNumId w:val="3"/>
  </w:num>
  <w:num w:numId="38" w16cid:durableId="831067556">
    <w:abstractNumId w:val="2"/>
  </w:num>
  <w:num w:numId="39" w16cid:durableId="1367827532">
    <w:abstractNumId w:val="1"/>
  </w:num>
  <w:num w:numId="40" w16cid:durableId="887034907">
    <w:abstractNumId w:val="0"/>
  </w:num>
  <w:num w:numId="41" w16cid:durableId="1706976462">
    <w:abstractNumId w:val="10"/>
  </w:num>
  <w:num w:numId="42" w16cid:durableId="2004119159">
    <w:abstractNumId w:val="10"/>
  </w:num>
  <w:num w:numId="43" w16cid:durableId="1804929431">
    <w:abstractNumId w:val="10"/>
  </w:num>
  <w:num w:numId="44" w16cid:durableId="1934314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HU"/>
    <w:docVar w:name="dvnumam" w:val="25"/>
    <w:docVar w:name="dvpe" w:val="773.087"/>
    <w:docVar w:name="dvrapporteur" w:val="Előadók: "/>
    <w:docVar w:name="dvtitre" w:val="Az Európai Parlament 2025.  ...-i jogalkotási állásfoglalása az (EU) 2015/1017, az (EU) 2021/523, az (EU) 2021/695 és az (EU) 2021/1153 rendeletnek az (EU) 2021/523 rendelet szerinti uniós garancia hatékonyságának növelése és a jelentéstételi követelmények egyszerűsítése tekintetében történő módosításáról szóló európai parlamenti és tanácsi rendeletre irányuló javaslatról(COM(2025)0084 – C10-0036/2025 – 2025/0040(COD))"/>
  </w:docVars>
  <w:rsids>
    <w:rsidRoot w:val="004949BC"/>
    <w:rsid w:val="00002272"/>
    <w:rsid w:val="00064002"/>
    <w:rsid w:val="000650B1"/>
    <w:rsid w:val="000677B9"/>
    <w:rsid w:val="000831BA"/>
    <w:rsid w:val="000A42CC"/>
    <w:rsid w:val="000E7DD9"/>
    <w:rsid w:val="0010095E"/>
    <w:rsid w:val="00117873"/>
    <w:rsid w:val="00125B37"/>
    <w:rsid w:val="00187494"/>
    <w:rsid w:val="001F32AE"/>
    <w:rsid w:val="00260017"/>
    <w:rsid w:val="00274022"/>
    <w:rsid w:val="002767FF"/>
    <w:rsid w:val="00277C12"/>
    <w:rsid w:val="002B18FE"/>
    <w:rsid w:val="002B5493"/>
    <w:rsid w:val="00343214"/>
    <w:rsid w:val="00361C00"/>
    <w:rsid w:val="00395FA1"/>
    <w:rsid w:val="003E15D4"/>
    <w:rsid w:val="003F7D39"/>
    <w:rsid w:val="00411CCE"/>
    <w:rsid w:val="00413962"/>
    <w:rsid w:val="0041666E"/>
    <w:rsid w:val="00421060"/>
    <w:rsid w:val="00471C19"/>
    <w:rsid w:val="004867E3"/>
    <w:rsid w:val="004949BC"/>
    <w:rsid w:val="00494A28"/>
    <w:rsid w:val="004C0004"/>
    <w:rsid w:val="004C5D52"/>
    <w:rsid w:val="0050519A"/>
    <w:rsid w:val="005072A1"/>
    <w:rsid w:val="00514517"/>
    <w:rsid w:val="00545827"/>
    <w:rsid w:val="00560270"/>
    <w:rsid w:val="005778E5"/>
    <w:rsid w:val="0058514F"/>
    <w:rsid w:val="005C2568"/>
    <w:rsid w:val="005F1B17"/>
    <w:rsid w:val="006037C0"/>
    <w:rsid w:val="006631B6"/>
    <w:rsid w:val="00680577"/>
    <w:rsid w:val="006F74FA"/>
    <w:rsid w:val="0073171E"/>
    <w:rsid w:val="00731ADD"/>
    <w:rsid w:val="00734777"/>
    <w:rsid w:val="00735B06"/>
    <w:rsid w:val="00747932"/>
    <w:rsid w:val="00751A4A"/>
    <w:rsid w:val="00756632"/>
    <w:rsid w:val="00762C74"/>
    <w:rsid w:val="00786EC0"/>
    <w:rsid w:val="007D1690"/>
    <w:rsid w:val="007E22AD"/>
    <w:rsid w:val="00817416"/>
    <w:rsid w:val="00822086"/>
    <w:rsid w:val="00842779"/>
    <w:rsid w:val="00865F67"/>
    <w:rsid w:val="00881A7B"/>
    <w:rsid w:val="008840E5"/>
    <w:rsid w:val="00887B3E"/>
    <w:rsid w:val="008A7D61"/>
    <w:rsid w:val="008C2AC6"/>
    <w:rsid w:val="008E6FCD"/>
    <w:rsid w:val="00930C23"/>
    <w:rsid w:val="0093193B"/>
    <w:rsid w:val="009509D8"/>
    <w:rsid w:val="00950B64"/>
    <w:rsid w:val="00981893"/>
    <w:rsid w:val="009D32FA"/>
    <w:rsid w:val="009E1C49"/>
    <w:rsid w:val="00A1687D"/>
    <w:rsid w:val="00A43E52"/>
    <w:rsid w:val="00A43FB0"/>
    <w:rsid w:val="00A4678D"/>
    <w:rsid w:val="00A60F57"/>
    <w:rsid w:val="00A778C7"/>
    <w:rsid w:val="00AB441E"/>
    <w:rsid w:val="00AB6293"/>
    <w:rsid w:val="00AE0928"/>
    <w:rsid w:val="00AF3B82"/>
    <w:rsid w:val="00B12E95"/>
    <w:rsid w:val="00B22876"/>
    <w:rsid w:val="00B558F0"/>
    <w:rsid w:val="00B632E0"/>
    <w:rsid w:val="00BB5046"/>
    <w:rsid w:val="00BD48FE"/>
    <w:rsid w:val="00BD7BD8"/>
    <w:rsid w:val="00BE6ADC"/>
    <w:rsid w:val="00C05BFE"/>
    <w:rsid w:val="00C23CD4"/>
    <w:rsid w:val="00C61C0C"/>
    <w:rsid w:val="00C93763"/>
    <w:rsid w:val="00C941CB"/>
    <w:rsid w:val="00CC2357"/>
    <w:rsid w:val="00CF071A"/>
    <w:rsid w:val="00D058B8"/>
    <w:rsid w:val="00D56C11"/>
    <w:rsid w:val="00D765EE"/>
    <w:rsid w:val="00D834A0"/>
    <w:rsid w:val="00D872DF"/>
    <w:rsid w:val="00D91E21"/>
    <w:rsid w:val="00DA1E29"/>
    <w:rsid w:val="00DA7FCD"/>
    <w:rsid w:val="00DC2234"/>
    <w:rsid w:val="00E365E1"/>
    <w:rsid w:val="00E820A4"/>
    <w:rsid w:val="00E83A4E"/>
    <w:rsid w:val="00EB006A"/>
    <w:rsid w:val="00EB4772"/>
    <w:rsid w:val="00ED169E"/>
    <w:rsid w:val="00ED4235"/>
    <w:rsid w:val="00F04346"/>
    <w:rsid w:val="00F075DC"/>
    <w:rsid w:val="00F149E9"/>
    <w:rsid w:val="00F5027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76433"/>
  <w15:chartTrackingRefBased/>
  <w15:docId w15:val="{87574C27-5598-4C1A-8CC5-806956C6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35B0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35B06"/>
    <w:pPr>
      <w:spacing w:before="480" w:after="240"/>
    </w:pPr>
  </w:style>
  <w:style w:type="paragraph" w:customStyle="1" w:styleId="PageHeading">
    <w:name w:val="PageHeading"/>
    <w:basedOn w:val="Normal"/>
    <w:rsid w:val="00735B0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35B06"/>
    <w:rPr>
      <w:b/>
    </w:rPr>
  </w:style>
  <w:style w:type="paragraph" w:customStyle="1" w:styleId="NormalHanging12a">
    <w:name w:val="NormalHanging12a"/>
    <w:basedOn w:val="Normal"/>
    <w:rsid w:val="00735B0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35B06"/>
    <w:pPr>
      <w:spacing w:after="240"/>
      <w:jc w:val="center"/>
    </w:pPr>
  </w:style>
  <w:style w:type="paragraph" w:styleId="Header">
    <w:name w:val="header"/>
    <w:basedOn w:val="Normal"/>
    <w:link w:val="HeaderChar"/>
    <w:rsid w:val="00735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35B06"/>
    <w:rPr>
      <w:sz w:val="24"/>
      <w:lang w:val="hu-HU"/>
    </w:rPr>
  </w:style>
  <w:style w:type="paragraph" w:customStyle="1" w:styleId="AmNumberTabs">
    <w:name w:val="AmNumberTabs"/>
    <w:basedOn w:val="Normal"/>
    <w:rsid w:val="00735B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35B06"/>
    <w:pPr>
      <w:spacing w:before="720" w:after="240"/>
      <w:jc w:val="center"/>
    </w:pPr>
  </w:style>
  <w:style w:type="paragraph" w:customStyle="1" w:styleId="EPFooter">
    <w:name w:val="EPFooter"/>
    <w:basedOn w:val="Normal"/>
    <w:rsid w:val="00735B0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735B06"/>
    <w:pPr>
      <w:spacing w:after="480"/>
    </w:pPr>
  </w:style>
  <w:style w:type="paragraph" w:customStyle="1" w:styleId="NormalBoldCenter">
    <w:name w:val="NormalBoldCenter"/>
    <w:basedOn w:val="Normal"/>
    <w:rsid w:val="00735B06"/>
    <w:pPr>
      <w:jc w:val="center"/>
    </w:pPr>
    <w:rPr>
      <w:b/>
    </w:rPr>
  </w:style>
  <w:style w:type="paragraph" w:customStyle="1" w:styleId="Footprint12b">
    <w:name w:val="Footprint12b"/>
    <w:basedOn w:val="Normal"/>
    <w:rsid w:val="00735B0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35B06"/>
    <w:rPr>
      <w:szCs w:val="24"/>
    </w:rPr>
  </w:style>
  <w:style w:type="character" w:styleId="Hyperlink">
    <w:name w:val="Hyperlink"/>
    <w:basedOn w:val="DefaultParagraphFont"/>
    <w:rsid w:val="00735B06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735B06"/>
    <w:pPr>
      <w:spacing w:after="240"/>
    </w:pPr>
  </w:style>
  <w:style w:type="character" w:customStyle="1" w:styleId="NormalBoldChar">
    <w:name w:val="NormalBold Char"/>
    <w:basedOn w:val="DefaultParagraphFont"/>
    <w:link w:val="NormalBold"/>
    <w:rsid w:val="00735B06"/>
    <w:rPr>
      <w:b/>
      <w:sz w:val="24"/>
      <w:lang w:val="hu-HU"/>
    </w:rPr>
  </w:style>
  <w:style w:type="paragraph" w:styleId="Revision">
    <w:name w:val="Revision"/>
    <w:hidden/>
    <w:uiPriority w:val="99"/>
    <w:semiHidden/>
    <w:rsid w:val="00C93763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8A7D61"/>
    <w:rPr>
      <w:color w:val="605E5C"/>
      <w:shd w:val="clear" w:color="auto" w:fill="E1DFDD"/>
    </w:rPr>
  </w:style>
  <w:style w:type="paragraph" w:customStyle="1" w:styleId="Normal12">
    <w:name w:val="Normal12"/>
    <w:basedOn w:val="Normal"/>
    <w:rsid w:val="00277C12"/>
    <w:pPr>
      <w:spacing w:after="240"/>
    </w:pPr>
    <w:rPr>
      <w:snapToGrid w:val="0"/>
      <w:lang w:val="en-GB"/>
    </w:rPr>
  </w:style>
  <w:style w:type="paragraph" w:customStyle="1" w:styleId="FootnoteTextForceStyle">
    <w:name w:val="Footnote Text ForceStyle"/>
    <w:rsid w:val="00274022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customStyle="1" w:styleId="Hyperlink1">
    <w:name w:val="Hyperlink1"/>
    <w:basedOn w:val="DefaultParagraphFont"/>
    <w:uiPriority w:val="99"/>
    <w:rsid w:val="00274022"/>
    <w:rPr>
      <w:color w:val="0000FF"/>
      <w:u w:val="single"/>
    </w:rPr>
  </w:style>
  <w:style w:type="character" w:styleId="CommentReference">
    <w:name w:val="annotation reference"/>
    <w:basedOn w:val="DefaultParagraphFont"/>
    <w:rsid w:val="00F502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0271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50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2026-01-28T10:06:00Z</dcterms:created>
  <dcterms:modified xsi:type="dcterms:W3CDTF">2026-01-28T10:06:00Z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