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19D9" w14:paraId="594C77C6" w14:textId="77777777" w:rsidTr="0010095E">
        <w:trPr>
          <w:trHeight w:hRule="exact" w:val="1418"/>
        </w:trPr>
        <w:tc>
          <w:tcPr>
            <w:tcW w:w="6804" w:type="dxa"/>
            <w:shd w:val="clear" w:color="auto" w:fill="auto"/>
            <w:vAlign w:val="center"/>
          </w:tcPr>
          <w:p w14:paraId="4492868B" w14:textId="77777777" w:rsidR="00751A4A" w:rsidRPr="005119D9" w:rsidRDefault="00473DE5" w:rsidP="0010095E">
            <w:pPr>
              <w:pStyle w:val="EPName"/>
            </w:pPr>
            <w:r w:rsidRPr="005119D9">
              <w:t>Eiropas Parlaments</w:t>
            </w:r>
          </w:p>
          <w:p w14:paraId="44405E22" w14:textId="77777777" w:rsidR="00751A4A" w:rsidRPr="005119D9" w:rsidRDefault="005F1B17" w:rsidP="005F1B17">
            <w:pPr>
              <w:pStyle w:val="EPTerm"/>
              <w:rPr>
                <w:rStyle w:val="HideTWBExt"/>
                <w:noProof w:val="0"/>
                <w:vanish w:val="0"/>
                <w:color w:val="auto"/>
              </w:rPr>
            </w:pPr>
            <w:r w:rsidRPr="005119D9">
              <w:t>2024</w:t>
            </w:r>
            <w:r w:rsidR="00817416" w:rsidRPr="005119D9">
              <w:t>-202</w:t>
            </w:r>
            <w:r w:rsidRPr="005119D9">
              <w:t>9</w:t>
            </w:r>
          </w:p>
        </w:tc>
        <w:tc>
          <w:tcPr>
            <w:tcW w:w="2268" w:type="dxa"/>
            <w:shd w:val="clear" w:color="auto" w:fill="auto"/>
          </w:tcPr>
          <w:p w14:paraId="74681DCF" w14:textId="77777777" w:rsidR="00751A4A" w:rsidRPr="005119D9" w:rsidRDefault="00187494" w:rsidP="0010095E">
            <w:pPr>
              <w:pStyle w:val="EPLogo"/>
            </w:pPr>
            <w:r w:rsidRPr="005119D9">
              <w:rPr>
                <w:noProof/>
                <w:lang w:eastAsia="ja-JP"/>
              </w:rPr>
              <w:drawing>
                <wp:inline distT="0" distB="0" distL="0" distR="0" wp14:anchorId="7F9010A6" wp14:editId="54DBA6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9BBE38" w14:textId="77777777" w:rsidR="00D058B8" w:rsidRPr="005119D9" w:rsidRDefault="00D058B8" w:rsidP="004C5D52">
      <w:pPr>
        <w:pStyle w:val="LineTop"/>
      </w:pPr>
    </w:p>
    <w:p w14:paraId="22DD5BA3" w14:textId="77777777" w:rsidR="00680577" w:rsidRPr="005119D9" w:rsidRDefault="00473DE5" w:rsidP="00680577">
      <w:pPr>
        <w:pStyle w:val="EPBodyTA1"/>
      </w:pPr>
      <w:r w:rsidRPr="005119D9">
        <w:t>PIEŅEMTIE TEKSTI</w:t>
      </w:r>
    </w:p>
    <w:p w14:paraId="21114845" w14:textId="77777777" w:rsidR="00D058B8" w:rsidRPr="005119D9" w:rsidRDefault="00D058B8" w:rsidP="00D058B8">
      <w:pPr>
        <w:pStyle w:val="LineBottom"/>
      </w:pPr>
    </w:p>
    <w:p w14:paraId="2F0E408E" w14:textId="3E129E80" w:rsidR="00473DE5" w:rsidRPr="005119D9" w:rsidRDefault="00473DE5" w:rsidP="00473DE5">
      <w:pPr>
        <w:pStyle w:val="ATHeading1"/>
      </w:pPr>
      <w:bookmarkStart w:id="0" w:name="TANumber"/>
      <w:r w:rsidRPr="005119D9">
        <w:t>P10_TA(2025)0</w:t>
      </w:r>
      <w:bookmarkEnd w:id="0"/>
      <w:r w:rsidR="005119D9" w:rsidRPr="005119D9">
        <w:t>296</w:t>
      </w:r>
    </w:p>
    <w:p w14:paraId="50CF57FC" w14:textId="77777777" w:rsidR="00473DE5" w:rsidRPr="005119D9" w:rsidRDefault="00473DE5" w:rsidP="00473DE5">
      <w:pPr>
        <w:pStyle w:val="ATHeading2"/>
      </w:pPr>
      <w:bookmarkStart w:id="1" w:name="title"/>
      <w:proofErr w:type="spellStart"/>
      <w:r w:rsidRPr="005119D9">
        <w:rPr>
          <w:i/>
          <w:iCs/>
        </w:rPr>
        <w:t>InvestEU</w:t>
      </w:r>
      <w:proofErr w:type="spellEnd"/>
      <w:r w:rsidRPr="005119D9">
        <w:t xml:space="preserve"> regulā paredzētās ES garantijas efektivitātes palielināšana un ziņošanas prasību vienkāršošana</w:t>
      </w:r>
      <w:bookmarkEnd w:id="1"/>
    </w:p>
    <w:p w14:paraId="3D6F3491" w14:textId="77777777" w:rsidR="00473DE5" w:rsidRPr="005119D9" w:rsidRDefault="00473DE5" w:rsidP="00473DE5">
      <w:pPr>
        <w:rPr>
          <w:i/>
          <w:vanish/>
        </w:rPr>
      </w:pPr>
      <w:r w:rsidRPr="005119D9">
        <w:rPr>
          <w:i/>
        </w:rPr>
        <w:fldChar w:fldCharType="begin"/>
      </w:r>
      <w:r w:rsidRPr="005119D9">
        <w:rPr>
          <w:i/>
        </w:rPr>
        <w:instrText xml:space="preserve"> TC"(</w:instrText>
      </w:r>
      <w:bookmarkStart w:id="2" w:name="DocNumber"/>
      <w:r w:rsidRPr="005119D9">
        <w:rPr>
          <w:i/>
        </w:rPr>
        <w:instrText>A10-0117/2025</w:instrText>
      </w:r>
      <w:bookmarkEnd w:id="2"/>
      <w:r w:rsidRPr="005119D9">
        <w:rPr>
          <w:i/>
        </w:rPr>
        <w:instrText xml:space="preserve"> - Referentes: Aura Salla, Irene Tinagli)"\l3 \n&gt; \* MERGEFORMAT </w:instrText>
      </w:r>
      <w:r w:rsidRPr="005119D9">
        <w:rPr>
          <w:i/>
        </w:rPr>
        <w:fldChar w:fldCharType="end"/>
      </w:r>
    </w:p>
    <w:p w14:paraId="6E40663B" w14:textId="77777777" w:rsidR="00473DE5" w:rsidRPr="005119D9" w:rsidRDefault="00473DE5" w:rsidP="00473DE5">
      <w:pPr>
        <w:rPr>
          <w:vanish/>
        </w:rPr>
      </w:pPr>
      <w:bookmarkStart w:id="3" w:name="Commission"/>
      <w:r w:rsidRPr="005119D9">
        <w:rPr>
          <w:vanish/>
        </w:rPr>
        <w:t>Budžeta komiteja un Ekonomikas un monetārā komiteja</w:t>
      </w:r>
      <w:bookmarkEnd w:id="3"/>
    </w:p>
    <w:p w14:paraId="379ED12E" w14:textId="77777777" w:rsidR="00473DE5" w:rsidRPr="005119D9" w:rsidRDefault="00473DE5" w:rsidP="00473DE5">
      <w:pPr>
        <w:rPr>
          <w:vanish/>
        </w:rPr>
      </w:pPr>
      <w:bookmarkStart w:id="4" w:name="PE"/>
      <w:r w:rsidRPr="005119D9">
        <w:rPr>
          <w:vanish/>
        </w:rPr>
        <w:t>PE773.087</w:t>
      </w:r>
      <w:bookmarkEnd w:id="4"/>
    </w:p>
    <w:p w14:paraId="7E0B46BF" w14:textId="76816122" w:rsidR="00CD7AC5" w:rsidRPr="005119D9" w:rsidRDefault="00473DE5" w:rsidP="00172FB2">
      <w:pPr>
        <w:pStyle w:val="ATHeading3"/>
      </w:pPr>
      <w:bookmarkStart w:id="5" w:name="Sujet"/>
      <w:r w:rsidRPr="005119D9">
        <w:t xml:space="preserve">Eiropas Parlamenta 2025. gada </w:t>
      </w:r>
      <w:r w:rsidR="001B5B8A" w:rsidRPr="005119D9">
        <w:t>26</w:t>
      </w:r>
      <w:r w:rsidRPr="005119D9">
        <w:t xml:space="preserve">. </w:t>
      </w:r>
      <w:r w:rsidR="00172FB2" w:rsidRPr="005119D9">
        <w:t>novembra</w:t>
      </w:r>
      <w:r w:rsidRPr="005119D9">
        <w:t xml:space="preserve"> normatīvā rezolūcija par priekšlikumu Eiropas Parlamenta un Padomes regulai, </w:t>
      </w:r>
      <w:bookmarkEnd w:id="5"/>
      <w:r w:rsidR="001710A2" w:rsidRPr="00DD4D01">
        <w:rPr>
          <w:noProof/>
        </w:rPr>
        <w:t>ar ko groza Regulas (ES) 2015/1017, (ES) 2021/523, (ES) 2021/695 un (ES) 2021/1153 attiecībā uz Regulā (ES) 2021/523 paredzētās ES garantijas efektivitātes palielināšanu un ziņošanas prasību vienkāršošanu</w:t>
      </w:r>
      <w:r w:rsidRPr="005119D9">
        <w:t xml:space="preserve"> </w:t>
      </w:r>
      <w:bookmarkStart w:id="6" w:name="References"/>
      <w:r w:rsidRPr="005119D9">
        <w:t>(COM(2025)0084 – C10-0036/2025 – 2025/0040(COD))</w:t>
      </w:r>
      <w:bookmarkStart w:id="7" w:name="TextBodyBegin"/>
      <w:bookmarkEnd w:id="6"/>
      <w:bookmarkEnd w:id="7"/>
    </w:p>
    <w:p w14:paraId="11A6154F" w14:textId="77777777" w:rsidR="00CD7AC5" w:rsidRPr="005119D9" w:rsidRDefault="00CD7AC5" w:rsidP="00CD7AC5">
      <w:pPr>
        <w:pStyle w:val="NormalBold"/>
      </w:pPr>
      <w:r w:rsidRPr="005119D9">
        <w:t>(Parastā likumdošanas procedūra: pirmais lasījums)</w:t>
      </w:r>
    </w:p>
    <w:p w14:paraId="2B8C3E5C" w14:textId="77777777" w:rsidR="00CD7AC5" w:rsidRPr="005119D9" w:rsidRDefault="00CD7AC5" w:rsidP="00CD7AC5">
      <w:pPr>
        <w:pStyle w:val="EPComma"/>
      </w:pPr>
      <w:r w:rsidRPr="005119D9">
        <w:rPr>
          <w:i/>
        </w:rPr>
        <w:t>Eiropas Parlaments</w:t>
      </w:r>
      <w:r w:rsidRPr="005119D9">
        <w:t>,</w:t>
      </w:r>
    </w:p>
    <w:p w14:paraId="3E410DEA" w14:textId="77777777" w:rsidR="00CD7AC5" w:rsidRPr="005119D9" w:rsidRDefault="00CD7AC5" w:rsidP="00CD7AC5">
      <w:pPr>
        <w:pStyle w:val="NormalHanging12a"/>
      </w:pPr>
      <w:r w:rsidRPr="005119D9">
        <w:t>–</w:t>
      </w:r>
      <w:r w:rsidRPr="005119D9">
        <w:tab/>
        <w:t>ņemot vērā Komisijas priekšlikumu Eiropas Parlamentam un Padomei (COM(2025)0084),</w:t>
      </w:r>
    </w:p>
    <w:p w14:paraId="60BF9037" w14:textId="2E7C3A92" w:rsidR="00CD7AC5" w:rsidRPr="005119D9" w:rsidRDefault="00CD7AC5" w:rsidP="00CD7AC5">
      <w:pPr>
        <w:pStyle w:val="NormalHanging12a"/>
      </w:pPr>
      <w:r w:rsidRPr="005119D9">
        <w:t>–</w:t>
      </w:r>
      <w:r w:rsidRPr="005119D9">
        <w:tab/>
        <w:t xml:space="preserve">ņemot vērā Līguma par Eiropas Savienības darbību 294. panta 2. punktu, 172. un 173. pantu, 175. panta trešo daļu, 182. panta 1. punktu, </w:t>
      </w:r>
      <w:r w:rsidR="001B5B8A" w:rsidRPr="005119D9">
        <w:t>1</w:t>
      </w:r>
      <w:r w:rsidR="00335CD5" w:rsidRPr="005119D9">
        <w:t>8</w:t>
      </w:r>
      <w:r w:rsidR="001B5B8A" w:rsidRPr="005119D9">
        <w:t xml:space="preserve">3. pantu, </w:t>
      </w:r>
      <w:r w:rsidRPr="005119D9">
        <w:t>188. panta otro daļu un 194. pantu, saskaņā ar kuriem Komisija ir iesniegusi priekšlikumu Parlamentam (C10</w:t>
      </w:r>
      <w:r w:rsidRPr="005119D9">
        <w:noBreakHyphen/>
        <w:t>0036/2025),</w:t>
      </w:r>
    </w:p>
    <w:p w14:paraId="300C6F63" w14:textId="77777777" w:rsidR="00CD7AC5" w:rsidRPr="005119D9" w:rsidRDefault="00CD7AC5" w:rsidP="00CD7AC5">
      <w:pPr>
        <w:pStyle w:val="NormalHanging12a"/>
      </w:pPr>
      <w:r w:rsidRPr="005119D9">
        <w:t>–</w:t>
      </w:r>
      <w:r w:rsidRPr="005119D9">
        <w:tab/>
        <w:t>ņemot vērā Līguma par Eiropas Savienības darbību 294. panta 3. punktu,</w:t>
      </w:r>
    </w:p>
    <w:p w14:paraId="681A07E6" w14:textId="77777777" w:rsidR="00CD7AC5" w:rsidRPr="005119D9" w:rsidRDefault="00CD7AC5" w:rsidP="00CD7AC5">
      <w:pPr>
        <w:pStyle w:val="NormalHanging12a"/>
      </w:pPr>
      <w:r w:rsidRPr="005119D9">
        <w:t>–</w:t>
      </w:r>
      <w:r w:rsidRPr="005119D9">
        <w:tab/>
        <w:t>ņemot vērā Eiropas Ekonomikas un sociālo lietu komitejas 2025. gada 29. aprīļa atzinumu</w:t>
      </w:r>
      <w:r w:rsidRPr="005119D9">
        <w:rPr>
          <w:rStyle w:val="FootnoteReference"/>
        </w:rPr>
        <w:footnoteReference w:id="1"/>
      </w:r>
      <w:r w:rsidRPr="005119D9">
        <w:t>,</w:t>
      </w:r>
    </w:p>
    <w:p w14:paraId="49ADE1B7" w14:textId="77777777" w:rsidR="00CD7AC5" w:rsidRPr="005119D9" w:rsidRDefault="00CD7AC5" w:rsidP="00CD7AC5">
      <w:pPr>
        <w:pStyle w:val="NormalHanging12a"/>
      </w:pPr>
      <w:r w:rsidRPr="005119D9">
        <w:t>–</w:t>
      </w:r>
      <w:r w:rsidRPr="005119D9">
        <w:tab/>
        <w:t>pēc apspriešanās ar Reģionu komiteju,</w:t>
      </w:r>
    </w:p>
    <w:p w14:paraId="55288342" w14:textId="77777777" w:rsidR="001B5B8A" w:rsidRPr="005119D9" w:rsidRDefault="001B5B8A" w:rsidP="001B5B8A">
      <w:pPr>
        <w:spacing w:after="240"/>
        <w:ind w:left="567" w:hanging="567"/>
      </w:pPr>
      <w:r w:rsidRPr="005119D9">
        <w:t>–</w:t>
      </w:r>
      <w:r w:rsidRPr="005119D9">
        <w:tab/>
        <w:t>ņemot vērā provizorisko vienošanos, ko atbildīgā komiteja apstiprināja saskaņā ar Reglamenta 75. panta 4. punktu, un Padomes pārstāvja 2025. gada 8. oktobra vēstulē pausto apņemšanos apstiprināt Parlamenta nostāju saskaņā ar Līguma par Eiropas Savienības darbību 294. panta 4. punktu,</w:t>
      </w:r>
    </w:p>
    <w:p w14:paraId="2EB8F72F" w14:textId="77777777" w:rsidR="00CD7AC5" w:rsidRPr="005119D9" w:rsidRDefault="00CD7AC5" w:rsidP="00CD7AC5">
      <w:pPr>
        <w:pStyle w:val="NormalHanging12a"/>
      </w:pPr>
      <w:r w:rsidRPr="005119D9">
        <w:t>–</w:t>
      </w:r>
      <w:r w:rsidRPr="005119D9">
        <w:tab/>
        <w:t>ņemot vērā Reglamenta 60. pantu,</w:t>
      </w:r>
    </w:p>
    <w:p w14:paraId="08EF876A" w14:textId="77777777" w:rsidR="00CD7AC5" w:rsidRPr="005119D9" w:rsidRDefault="00CD7AC5" w:rsidP="00CD7AC5">
      <w:pPr>
        <w:pStyle w:val="NormalHanging12a"/>
      </w:pPr>
      <w:r w:rsidRPr="005119D9">
        <w:t>–</w:t>
      </w:r>
      <w:r w:rsidRPr="005119D9">
        <w:tab/>
        <w:t xml:space="preserve">ņemot vērā Budžeta komitejas un Ekonomikas un monetārās komitejas kopīgās </w:t>
      </w:r>
      <w:r w:rsidRPr="005119D9">
        <w:lastRenderedPageBreak/>
        <w:t>apspriedes saskaņā ar Reglamenta 59. pantu,</w:t>
      </w:r>
    </w:p>
    <w:p w14:paraId="682AAFF8" w14:textId="77777777" w:rsidR="00CD7AC5" w:rsidRPr="005119D9" w:rsidRDefault="00CD7AC5" w:rsidP="00CD7AC5">
      <w:pPr>
        <w:pStyle w:val="NormalHanging12a"/>
      </w:pPr>
      <w:r w:rsidRPr="005119D9">
        <w:t>–</w:t>
      </w:r>
      <w:r w:rsidRPr="005119D9">
        <w:tab/>
        <w:t>ņemot vērā Rūpniecības, pētniecības un enerģētikas komitejas un Transporta un tūrisma komitejas atzinumus,</w:t>
      </w:r>
    </w:p>
    <w:p w14:paraId="48AD9B5A" w14:textId="77777777" w:rsidR="00CD7AC5" w:rsidRPr="005119D9" w:rsidRDefault="00CD7AC5" w:rsidP="00CD7AC5">
      <w:pPr>
        <w:pStyle w:val="NormalHanging12a"/>
      </w:pPr>
      <w:r w:rsidRPr="005119D9">
        <w:t>–</w:t>
      </w:r>
      <w:r w:rsidRPr="005119D9">
        <w:tab/>
        <w:t>ņemot vērā Budžeta komitejas un Ekonomikas un monetārās komitejas ziņojumu (A10-0117/2025),</w:t>
      </w:r>
    </w:p>
    <w:p w14:paraId="472DB8DE" w14:textId="77777777" w:rsidR="00CD7AC5" w:rsidRPr="005119D9" w:rsidRDefault="00CD7AC5" w:rsidP="00CD7AC5">
      <w:pPr>
        <w:pStyle w:val="NormalHanging12a"/>
      </w:pPr>
      <w:r w:rsidRPr="005119D9">
        <w:t>1.</w:t>
      </w:r>
      <w:r w:rsidRPr="005119D9">
        <w:tab/>
        <w:t>pieņem pirmajā lasījumā turpmāk izklāstīto nostāju;</w:t>
      </w:r>
    </w:p>
    <w:p w14:paraId="4019E913" w14:textId="77777777" w:rsidR="00CD7AC5" w:rsidRPr="005119D9" w:rsidRDefault="00CD7AC5" w:rsidP="00CD7AC5">
      <w:pPr>
        <w:pStyle w:val="NormalHanging12a"/>
      </w:pPr>
      <w:r w:rsidRPr="005119D9">
        <w:t>2.</w:t>
      </w:r>
      <w:r w:rsidRPr="005119D9">
        <w:tab/>
        <w:t>prasa Komisijai priekšlikumu Parlamentam iesniegt vēlreiz, ja tā savu priekšlikumu aizstāj, būtiski groza vai ir paredzējusi to būtiski grozīt;</w:t>
      </w:r>
    </w:p>
    <w:p w14:paraId="3D0F623B" w14:textId="77777777" w:rsidR="00CD7AC5" w:rsidRPr="005119D9" w:rsidRDefault="00CD7AC5" w:rsidP="00CD7AC5">
      <w:pPr>
        <w:pStyle w:val="NormalHanging12a"/>
      </w:pPr>
      <w:r w:rsidRPr="005119D9">
        <w:t>3.</w:t>
      </w:r>
      <w:r w:rsidRPr="005119D9">
        <w:tab/>
        <w:t>uzdod priekšsēdētājai Parlamenta nostāju nosūtīt Padomei un Komisijai, kā arī dalībvalstu parlamentiem.</w:t>
      </w:r>
    </w:p>
    <w:p w14:paraId="1CF8AC76" w14:textId="77777777" w:rsidR="001B5B8A" w:rsidRPr="005119D9" w:rsidRDefault="001B5B8A" w:rsidP="00CD7AC5">
      <w:pPr>
        <w:sectPr w:rsidR="001B5B8A" w:rsidRPr="005119D9" w:rsidSect="00E266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5427BA" w14:textId="2229FAFE" w:rsidR="001B5B8A" w:rsidRPr="005119D9" w:rsidRDefault="001B5B8A" w:rsidP="001B5B8A">
      <w:pPr>
        <w:pStyle w:val="Normal12Hanging"/>
        <w:tabs>
          <w:tab w:val="left" w:pos="357"/>
        </w:tabs>
        <w:rPr>
          <w:b/>
        </w:rPr>
      </w:pPr>
      <w:r w:rsidRPr="005119D9">
        <w:rPr>
          <w:b/>
        </w:rPr>
        <w:lastRenderedPageBreak/>
        <w:t>P10_TC1-COD(2025)0</w:t>
      </w:r>
      <w:r w:rsidR="00335CD5" w:rsidRPr="005119D9">
        <w:rPr>
          <w:b/>
        </w:rPr>
        <w:t>040</w:t>
      </w:r>
    </w:p>
    <w:p w14:paraId="2B647CD6" w14:textId="0F85CF14" w:rsidR="00335CD5" w:rsidRPr="005119D9" w:rsidRDefault="001B5B8A" w:rsidP="00F516E6">
      <w:pPr>
        <w:rPr>
          <w:b/>
          <w:szCs w:val="24"/>
          <w:lang w:eastAsia="en-US"/>
        </w:rPr>
      </w:pPr>
      <w:r w:rsidRPr="005119D9">
        <w:rPr>
          <w:b/>
        </w:rPr>
        <w:t>Eiropas Parlamenta nostāja, pieņemta pirmajā lasījumā 2025. gada 2</w:t>
      </w:r>
      <w:r w:rsidR="00335CD5" w:rsidRPr="005119D9">
        <w:rPr>
          <w:b/>
        </w:rPr>
        <w:t>6</w:t>
      </w:r>
      <w:r w:rsidRPr="005119D9">
        <w:rPr>
          <w:b/>
        </w:rPr>
        <w:t xml:space="preserve">. novembrī, lai pieņemtu Eiropas Parlamenta un Padomes Regulu (ES) 2025/..., </w:t>
      </w:r>
      <w:r w:rsidR="001710A2" w:rsidRPr="001710A2">
        <w:rPr>
          <w:b/>
          <w:bCs/>
          <w:szCs w:val="24"/>
          <w:lang w:eastAsia="en-US"/>
        </w:rPr>
        <w:t>ar ko groza Regulas (ES) 2015/1017, (ES) 2021/523, (ES) 2021/695 un (ES) 2021/1153 attiecībā uz Regulā (ES) 2021/523 paredzētās ES garantijas efektivitātes palielināšanu un ziņošanas prasību vienkāršošanu</w:t>
      </w:r>
    </w:p>
    <w:p w14:paraId="51D50646" w14:textId="77777777" w:rsidR="00335CD5" w:rsidRDefault="00335CD5" w:rsidP="001B5B8A">
      <w:pPr>
        <w:rPr>
          <w:szCs w:val="24"/>
          <w:lang w:eastAsia="en-US"/>
        </w:rPr>
      </w:pPr>
    </w:p>
    <w:p w14:paraId="685F869C" w14:textId="493D7ECA" w:rsidR="001710A2" w:rsidRPr="001710A2" w:rsidRDefault="001710A2" w:rsidP="001B5B8A">
      <w:pPr>
        <w:rPr>
          <w:i/>
        </w:rPr>
      </w:pPr>
      <w:r w:rsidRPr="003E6639">
        <w:rPr>
          <w:i/>
        </w:rPr>
        <w:t xml:space="preserve">(Tā kā starp Parlamentu un Padomi tika panākta vienošanās, Parlamenta nostāja atbilst galīgajam tiesību aktam Regulai </w:t>
      </w:r>
      <w:r w:rsidRPr="001710A2">
        <w:rPr>
          <w:i/>
        </w:rPr>
        <w:t>(ES) 2025/</w:t>
      </w:r>
      <w:r w:rsidRPr="001710A2">
        <w:rPr>
          <w:i/>
        </w:rPr>
        <w:t>2005</w:t>
      </w:r>
      <w:r w:rsidRPr="001710A2">
        <w:rPr>
          <w:i/>
        </w:rPr>
        <w:t>.)</w:t>
      </w:r>
    </w:p>
    <w:sectPr w:rsidR="001710A2" w:rsidRPr="001710A2" w:rsidSect="00E266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296E7" w14:textId="77777777" w:rsidR="00473DE5" w:rsidRPr="00E26618" w:rsidRDefault="00473DE5">
      <w:r w:rsidRPr="00E26618">
        <w:separator/>
      </w:r>
    </w:p>
  </w:endnote>
  <w:endnote w:type="continuationSeparator" w:id="0">
    <w:p w14:paraId="01EA6E01" w14:textId="77777777" w:rsidR="00473DE5" w:rsidRPr="00E26618" w:rsidRDefault="00473DE5">
      <w:r w:rsidRPr="00E266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A80CA" w14:textId="77777777" w:rsidR="00473DE5" w:rsidRPr="00E26618" w:rsidRDefault="00473DE5">
      <w:r w:rsidRPr="00E26618">
        <w:separator/>
      </w:r>
    </w:p>
  </w:footnote>
  <w:footnote w:type="continuationSeparator" w:id="0">
    <w:p w14:paraId="7C7FD0A2" w14:textId="77777777" w:rsidR="00473DE5" w:rsidRPr="00E26618" w:rsidRDefault="00473DE5">
      <w:r w:rsidRPr="00E26618">
        <w:continuationSeparator/>
      </w:r>
    </w:p>
  </w:footnote>
  <w:footnote w:id="1">
    <w:p w14:paraId="2DC61271" w14:textId="75BECE2C" w:rsidR="00CD7AC5" w:rsidRPr="00E26618" w:rsidRDefault="00CD7AC5" w:rsidP="00265045">
      <w:pPr>
        <w:pStyle w:val="FootnoteText"/>
        <w:ind w:left="709" w:hanging="709"/>
        <w:rPr>
          <w:sz w:val="24"/>
          <w:lang w:val="lv-LV"/>
        </w:rPr>
      </w:pPr>
      <w:r w:rsidRPr="00E26618">
        <w:rPr>
          <w:rStyle w:val="FootnoteReference"/>
          <w:sz w:val="24"/>
          <w:lang w:val="lv-LV"/>
        </w:rPr>
        <w:footnoteRef/>
      </w:r>
      <w:r w:rsidR="00E26618" w:rsidRPr="00E26618">
        <w:rPr>
          <w:i/>
          <w:iCs/>
          <w:sz w:val="24"/>
          <w:lang w:val="lv-LV"/>
        </w:rPr>
        <w:t xml:space="preserve"> </w:t>
      </w:r>
      <w:r w:rsidR="00E26618" w:rsidRPr="00E26618">
        <w:rPr>
          <w:i/>
          <w:iCs/>
          <w:sz w:val="24"/>
          <w:lang w:val="lv-LV"/>
        </w:rPr>
        <w:tab/>
      </w:r>
      <w:r w:rsidR="001B5B8A" w:rsidRPr="00265045">
        <w:rPr>
          <w:sz w:val="24"/>
          <w:lang w:val="fi-FI"/>
        </w:rPr>
        <w:t>O</w:t>
      </w:r>
      <w:r w:rsidR="001B5B8A">
        <w:rPr>
          <w:sz w:val="24"/>
          <w:lang w:val="fi-FI"/>
        </w:rPr>
        <w:t>V</w:t>
      </w:r>
      <w:r w:rsidR="001B5B8A" w:rsidRPr="00265045">
        <w:rPr>
          <w:sz w:val="24"/>
          <w:lang w:val="fi-FI"/>
        </w:rPr>
        <w:t xml:space="preserve"> C, C/2025/3199, 2.7.2025</w:t>
      </w:r>
      <w:r w:rsidR="001B5B8A">
        <w:rPr>
          <w:sz w:val="24"/>
          <w:lang w:val="fi-FI"/>
        </w:rPr>
        <w:t>.</w:t>
      </w:r>
      <w:r w:rsidR="001B5B8A" w:rsidRPr="00265045">
        <w:rPr>
          <w:sz w:val="24"/>
          <w:lang w:val="fi-FI"/>
        </w:rPr>
        <w:t xml:space="preserve">, ELI: </w:t>
      </w:r>
      <w:hyperlink r:id="rId1" w:history="1">
        <w:r w:rsidR="001B5B8A" w:rsidRPr="00265045">
          <w:rPr>
            <w:rStyle w:val="Hyperlink"/>
            <w:sz w:val="24"/>
            <w:lang w:val="fi-FI"/>
          </w:rPr>
          <w:t>http://data.europa.eu/eli/C/2025/3199/oj</w:t>
        </w:r>
      </w:hyperlink>
      <w:r w:rsidRPr="00E26618">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90011">
    <w:abstractNumId w:val="9"/>
  </w:num>
  <w:num w:numId="2" w16cid:durableId="122235552">
    <w:abstractNumId w:val="9"/>
  </w:num>
  <w:num w:numId="3" w16cid:durableId="1377855185">
    <w:abstractNumId w:val="7"/>
  </w:num>
  <w:num w:numId="4" w16cid:durableId="1160269664">
    <w:abstractNumId w:val="7"/>
  </w:num>
  <w:num w:numId="5" w16cid:durableId="549073264">
    <w:abstractNumId w:val="6"/>
  </w:num>
  <w:num w:numId="6" w16cid:durableId="131755605">
    <w:abstractNumId w:val="6"/>
  </w:num>
  <w:num w:numId="7" w16cid:durableId="1064986610">
    <w:abstractNumId w:val="5"/>
  </w:num>
  <w:num w:numId="8" w16cid:durableId="1220361290">
    <w:abstractNumId w:val="5"/>
  </w:num>
  <w:num w:numId="9" w16cid:durableId="523637847">
    <w:abstractNumId w:val="4"/>
  </w:num>
  <w:num w:numId="10" w16cid:durableId="1147941815">
    <w:abstractNumId w:val="4"/>
  </w:num>
  <w:num w:numId="11" w16cid:durableId="1109475442">
    <w:abstractNumId w:val="8"/>
  </w:num>
  <w:num w:numId="12" w16cid:durableId="1311247470">
    <w:abstractNumId w:val="8"/>
  </w:num>
  <w:num w:numId="13" w16cid:durableId="655450470">
    <w:abstractNumId w:val="3"/>
  </w:num>
  <w:num w:numId="14" w16cid:durableId="1251812471">
    <w:abstractNumId w:val="3"/>
  </w:num>
  <w:num w:numId="15" w16cid:durableId="1204975132">
    <w:abstractNumId w:val="2"/>
  </w:num>
  <w:num w:numId="16" w16cid:durableId="1919974719">
    <w:abstractNumId w:val="2"/>
  </w:num>
  <w:num w:numId="17" w16cid:durableId="352728754">
    <w:abstractNumId w:val="1"/>
  </w:num>
  <w:num w:numId="18" w16cid:durableId="1094932538">
    <w:abstractNumId w:val="1"/>
  </w:num>
  <w:num w:numId="19" w16cid:durableId="940798921">
    <w:abstractNumId w:val="0"/>
  </w:num>
  <w:num w:numId="20" w16cid:durableId="985084707">
    <w:abstractNumId w:val="0"/>
  </w:num>
  <w:num w:numId="21" w16cid:durableId="229580747">
    <w:abstractNumId w:val="9"/>
  </w:num>
  <w:num w:numId="22" w16cid:durableId="349794427">
    <w:abstractNumId w:val="7"/>
  </w:num>
  <w:num w:numId="23" w16cid:durableId="1521774749">
    <w:abstractNumId w:val="6"/>
  </w:num>
  <w:num w:numId="24" w16cid:durableId="149446828">
    <w:abstractNumId w:val="5"/>
  </w:num>
  <w:num w:numId="25" w16cid:durableId="194005682">
    <w:abstractNumId w:val="4"/>
  </w:num>
  <w:num w:numId="26" w16cid:durableId="1214924069">
    <w:abstractNumId w:val="8"/>
  </w:num>
  <w:num w:numId="27" w16cid:durableId="876356285">
    <w:abstractNumId w:val="3"/>
  </w:num>
  <w:num w:numId="28" w16cid:durableId="1942639803">
    <w:abstractNumId w:val="2"/>
  </w:num>
  <w:num w:numId="29" w16cid:durableId="1508977026">
    <w:abstractNumId w:val="1"/>
  </w:num>
  <w:num w:numId="30" w16cid:durableId="676805974">
    <w:abstractNumId w:val="0"/>
  </w:num>
  <w:num w:numId="31" w16cid:durableId="610209925">
    <w:abstractNumId w:val="9"/>
  </w:num>
  <w:num w:numId="32" w16cid:durableId="2021421404">
    <w:abstractNumId w:val="7"/>
  </w:num>
  <w:num w:numId="33" w16cid:durableId="1747453550">
    <w:abstractNumId w:val="6"/>
  </w:num>
  <w:num w:numId="34" w16cid:durableId="632364635">
    <w:abstractNumId w:val="5"/>
  </w:num>
  <w:num w:numId="35" w16cid:durableId="836919322">
    <w:abstractNumId w:val="4"/>
  </w:num>
  <w:num w:numId="36" w16cid:durableId="479732293">
    <w:abstractNumId w:val="8"/>
  </w:num>
  <w:num w:numId="37" w16cid:durableId="313488397">
    <w:abstractNumId w:val="3"/>
  </w:num>
  <w:num w:numId="38" w16cid:durableId="1926376142">
    <w:abstractNumId w:val="2"/>
  </w:num>
  <w:num w:numId="39" w16cid:durableId="542835519">
    <w:abstractNumId w:val="1"/>
  </w:num>
  <w:num w:numId="40" w16cid:durableId="1773432860">
    <w:abstractNumId w:val="0"/>
  </w:num>
  <w:num w:numId="41" w16cid:durableId="478309232">
    <w:abstractNumId w:val="10"/>
  </w:num>
  <w:num w:numId="42" w16cid:durableId="1001278063">
    <w:abstractNumId w:val="10"/>
  </w:num>
  <w:num w:numId="43" w16cid:durableId="1485315414">
    <w:abstractNumId w:val="10"/>
  </w:num>
  <w:num w:numId="44" w16cid:durableId="9791164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17/2025"/>
    <w:docVar w:name="dvlangue" w:val="LV"/>
    <w:docVar w:name="dvnumam" w:val="25"/>
    <w:docVar w:name="dvpe" w:val="773.087"/>
    <w:docVar w:name="dvrapporteur" w:val="Referentes: "/>
    <w:docVar w:name="dvstar" w:val="***I"/>
    <w:docVar w:name="dvtitre" w:val="Eiropas Parlamenta 2025. gada XX. XXX normatīvā rezolūcija par priekšlikumu Eiropas Parlamenta un Padomes regulai, ar ko groza Regulas (ES) 2015/1017, (ES) 2021/523, (ES) 2021/695 un (ES) 2021/1153 attiecībā uz Regulā (ES) 2021/523 paredzētās ES garantijas efektivitātes palielināšanu un ziņošanas prasību vienkāršošanu(COM(2025)0084 – C10-0036/2025 – 2025/0040(COD))"/>
  </w:docVars>
  <w:rsids>
    <w:rsidRoot w:val="00473DE5"/>
    <w:rsid w:val="00002272"/>
    <w:rsid w:val="00064002"/>
    <w:rsid w:val="000677B9"/>
    <w:rsid w:val="000831BA"/>
    <w:rsid w:val="000A3F70"/>
    <w:rsid w:val="000A42CC"/>
    <w:rsid w:val="000E7727"/>
    <w:rsid w:val="000E7DD9"/>
    <w:rsid w:val="0010095E"/>
    <w:rsid w:val="00121A39"/>
    <w:rsid w:val="00125B37"/>
    <w:rsid w:val="00147BB9"/>
    <w:rsid w:val="001710A2"/>
    <w:rsid w:val="00172FB2"/>
    <w:rsid w:val="00187494"/>
    <w:rsid w:val="001A1478"/>
    <w:rsid w:val="001B5B8A"/>
    <w:rsid w:val="001F32AE"/>
    <w:rsid w:val="00265045"/>
    <w:rsid w:val="002767FF"/>
    <w:rsid w:val="002B18FE"/>
    <w:rsid w:val="002B5493"/>
    <w:rsid w:val="00314D77"/>
    <w:rsid w:val="00335CD5"/>
    <w:rsid w:val="00343214"/>
    <w:rsid w:val="00361C00"/>
    <w:rsid w:val="00395FA1"/>
    <w:rsid w:val="003E15D4"/>
    <w:rsid w:val="00411CCE"/>
    <w:rsid w:val="0041666E"/>
    <w:rsid w:val="00421060"/>
    <w:rsid w:val="0042234C"/>
    <w:rsid w:val="00471C19"/>
    <w:rsid w:val="00473DE5"/>
    <w:rsid w:val="004867E3"/>
    <w:rsid w:val="00494A28"/>
    <w:rsid w:val="004C0004"/>
    <w:rsid w:val="004C5D52"/>
    <w:rsid w:val="0050519A"/>
    <w:rsid w:val="005072A1"/>
    <w:rsid w:val="005119D9"/>
    <w:rsid w:val="00514517"/>
    <w:rsid w:val="00545827"/>
    <w:rsid w:val="00560270"/>
    <w:rsid w:val="005C2568"/>
    <w:rsid w:val="005F1B17"/>
    <w:rsid w:val="006037C0"/>
    <w:rsid w:val="006631B6"/>
    <w:rsid w:val="00680577"/>
    <w:rsid w:val="006F55EB"/>
    <w:rsid w:val="006F74FA"/>
    <w:rsid w:val="00731ADD"/>
    <w:rsid w:val="00734777"/>
    <w:rsid w:val="00747932"/>
    <w:rsid w:val="00751A4A"/>
    <w:rsid w:val="00756632"/>
    <w:rsid w:val="00762C74"/>
    <w:rsid w:val="007734B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671"/>
    <w:rsid w:val="00A1687D"/>
    <w:rsid w:val="00A43E52"/>
    <w:rsid w:val="00A4678D"/>
    <w:rsid w:val="00A64B50"/>
    <w:rsid w:val="00A778C7"/>
    <w:rsid w:val="00AB441E"/>
    <w:rsid w:val="00AB6293"/>
    <w:rsid w:val="00AE0928"/>
    <w:rsid w:val="00AF3B82"/>
    <w:rsid w:val="00B12E95"/>
    <w:rsid w:val="00B22876"/>
    <w:rsid w:val="00B2577C"/>
    <w:rsid w:val="00B558F0"/>
    <w:rsid w:val="00BD48FE"/>
    <w:rsid w:val="00BD7BD8"/>
    <w:rsid w:val="00BE6ADC"/>
    <w:rsid w:val="00C05BFE"/>
    <w:rsid w:val="00C23CD4"/>
    <w:rsid w:val="00C37E79"/>
    <w:rsid w:val="00C61C0C"/>
    <w:rsid w:val="00C73D27"/>
    <w:rsid w:val="00C941CB"/>
    <w:rsid w:val="00CC2357"/>
    <w:rsid w:val="00CD7AC5"/>
    <w:rsid w:val="00CF071A"/>
    <w:rsid w:val="00CF4A52"/>
    <w:rsid w:val="00D058B8"/>
    <w:rsid w:val="00D56C11"/>
    <w:rsid w:val="00D834A0"/>
    <w:rsid w:val="00D872DF"/>
    <w:rsid w:val="00D91E21"/>
    <w:rsid w:val="00DA7FCD"/>
    <w:rsid w:val="00E26618"/>
    <w:rsid w:val="00E365E1"/>
    <w:rsid w:val="00E820A4"/>
    <w:rsid w:val="00EB006A"/>
    <w:rsid w:val="00EB4772"/>
    <w:rsid w:val="00ED169E"/>
    <w:rsid w:val="00ED4235"/>
    <w:rsid w:val="00F04346"/>
    <w:rsid w:val="00F075DC"/>
    <w:rsid w:val="00F149E9"/>
    <w:rsid w:val="00F5134D"/>
    <w:rsid w:val="00F516E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622B2"/>
  <w15:chartTrackingRefBased/>
  <w15:docId w15:val="{07019F43-2609-4C2F-B53A-B6C932A33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CD7AC5"/>
    <w:rPr>
      <w:b/>
    </w:rPr>
  </w:style>
  <w:style w:type="paragraph" w:customStyle="1" w:styleId="NormalBold12a">
    <w:name w:val="NormalBold12a"/>
    <w:basedOn w:val="Normal"/>
    <w:rsid w:val="00CD7AC5"/>
    <w:pPr>
      <w:spacing w:after="240"/>
    </w:pPr>
    <w:rPr>
      <w:b/>
    </w:rPr>
  </w:style>
  <w:style w:type="paragraph" w:customStyle="1" w:styleId="NormalHanging12a">
    <w:name w:val="NormalHanging12a"/>
    <w:basedOn w:val="Normal"/>
    <w:rsid w:val="00CD7AC5"/>
    <w:pPr>
      <w:spacing w:after="240"/>
      <w:ind w:left="567" w:hanging="567"/>
    </w:pPr>
  </w:style>
  <w:style w:type="paragraph" w:customStyle="1" w:styleId="AmNumberTabs">
    <w:name w:val="AmNumberTabs"/>
    <w:basedOn w:val="Normal"/>
    <w:rsid w:val="00CD7A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CD7AC5"/>
    <w:pPr>
      <w:spacing w:before="480" w:after="240"/>
    </w:pPr>
  </w:style>
  <w:style w:type="paragraph" w:customStyle="1" w:styleId="NormalCenter12a">
    <w:name w:val="NormalCenter12a"/>
    <w:basedOn w:val="Normal"/>
    <w:rsid w:val="00CD7AC5"/>
    <w:pPr>
      <w:spacing w:after="240"/>
      <w:jc w:val="center"/>
    </w:pPr>
  </w:style>
  <w:style w:type="paragraph" w:customStyle="1" w:styleId="AmHeadingConsam">
    <w:name w:val="AmHeadingConsam"/>
    <w:basedOn w:val="Normal"/>
    <w:next w:val="NormalCenter12a"/>
    <w:rsid w:val="00CD7AC5"/>
    <w:pPr>
      <w:spacing w:before="720" w:after="240"/>
      <w:jc w:val="center"/>
    </w:pPr>
  </w:style>
  <w:style w:type="character" w:customStyle="1" w:styleId="NormalBoldChar">
    <w:name w:val="NormalBold Char"/>
    <w:basedOn w:val="DefaultParagraphFont"/>
    <w:link w:val="NormalBold"/>
    <w:rsid w:val="00CD7AC5"/>
    <w:rPr>
      <w:b/>
      <w:sz w:val="24"/>
      <w:lang w:val="lv-LV"/>
    </w:rPr>
  </w:style>
  <w:style w:type="paragraph" w:styleId="Revision">
    <w:name w:val="Revision"/>
    <w:hidden/>
    <w:uiPriority w:val="99"/>
    <w:semiHidden/>
    <w:rsid w:val="001B5B8A"/>
    <w:rPr>
      <w:sz w:val="24"/>
      <w:lang w:val="lv-LV"/>
    </w:rPr>
  </w:style>
  <w:style w:type="character" w:styleId="Hyperlink">
    <w:name w:val="Hyperlink"/>
    <w:basedOn w:val="DefaultParagraphFont"/>
    <w:rsid w:val="001B5B8A"/>
    <w:rPr>
      <w:color w:val="0563C1" w:themeColor="hyperlink"/>
      <w:u w:val="single"/>
    </w:rPr>
  </w:style>
  <w:style w:type="paragraph" w:customStyle="1" w:styleId="Normal12Hanging">
    <w:name w:val="Normal12Hanging"/>
    <w:basedOn w:val="Normal"/>
    <w:link w:val="Normal12HangingChar"/>
    <w:rsid w:val="001B5B8A"/>
    <w:pPr>
      <w:spacing w:after="240"/>
      <w:ind w:left="357" w:hanging="357"/>
    </w:pPr>
  </w:style>
  <w:style w:type="character" w:customStyle="1" w:styleId="Normal12HangingChar">
    <w:name w:val="Normal12Hanging Char"/>
    <w:basedOn w:val="DefaultParagraphFont"/>
    <w:link w:val="Normal12Hanging"/>
    <w:rsid w:val="001B5B8A"/>
    <w:rPr>
      <w:sz w:val="24"/>
      <w:lang w:val="lv-LV"/>
    </w:rPr>
  </w:style>
  <w:style w:type="paragraph" w:customStyle="1" w:styleId="FootnoteTextForceStyle">
    <w:name w:val="Footnote Text ForceStyle"/>
    <w:rsid w:val="00335CD5"/>
    <w:pPr>
      <w:keepLines/>
      <w:widowControl w:val="0"/>
      <w:spacing w:line="240" w:lineRule="exact"/>
      <w:ind w:left="850" w:hanging="850"/>
    </w:pPr>
    <w:rPr>
      <w:sz w:val="24"/>
      <w:lang w:val="lv-LV" w:eastAsia="en-US"/>
    </w:rPr>
  </w:style>
  <w:style w:type="character" w:customStyle="1" w:styleId="Hyperlink1">
    <w:name w:val="Hyperlink1"/>
    <w:basedOn w:val="DefaultParagraphFont"/>
    <w:uiPriority w:val="99"/>
    <w:rsid w:val="00335C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1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338</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2026-02-02T09:54:00Z</dcterms:created>
  <dcterms:modified xsi:type="dcterms:W3CDTF">2026-02-02T09:54:00Z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P10_TA(2025)0296_</vt:lpwstr>
  </property>
  <property fmtid="{D5CDD505-2E9C-101B-9397-08002B2CF9AE}" pid="4" name="&lt;Type&gt;">
    <vt:lpwstr>RR</vt:lpwstr>
  </property>
</Properties>
</file>