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05A6F" w14:paraId="7E777E3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0401CB" w14:textId="77777777" w:rsidR="00751A4A" w:rsidRPr="00705A6F" w:rsidRDefault="00A20EB1" w:rsidP="0010095E">
            <w:pPr>
              <w:pStyle w:val="EPName"/>
            </w:pPr>
            <w:r w:rsidRPr="00705A6F">
              <w:t>Parlament Ewropew</w:t>
            </w:r>
          </w:p>
          <w:p w14:paraId="21C5B612" w14:textId="77777777" w:rsidR="00751A4A" w:rsidRPr="00705A6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05A6F">
              <w:t>2024</w:t>
            </w:r>
            <w:r w:rsidR="00817416" w:rsidRPr="00705A6F">
              <w:t>-202</w:t>
            </w:r>
            <w:r w:rsidRPr="00705A6F">
              <w:t>9</w:t>
            </w:r>
          </w:p>
        </w:tc>
        <w:tc>
          <w:tcPr>
            <w:tcW w:w="2268" w:type="dxa"/>
            <w:shd w:val="clear" w:color="auto" w:fill="auto"/>
          </w:tcPr>
          <w:p w14:paraId="38E6848A" w14:textId="77777777" w:rsidR="00751A4A" w:rsidRPr="00705A6F" w:rsidRDefault="00187494" w:rsidP="0010095E">
            <w:pPr>
              <w:pStyle w:val="EPLogo"/>
            </w:pPr>
            <w:r w:rsidRPr="00705A6F">
              <w:rPr>
                <w:noProof/>
                <w:lang w:eastAsia="ja-JP"/>
              </w:rPr>
              <w:drawing>
                <wp:inline distT="0" distB="0" distL="0" distR="0" wp14:anchorId="43544491" wp14:editId="12D74EF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320D40" w14:textId="77777777" w:rsidR="00D058B8" w:rsidRPr="00705A6F" w:rsidRDefault="00D058B8" w:rsidP="004C5D52">
      <w:pPr>
        <w:pStyle w:val="LineTop"/>
      </w:pPr>
    </w:p>
    <w:p w14:paraId="2033211A" w14:textId="77777777" w:rsidR="00680577" w:rsidRPr="00705A6F" w:rsidRDefault="00A20EB1" w:rsidP="00680577">
      <w:pPr>
        <w:pStyle w:val="EPBodyTA1"/>
      </w:pPr>
      <w:r w:rsidRPr="00705A6F">
        <w:t>TESTI ADOTTATI</w:t>
      </w:r>
    </w:p>
    <w:p w14:paraId="6489958B" w14:textId="77777777" w:rsidR="00D058B8" w:rsidRPr="00705A6F" w:rsidRDefault="00D058B8" w:rsidP="00D058B8">
      <w:pPr>
        <w:pStyle w:val="LineBottom"/>
      </w:pPr>
    </w:p>
    <w:p w14:paraId="0D3AF10E" w14:textId="0EB36919" w:rsidR="00A20EB1" w:rsidRPr="00705A6F" w:rsidRDefault="00A20EB1" w:rsidP="00A20EB1">
      <w:pPr>
        <w:pStyle w:val="ATHeading1"/>
      </w:pPr>
      <w:bookmarkStart w:id="0" w:name="TANumber"/>
      <w:r w:rsidRPr="00705A6F">
        <w:t>P10_TA(2025)0</w:t>
      </w:r>
      <w:bookmarkEnd w:id="0"/>
      <w:r w:rsidR="001349DE">
        <w:t>296</w:t>
      </w:r>
    </w:p>
    <w:p w14:paraId="293E6DB8" w14:textId="66021F2E" w:rsidR="00A20EB1" w:rsidRPr="00705A6F" w:rsidRDefault="00A20EB1" w:rsidP="00A20EB1">
      <w:pPr>
        <w:pStyle w:val="ATHeading2"/>
      </w:pPr>
      <w:bookmarkStart w:id="1" w:name="title"/>
      <w:r w:rsidRPr="00705A6F">
        <w:t>Iż-żieda fl-effiċjenza tal-garanzija tal-UE skont ir-Regolament dwar l-InvestEU u s-simplifikazzjoni tar-rekwiżiti tar-rappurtar</w:t>
      </w:r>
      <w:bookmarkEnd w:id="1"/>
    </w:p>
    <w:p w14:paraId="5B03F832" w14:textId="16BB0326" w:rsidR="00A20EB1" w:rsidRPr="00705A6F" w:rsidRDefault="00A20EB1" w:rsidP="00A20EB1">
      <w:pPr>
        <w:rPr>
          <w:i/>
          <w:vanish/>
        </w:rPr>
      </w:pPr>
      <w:r w:rsidRPr="00705A6F">
        <w:rPr>
          <w:i/>
        </w:rPr>
        <w:fldChar w:fldCharType="begin"/>
      </w:r>
      <w:r w:rsidRPr="00705A6F">
        <w:rPr>
          <w:i/>
        </w:rPr>
        <w:instrText xml:space="preserve"> TC"(</w:instrText>
      </w:r>
      <w:bookmarkStart w:id="2" w:name="DocNumber"/>
      <w:r w:rsidRPr="00705A6F">
        <w:rPr>
          <w:i/>
        </w:rPr>
        <w:instrText>A10-0117/2025</w:instrText>
      </w:r>
      <w:bookmarkEnd w:id="2"/>
      <w:r w:rsidRPr="00705A6F">
        <w:rPr>
          <w:i/>
        </w:rPr>
        <w:instrText xml:space="preserve"> - </w:instrText>
      </w:r>
      <w:proofErr w:type="spellStart"/>
      <w:r w:rsidRPr="00705A6F">
        <w:rPr>
          <w:i/>
        </w:rPr>
        <w:instrText>Rapporteur</w:instrText>
      </w:r>
      <w:r w:rsidR="000D76AD">
        <w:rPr>
          <w:i/>
        </w:rPr>
        <w:instrText>s</w:instrText>
      </w:r>
      <w:proofErr w:type="spellEnd"/>
      <w:r w:rsidRPr="00705A6F">
        <w:rPr>
          <w:i/>
        </w:rPr>
        <w:instrText xml:space="preserve">: </w:instrText>
      </w:r>
      <w:proofErr w:type="spellStart"/>
      <w:r w:rsidRPr="00705A6F">
        <w:rPr>
          <w:i/>
        </w:rPr>
        <w:instrText>Aura</w:instrText>
      </w:r>
      <w:proofErr w:type="spellEnd"/>
      <w:r w:rsidRPr="00705A6F">
        <w:rPr>
          <w:i/>
        </w:rPr>
        <w:instrText xml:space="preserve"> </w:instrText>
      </w:r>
      <w:proofErr w:type="spellStart"/>
      <w:r w:rsidRPr="00705A6F">
        <w:rPr>
          <w:i/>
        </w:rPr>
        <w:instrText>Salla</w:instrText>
      </w:r>
      <w:proofErr w:type="spellEnd"/>
      <w:r w:rsidRPr="00705A6F">
        <w:rPr>
          <w:i/>
        </w:rPr>
        <w:instrText xml:space="preserve">, Irene </w:instrText>
      </w:r>
      <w:proofErr w:type="spellStart"/>
      <w:r w:rsidRPr="00705A6F">
        <w:rPr>
          <w:i/>
        </w:rPr>
        <w:instrText>Tinagli</w:instrText>
      </w:r>
      <w:proofErr w:type="spellEnd"/>
      <w:r w:rsidRPr="00705A6F">
        <w:rPr>
          <w:i/>
        </w:rPr>
        <w:instrText xml:space="preserve">)"\l3 \n&gt; \* MERGEFORMAT </w:instrText>
      </w:r>
      <w:r w:rsidRPr="00705A6F">
        <w:rPr>
          <w:i/>
        </w:rPr>
        <w:fldChar w:fldCharType="end"/>
      </w:r>
    </w:p>
    <w:p w14:paraId="42557386" w14:textId="77777777" w:rsidR="00A20EB1" w:rsidRPr="00705A6F" w:rsidRDefault="00A20EB1" w:rsidP="00A20EB1">
      <w:pPr>
        <w:rPr>
          <w:vanish/>
        </w:rPr>
      </w:pPr>
      <w:bookmarkStart w:id="3" w:name="Commission"/>
      <w:r w:rsidRPr="00705A6F">
        <w:rPr>
          <w:vanish/>
        </w:rPr>
        <w:t>Kumitat għall-Baġits, Kumitat għall-Affarijiet Ekonomiċi u Monetarji</w:t>
      </w:r>
      <w:bookmarkEnd w:id="3"/>
    </w:p>
    <w:p w14:paraId="633DC1F4" w14:textId="77777777" w:rsidR="00A20EB1" w:rsidRPr="00705A6F" w:rsidRDefault="00A20EB1" w:rsidP="00A20EB1">
      <w:pPr>
        <w:rPr>
          <w:vanish/>
        </w:rPr>
      </w:pPr>
      <w:bookmarkStart w:id="4" w:name="PE"/>
      <w:r w:rsidRPr="00705A6F">
        <w:rPr>
          <w:vanish/>
        </w:rPr>
        <w:t>PE773.087</w:t>
      </w:r>
      <w:bookmarkEnd w:id="4"/>
    </w:p>
    <w:p w14:paraId="5346AB85" w14:textId="08A1F7AD" w:rsidR="00A20EB1" w:rsidRPr="00705A6F" w:rsidRDefault="00A20EB1" w:rsidP="00A20EB1">
      <w:pPr>
        <w:pStyle w:val="ATHeading3"/>
      </w:pPr>
      <w:bookmarkStart w:id="5" w:name="Sujet"/>
      <w:r w:rsidRPr="00705A6F">
        <w:t>Riżoluzzjoni leġiżlattiva tal-Parlament Ewropew ta</w:t>
      </w:r>
      <w:r w:rsidR="000F166E">
        <w:t>s</w:t>
      </w:r>
      <w:r w:rsidRPr="00705A6F">
        <w:t>-2</w:t>
      </w:r>
      <w:r w:rsidR="000F166E">
        <w:t>6</w:t>
      </w:r>
      <w:r w:rsidRPr="00705A6F">
        <w:t xml:space="preserve"> ta' Novembru 2025 dwar il-proposta għal regolament tal-Parlament Ewropew u tal-Kunsill li jemenda r-Regolamenti (UE) 2015/1017, (UE) 2021/523, (UE) 2021/695 u (UE) 2021/1153 fir-rigward taż-żieda fl-effiċjenza tal-garanzija tal-UE skont ir-Regolament (UE) 2021/523 u fir-rigward tas-simplifikazzjoni tar-rekwiżiti tar-rappurtar</w:t>
      </w:r>
      <w:bookmarkEnd w:id="5"/>
      <w:r w:rsidRPr="00705A6F">
        <w:t xml:space="preserve"> </w:t>
      </w:r>
      <w:bookmarkStart w:id="6" w:name="References"/>
      <w:r w:rsidRPr="00705A6F">
        <w:t>(COM(2025)0084 – C10-0036/2025 – 2025/0040(COD))</w:t>
      </w:r>
      <w:bookmarkEnd w:id="6"/>
    </w:p>
    <w:p w14:paraId="592EED26" w14:textId="77777777" w:rsidR="00A20EB1" w:rsidRPr="00705A6F" w:rsidRDefault="00A20EB1" w:rsidP="00A20EB1"/>
    <w:p w14:paraId="211CF7A2" w14:textId="77777777" w:rsidR="00597F81" w:rsidRPr="00705A6F" w:rsidRDefault="00597F81" w:rsidP="00597F81">
      <w:pPr>
        <w:pStyle w:val="NormalBold"/>
      </w:pPr>
      <w:bookmarkStart w:id="7" w:name="TextBodyBegin"/>
      <w:bookmarkEnd w:id="7"/>
      <w:r w:rsidRPr="00705A6F">
        <w:t>(Proċedura leġiżlattiva ordinarja: l-ewwel qari)</w:t>
      </w:r>
    </w:p>
    <w:p w14:paraId="6F54BF4A" w14:textId="77777777" w:rsidR="00597F81" w:rsidRPr="00705A6F" w:rsidRDefault="00597F81" w:rsidP="00597F81">
      <w:pPr>
        <w:pStyle w:val="EPComma"/>
      </w:pPr>
      <w:r w:rsidRPr="00705A6F">
        <w:rPr>
          <w:i/>
        </w:rPr>
        <w:t>Il-Parlament Ewropew</w:t>
      </w:r>
      <w:r w:rsidRPr="00705A6F">
        <w:t>,</w:t>
      </w:r>
    </w:p>
    <w:p w14:paraId="213B77FD" w14:textId="77777777" w:rsidR="00597F81" w:rsidRPr="00705A6F" w:rsidRDefault="00597F81" w:rsidP="00597F81">
      <w:pPr>
        <w:pStyle w:val="NormalHanging12a"/>
      </w:pPr>
      <w:r w:rsidRPr="00705A6F">
        <w:t>–</w:t>
      </w:r>
      <w:r w:rsidRPr="00705A6F">
        <w:tab/>
        <w:t>wara li kkunsidra l-proposta tal-Kummissjoni lill-Parlament Ewropew u lill-Kunsill (COM(2025)0084),</w:t>
      </w:r>
    </w:p>
    <w:p w14:paraId="0176F35D" w14:textId="3DD284C6" w:rsidR="00597F81" w:rsidRPr="00705A6F" w:rsidRDefault="00597F81" w:rsidP="00597F81">
      <w:pPr>
        <w:pStyle w:val="NormalHanging12a"/>
      </w:pPr>
      <w:r w:rsidRPr="00705A6F">
        <w:t>–</w:t>
      </w:r>
      <w:r w:rsidRPr="00705A6F">
        <w:tab/>
        <w:t xml:space="preserve">wara li kkunsidra l-Artikolu 294(2) u l-Artikoli 172 u 173, l-Artikolu 175, it-tielet paragrafu, l-Artikolu 182(1), </w:t>
      </w:r>
      <w:r w:rsidR="000D76AD">
        <w:t xml:space="preserve">l-Artikolu 183, </w:t>
      </w:r>
      <w:r w:rsidRPr="00705A6F">
        <w:t>l-Artikolu 188, it-tieni paragrafu, u l-Artikol</w:t>
      </w:r>
      <w:r w:rsidR="000D76AD">
        <w:t>u</w:t>
      </w:r>
      <w:r w:rsidRPr="00705A6F">
        <w:t xml:space="preserve"> 194 tat-Trattat dwar il-Funzjonament tal-Unjoni Ewropea, skont liema artikoli l-Kummissjoni ppreżentat il-proposta lill-Parlament (C10</w:t>
      </w:r>
      <w:r w:rsidRPr="00705A6F">
        <w:noBreakHyphen/>
        <w:t>0036/2025),</w:t>
      </w:r>
    </w:p>
    <w:p w14:paraId="4B62F114" w14:textId="77777777" w:rsidR="00597F81" w:rsidRPr="00705A6F" w:rsidRDefault="00597F81" w:rsidP="00597F81">
      <w:pPr>
        <w:pStyle w:val="NormalHanging12a"/>
      </w:pPr>
      <w:r w:rsidRPr="00705A6F">
        <w:t>–</w:t>
      </w:r>
      <w:r w:rsidRPr="00705A6F">
        <w:tab/>
        <w:t>wara li kkunsidra l-Artikolu 294(3) tat-Trattat dwar il-Funzjonament tal-Unjoni Ewropea,</w:t>
      </w:r>
    </w:p>
    <w:p w14:paraId="2DC7723F" w14:textId="77777777" w:rsidR="00597F81" w:rsidRPr="00705A6F" w:rsidRDefault="00597F81" w:rsidP="00597F81">
      <w:pPr>
        <w:pStyle w:val="NormalHanging12a"/>
      </w:pPr>
      <w:r w:rsidRPr="00705A6F">
        <w:t>–</w:t>
      </w:r>
      <w:r w:rsidRPr="00705A6F">
        <w:tab/>
        <w:t>wara li kkunsidra l-opinjoni tal-Kumitat Ekonomiku u Soċjali Ewropew tad-29 ta’ April 2025</w:t>
      </w:r>
      <w:r w:rsidRPr="00705A6F">
        <w:rPr>
          <w:rStyle w:val="FootnoteReference"/>
        </w:rPr>
        <w:footnoteReference w:id="1"/>
      </w:r>
      <w:r w:rsidRPr="00705A6F">
        <w:t>,</w:t>
      </w:r>
    </w:p>
    <w:p w14:paraId="5776A1FE" w14:textId="54438F79" w:rsidR="00597F81" w:rsidRDefault="00597F81" w:rsidP="00597F81">
      <w:pPr>
        <w:pStyle w:val="NormalHanging12a"/>
      </w:pPr>
      <w:r w:rsidRPr="00705A6F">
        <w:t>–</w:t>
      </w:r>
      <w:r w:rsidRPr="00705A6F">
        <w:tab/>
        <w:t>wara li kkonsulta</w:t>
      </w:r>
      <w:r w:rsidRPr="00705A6F">
        <w:rPr>
          <w:b/>
          <w:i/>
        </w:rPr>
        <w:t xml:space="preserve"> </w:t>
      </w:r>
      <w:r w:rsidR="004142D8">
        <w:rPr>
          <w:bCs/>
          <w:iCs/>
        </w:rPr>
        <w:t>ma</w:t>
      </w:r>
      <w:r w:rsidRPr="00705A6F">
        <w:t>l-Kumitat tar-Reġjuni,</w:t>
      </w:r>
    </w:p>
    <w:p w14:paraId="66DAE6F0" w14:textId="20F53BE0" w:rsidR="000D76AD" w:rsidRPr="00705A6F" w:rsidRDefault="000D76AD" w:rsidP="00597F81">
      <w:pPr>
        <w:pStyle w:val="NormalHanging12a"/>
      </w:pPr>
      <w:r w:rsidRPr="00705A6F">
        <w:t>–</w:t>
      </w:r>
      <w:r w:rsidRPr="00705A6F">
        <w:tab/>
        <w:t xml:space="preserve">wara li kkunsidra </w:t>
      </w:r>
      <w:r>
        <w:t>l</w:t>
      </w:r>
      <w:r w:rsidRPr="000D76AD">
        <w:t xml:space="preserve">-ftehim proviżorju approvat mill-kumitati responsabbli fis-sens tal-Artikolu 75(4) tar-Regoli ta' Proċedura tiegħu u l-impenn meħud mir-rappreżentant tal-Kunsill, permezz tal-ittra </w:t>
      </w:r>
      <w:r w:rsidR="00845C21">
        <w:t>tat</w:t>
      </w:r>
      <w:r w:rsidRPr="000D76AD">
        <w:t>-</w:t>
      </w:r>
      <w:r w:rsidR="00845C21">
        <w:t>8</w:t>
      </w:r>
      <w:r w:rsidRPr="000D76AD">
        <w:t xml:space="preserve"> ta' </w:t>
      </w:r>
      <w:r w:rsidR="00845C21">
        <w:t>Ottubru 2025</w:t>
      </w:r>
      <w:r w:rsidRPr="000D76AD">
        <w:t xml:space="preserve">, li japprova l-pożizzjoni tal-Parlament, </w:t>
      </w:r>
      <w:r w:rsidRPr="000D76AD">
        <w:lastRenderedPageBreak/>
        <w:t>skont l-Artikolu 294(4) tat-Trattat dwar il-Funzjonament tal-Unjoni Ewropea</w:t>
      </w:r>
      <w:r>
        <w:t>,</w:t>
      </w:r>
    </w:p>
    <w:p w14:paraId="7D317592" w14:textId="77777777" w:rsidR="00597F81" w:rsidRPr="00705A6F" w:rsidRDefault="00597F81" w:rsidP="00597F81">
      <w:pPr>
        <w:pStyle w:val="NormalHanging12a"/>
      </w:pPr>
      <w:r w:rsidRPr="00705A6F">
        <w:t>–</w:t>
      </w:r>
      <w:r w:rsidRPr="00705A6F">
        <w:tab/>
        <w:t>wara li kkunsidra l-Artikolu 60 tar-Regoli ta’ Proċedura tiegħu,</w:t>
      </w:r>
    </w:p>
    <w:p w14:paraId="6D785C3F" w14:textId="77777777" w:rsidR="00597F81" w:rsidRPr="00705A6F" w:rsidRDefault="00597F81" w:rsidP="00597F81">
      <w:pPr>
        <w:pStyle w:val="NormalHanging12a"/>
      </w:pPr>
      <w:r w:rsidRPr="00705A6F">
        <w:t>–</w:t>
      </w:r>
      <w:r w:rsidRPr="00705A6F">
        <w:tab/>
        <w:t>wara li kkunsidra d-deliberazzjonijiet konġunti tal-Kumitat għall-Baġits u tal-Kumitat għall-Affarijiet Ekonomiċi u Monetarji skont l-Artikolu 59 tar-Regoli ta’ Proċedura,</w:t>
      </w:r>
    </w:p>
    <w:p w14:paraId="3D77C09E" w14:textId="77777777" w:rsidR="00597F81" w:rsidRPr="00705A6F" w:rsidRDefault="00597F81" w:rsidP="00597F81">
      <w:pPr>
        <w:pStyle w:val="NormalHanging12a"/>
      </w:pPr>
      <w:r w:rsidRPr="00705A6F">
        <w:t>–</w:t>
      </w:r>
      <w:r w:rsidRPr="00705A6F">
        <w:tab/>
        <w:t>wara li kkunsidra l-opinjonijiet tal-Kumitat għall-Industrija, ir-Riċerka u l-Enerġija u tal-Kumitat għat-Trasport u t-Turiżmu,</w:t>
      </w:r>
    </w:p>
    <w:p w14:paraId="36253E3F" w14:textId="77777777" w:rsidR="00597F81" w:rsidRPr="00705A6F" w:rsidRDefault="00597F81" w:rsidP="00597F81">
      <w:pPr>
        <w:pStyle w:val="NormalHanging12a"/>
      </w:pPr>
      <w:r w:rsidRPr="00705A6F">
        <w:t>–</w:t>
      </w:r>
      <w:r w:rsidRPr="00705A6F">
        <w:tab/>
        <w:t>wara li kkunsidra r-rapport tal-Kumitat għall-Baġits u tal-Kumitat għall-Affarijiet Ekonomiċi u Monetarji (A10-0117/2025),</w:t>
      </w:r>
    </w:p>
    <w:p w14:paraId="4DD1D05A" w14:textId="77777777" w:rsidR="00597F81" w:rsidRPr="00705A6F" w:rsidRDefault="00597F81" w:rsidP="00597F81">
      <w:pPr>
        <w:pStyle w:val="NormalHanging12a"/>
      </w:pPr>
      <w:r w:rsidRPr="00705A6F">
        <w:t>1.</w:t>
      </w:r>
      <w:r w:rsidRPr="00705A6F">
        <w:tab/>
        <w:t>Jadotta l-pożizzjoni fl-ewwel qari li tidher hawn taħt;</w:t>
      </w:r>
    </w:p>
    <w:p w14:paraId="0532E1E5" w14:textId="77777777" w:rsidR="00597F81" w:rsidRPr="00705A6F" w:rsidRDefault="00597F81" w:rsidP="00597F81">
      <w:pPr>
        <w:pStyle w:val="NormalHanging12a"/>
      </w:pPr>
      <w:r w:rsidRPr="00705A6F">
        <w:t>2.</w:t>
      </w:r>
      <w:r w:rsidRPr="00705A6F">
        <w:tab/>
        <w:t xml:space="preserve">Jitlob lill-Kummissjoni </w:t>
      </w:r>
      <w:proofErr w:type="spellStart"/>
      <w:r w:rsidRPr="00705A6F">
        <w:t>terġa</w:t>
      </w:r>
      <w:proofErr w:type="spellEnd"/>
      <w:r w:rsidRPr="00705A6F">
        <w:t xml:space="preserve">’ tirreferi l-kwistjoni lill-Parlament jekk tibdel il-proposta tagħha, </w:t>
      </w:r>
      <w:proofErr w:type="spellStart"/>
      <w:r w:rsidRPr="00705A6F">
        <w:t>temendaha</w:t>
      </w:r>
      <w:proofErr w:type="spellEnd"/>
      <w:r w:rsidRPr="00705A6F">
        <w:t xml:space="preserve"> b’mod sustanzjali jew ikollha l-ħsieb li </w:t>
      </w:r>
      <w:proofErr w:type="spellStart"/>
      <w:r w:rsidRPr="00705A6F">
        <w:t>temendaha</w:t>
      </w:r>
      <w:proofErr w:type="spellEnd"/>
      <w:r w:rsidRPr="00705A6F">
        <w:t xml:space="preserve"> b’mod sustanzjali;</w:t>
      </w:r>
    </w:p>
    <w:p w14:paraId="0C10AF77" w14:textId="4043C104" w:rsidR="00597F81" w:rsidRPr="00705A6F" w:rsidRDefault="00597F81" w:rsidP="00597F81">
      <w:pPr>
        <w:pStyle w:val="NormalHanging12a"/>
      </w:pPr>
      <w:r w:rsidRPr="00705A6F">
        <w:t>3.</w:t>
      </w:r>
      <w:r w:rsidRPr="00705A6F">
        <w:tab/>
        <w:t xml:space="preserve">Jagħti istruzzjonijiet lill-President tiegħu biex tgħaddi l-pożizzjoni </w:t>
      </w:r>
      <w:r w:rsidR="004142D8">
        <w:t>tal-Parlament</w:t>
      </w:r>
      <w:r w:rsidRPr="00705A6F">
        <w:t xml:space="preserve"> lill-Kunsill, lill-Kummissjoni u lill-parlamenti nazzjonali.</w:t>
      </w:r>
    </w:p>
    <w:p w14:paraId="77280E37" w14:textId="77777777" w:rsidR="00597F81" w:rsidRPr="00705A6F" w:rsidRDefault="00597F81" w:rsidP="00597F81"/>
    <w:p w14:paraId="4037A07F" w14:textId="77777777" w:rsidR="00623731" w:rsidRDefault="00623731" w:rsidP="00597F81">
      <w:pPr>
        <w:pStyle w:val="AmNumberTabs"/>
        <w:keepNext/>
        <w:sectPr w:rsidR="00623731" w:rsidSect="00705A6F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4549EED" w14:textId="77777777" w:rsidR="00845C21" w:rsidRPr="00586FAD" w:rsidRDefault="00845C21" w:rsidP="00845C2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586FAD">
        <w:rPr>
          <w:b/>
          <w:bCs/>
          <w:color w:val="000000"/>
        </w:rPr>
        <w:lastRenderedPageBreak/>
        <w:t>P10_TC1-COD(2025)0040</w:t>
      </w:r>
    </w:p>
    <w:p w14:paraId="3129AA89" w14:textId="540A6DEC" w:rsidR="00E365E1" w:rsidRDefault="00845C21" w:rsidP="005248BA">
      <w:pPr>
        <w:rPr>
          <w:b/>
          <w:szCs w:val="24"/>
          <w:lang w:eastAsia="en-US"/>
        </w:rPr>
      </w:pPr>
      <w:r w:rsidRPr="00CE3598">
        <w:rPr>
          <w:rFonts w:eastAsia="Calibri"/>
          <w:b/>
          <w:bCs/>
        </w:rPr>
        <w:t xml:space="preserve">Pożizzjoni tal-Parlament Ewropew adottata fl-ewwel </w:t>
      </w:r>
      <w:r w:rsidRPr="00845C21">
        <w:rPr>
          <w:rFonts w:eastAsia="Calibri"/>
          <w:b/>
          <w:bCs/>
        </w:rPr>
        <w:t>qari ta</w:t>
      </w:r>
      <w:r w:rsidR="00443011">
        <w:rPr>
          <w:rFonts w:eastAsia="Calibri"/>
          <w:b/>
          <w:bCs/>
        </w:rPr>
        <w:t>s-26</w:t>
      </w:r>
      <w:r w:rsidRPr="00845C21">
        <w:rPr>
          <w:b/>
        </w:rPr>
        <w:t xml:space="preserve"> </w:t>
      </w:r>
      <w:r w:rsidRPr="00845C21">
        <w:rPr>
          <w:rFonts w:eastAsia="Calibri"/>
          <w:b/>
          <w:bCs/>
        </w:rPr>
        <w:t>ta' Novembru 2025 bil</w:t>
      </w:r>
      <w:r w:rsidRPr="00CE3598">
        <w:rPr>
          <w:rFonts w:eastAsia="Calibri"/>
          <w:b/>
          <w:bCs/>
        </w:rPr>
        <w:t>-ħsieb tal-</w:t>
      </w:r>
      <w:r w:rsidRPr="00845C21">
        <w:rPr>
          <w:rFonts w:eastAsia="Calibri"/>
          <w:b/>
          <w:bCs/>
        </w:rPr>
        <w:t>adozzjoni tar-Regolament (UE) 2025/...</w:t>
      </w:r>
      <w:r w:rsidRPr="00CE3598">
        <w:rPr>
          <w:rFonts w:eastAsia="Calibri"/>
          <w:b/>
          <w:bCs/>
        </w:rPr>
        <w:t xml:space="preserve"> </w:t>
      </w:r>
      <w:r w:rsidRPr="00CE3598">
        <w:rPr>
          <w:b/>
          <w:color w:val="000000"/>
          <w:szCs w:val="22"/>
        </w:rPr>
        <w:t>tal-Parlament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Pr="00845C21">
        <w:rPr>
          <w:b/>
          <w:szCs w:val="24"/>
          <w:lang w:eastAsia="en-US"/>
        </w:rPr>
        <w:t xml:space="preserve">li jemenda r-Regolamenti (UE) 2015/1017, (UE) 2021/523, (UE) 2021/695 u (UE) 2021/1153 fir-rigward taż-żieda fl-effiċjenza tal-garanzija tal-UE skont ir-Regolament (UE) 2021/523 u fir-rigward tas-simplifikazzjoni tar-rekwiżiti ta’ </w:t>
      </w:r>
      <w:proofErr w:type="spellStart"/>
      <w:r w:rsidRPr="00845C21">
        <w:rPr>
          <w:b/>
          <w:szCs w:val="24"/>
          <w:lang w:eastAsia="en-US"/>
        </w:rPr>
        <w:t>rappurtar</w:t>
      </w:r>
      <w:proofErr w:type="spellEnd"/>
    </w:p>
    <w:p w14:paraId="27B56F57" w14:textId="5C3AF555" w:rsidR="005248BA" w:rsidRPr="00211D6B" w:rsidRDefault="005248BA" w:rsidP="005248BA">
      <w:pPr>
        <w:spacing w:before="240"/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5248BA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</w:t>
      </w:r>
      <w:r w:rsidRPr="002800C0">
        <w:rPr>
          <w:i/>
        </w:rPr>
        <w:t>5</w:t>
      </w:r>
      <w:r>
        <w:rPr>
          <w:i/>
        </w:rPr>
        <w:t>/</w:t>
      </w:r>
      <w:r>
        <w:rPr>
          <w:i/>
        </w:rPr>
        <w:t>2005</w:t>
      </w:r>
      <w:r w:rsidRPr="0050178C">
        <w:rPr>
          <w:i/>
        </w:rPr>
        <w:t>.)</w:t>
      </w:r>
    </w:p>
    <w:sectPr w:rsidR="005248BA" w:rsidRPr="00211D6B" w:rsidSect="00705A6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3CA4B" w14:textId="77777777" w:rsidR="00A20EB1" w:rsidRPr="00705A6F" w:rsidRDefault="00A20EB1">
      <w:r w:rsidRPr="00705A6F">
        <w:separator/>
      </w:r>
    </w:p>
  </w:endnote>
  <w:endnote w:type="continuationSeparator" w:id="0">
    <w:p w14:paraId="51044241" w14:textId="77777777" w:rsidR="00A20EB1" w:rsidRPr="00705A6F" w:rsidRDefault="00A20EB1">
      <w:r w:rsidRPr="00705A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09726" w14:textId="77777777" w:rsidR="00597F81" w:rsidRPr="00705A6F" w:rsidRDefault="00597F81" w:rsidP="006D7D8F">
    <w:pPr>
      <w:pStyle w:val="EPFooter"/>
    </w:pPr>
    <w:r w:rsidRPr="00705A6F">
      <w:t>PE</w:t>
    </w:r>
    <w:r w:rsidRPr="00705A6F">
      <w:rPr>
        <w:rStyle w:val="HideTWBExt"/>
      </w:rPr>
      <w:t>&lt;</w:t>
    </w:r>
    <w:proofErr w:type="spellStart"/>
    <w:r w:rsidRPr="00705A6F">
      <w:rPr>
        <w:rStyle w:val="HideTWBExt"/>
      </w:rPr>
      <w:t>NoPE</w:t>
    </w:r>
    <w:proofErr w:type="spellEnd"/>
    <w:r w:rsidRPr="00705A6F">
      <w:rPr>
        <w:rStyle w:val="HideTWBExt"/>
      </w:rPr>
      <w:t>&gt;</w:t>
    </w:r>
    <w:r w:rsidRPr="00705A6F">
      <w:t>773.087</w:t>
    </w:r>
    <w:r w:rsidRPr="00705A6F">
      <w:rPr>
        <w:rStyle w:val="HideTWBExt"/>
      </w:rPr>
      <w:t>&lt;/</w:t>
    </w:r>
    <w:proofErr w:type="spellStart"/>
    <w:r w:rsidRPr="00705A6F">
      <w:rPr>
        <w:rStyle w:val="HideTWBExt"/>
      </w:rPr>
      <w:t>NoPE</w:t>
    </w:r>
    <w:proofErr w:type="spellEnd"/>
    <w:r w:rsidRPr="00705A6F">
      <w:rPr>
        <w:rStyle w:val="HideTWBExt"/>
      </w:rPr>
      <w:t>&gt;&lt;Version&gt;</w:t>
    </w:r>
    <w:r w:rsidRPr="00705A6F">
      <w:t>v01-00</w:t>
    </w:r>
    <w:r w:rsidRPr="00705A6F">
      <w:rPr>
        <w:rStyle w:val="HideTWBExt"/>
      </w:rPr>
      <w:t>&lt;/</w:t>
    </w:r>
    <w:proofErr w:type="spellStart"/>
    <w:r w:rsidRPr="00705A6F">
      <w:rPr>
        <w:rStyle w:val="HideTWBExt"/>
      </w:rPr>
      <w:t>Version</w:t>
    </w:r>
    <w:proofErr w:type="spellEnd"/>
    <w:r w:rsidRPr="00705A6F">
      <w:rPr>
        <w:rStyle w:val="HideTWBExt"/>
      </w:rPr>
      <w:t>&gt;</w:t>
    </w:r>
    <w:r w:rsidRPr="00705A6F">
      <w:tab/>
    </w:r>
    <w:r w:rsidRPr="00705A6F">
      <w:fldChar w:fldCharType="begin"/>
    </w:r>
    <w:r w:rsidRPr="00705A6F">
      <w:instrText xml:space="preserve"> PAGE  \* MERGEFORMAT </w:instrText>
    </w:r>
    <w:r w:rsidRPr="00705A6F">
      <w:fldChar w:fldCharType="separate"/>
    </w:r>
    <w:r w:rsidRPr="00705A6F">
      <w:rPr>
        <w:noProof/>
      </w:rPr>
      <w:t>52</w:t>
    </w:r>
    <w:r w:rsidRPr="00705A6F">
      <w:fldChar w:fldCharType="end"/>
    </w:r>
    <w:r w:rsidRPr="00705A6F">
      <w:t>/</w:t>
    </w:r>
    <w:r w:rsidR="005248BA">
      <w:fldChar w:fldCharType="begin"/>
    </w:r>
    <w:r w:rsidR="005248BA">
      <w:instrText xml:space="preserve"> NUMPAGES  \* MERGEFORMAT </w:instrText>
    </w:r>
    <w:r w:rsidR="005248BA">
      <w:fldChar w:fldCharType="separate"/>
    </w:r>
    <w:r w:rsidRPr="00705A6F">
      <w:rPr>
        <w:noProof/>
      </w:rPr>
      <w:t>58</w:t>
    </w:r>
    <w:r w:rsidR="005248BA">
      <w:rPr>
        <w:noProof/>
      </w:rPr>
      <w:fldChar w:fldCharType="end"/>
    </w:r>
    <w:r w:rsidRPr="00705A6F">
      <w:tab/>
    </w:r>
    <w:r w:rsidRPr="00705A6F">
      <w:rPr>
        <w:rStyle w:val="HideTWBExt"/>
      </w:rPr>
      <w:t>&lt;PathFdR&gt;</w:t>
    </w:r>
    <w:r w:rsidRPr="00705A6F">
      <w:t>RR\1323942MT.docx</w:t>
    </w:r>
    <w:r w:rsidRPr="00705A6F">
      <w:rPr>
        <w:rStyle w:val="HideTWBExt"/>
      </w:rPr>
      <w:t>&lt;/</w:t>
    </w:r>
    <w:proofErr w:type="spellStart"/>
    <w:r w:rsidRPr="00705A6F">
      <w:rPr>
        <w:rStyle w:val="HideTWBExt"/>
      </w:rPr>
      <w:t>PathFdR</w:t>
    </w:r>
    <w:proofErr w:type="spellEnd"/>
    <w:r w:rsidRPr="00705A6F">
      <w:rPr>
        <w:rStyle w:val="HideTWBExt"/>
      </w:rPr>
      <w:t>&gt;</w:t>
    </w:r>
  </w:p>
  <w:p w14:paraId="100367D9" w14:textId="77777777" w:rsidR="00597F81" w:rsidRPr="00705A6F" w:rsidRDefault="00597F81" w:rsidP="006D7D8F">
    <w:pPr>
      <w:pStyle w:val="EPFooter2"/>
    </w:pPr>
    <w:r w:rsidRPr="00705A6F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32824" w14:textId="1A95797B" w:rsidR="00597F81" w:rsidRPr="000D76AD" w:rsidRDefault="00597F81" w:rsidP="000F16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02A15" w14:textId="77777777" w:rsidR="00597F81" w:rsidRPr="00705A6F" w:rsidRDefault="00597F81" w:rsidP="006D7D8F">
    <w:pPr>
      <w:pStyle w:val="EPFooter"/>
    </w:pPr>
    <w:r w:rsidRPr="00705A6F">
      <w:rPr>
        <w:rStyle w:val="HideTWBExt"/>
      </w:rPr>
      <w:t>&lt;PathFdR&gt;</w:t>
    </w:r>
    <w:r w:rsidRPr="00705A6F">
      <w:t>RR\1323942MT.docx</w:t>
    </w:r>
    <w:r w:rsidRPr="00705A6F">
      <w:rPr>
        <w:rStyle w:val="HideTWBExt"/>
      </w:rPr>
      <w:t>&lt;/</w:t>
    </w:r>
    <w:proofErr w:type="spellStart"/>
    <w:r w:rsidRPr="00705A6F">
      <w:rPr>
        <w:rStyle w:val="HideTWBExt"/>
      </w:rPr>
      <w:t>PathFdR</w:t>
    </w:r>
    <w:proofErr w:type="spellEnd"/>
    <w:r w:rsidRPr="00705A6F">
      <w:rPr>
        <w:rStyle w:val="HideTWBExt"/>
      </w:rPr>
      <w:t>&gt;</w:t>
    </w:r>
    <w:r w:rsidRPr="00705A6F">
      <w:tab/>
    </w:r>
    <w:r w:rsidRPr="00705A6F">
      <w:tab/>
      <w:t>PE</w:t>
    </w:r>
    <w:r w:rsidRPr="00705A6F">
      <w:rPr>
        <w:rStyle w:val="HideTWBExt"/>
      </w:rPr>
      <w:t>&lt;</w:t>
    </w:r>
    <w:proofErr w:type="spellStart"/>
    <w:r w:rsidRPr="00705A6F">
      <w:rPr>
        <w:rStyle w:val="HideTWBExt"/>
      </w:rPr>
      <w:t>NoPE</w:t>
    </w:r>
    <w:proofErr w:type="spellEnd"/>
    <w:r w:rsidRPr="00705A6F">
      <w:rPr>
        <w:rStyle w:val="HideTWBExt"/>
      </w:rPr>
      <w:t>&gt;</w:t>
    </w:r>
    <w:r w:rsidRPr="00705A6F">
      <w:t>773.087</w:t>
    </w:r>
    <w:r w:rsidRPr="00705A6F">
      <w:rPr>
        <w:rStyle w:val="HideTWBExt"/>
      </w:rPr>
      <w:t>&lt;/</w:t>
    </w:r>
    <w:proofErr w:type="spellStart"/>
    <w:r w:rsidRPr="00705A6F">
      <w:rPr>
        <w:rStyle w:val="HideTWBExt"/>
      </w:rPr>
      <w:t>NoPE</w:t>
    </w:r>
    <w:proofErr w:type="spellEnd"/>
    <w:r w:rsidRPr="00705A6F">
      <w:rPr>
        <w:rStyle w:val="HideTWBExt"/>
      </w:rPr>
      <w:t>&gt;&lt;Version&gt;</w:t>
    </w:r>
    <w:r w:rsidRPr="00705A6F">
      <w:t>v01-00</w:t>
    </w:r>
    <w:r w:rsidRPr="00705A6F">
      <w:rPr>
        <w:rStyle w:val="HideTWBExt"/>
      </w:rPr>
      <w:t>&lt;/</w:t>
    </w:r>
    <w:proofErr w:type="spellStart"/>
    <w:r w:rsidRPr="00705A6F">
      <w:rPr>
        <w:rStyle w:val="HideTWBExt"/>
      </w:rPr>
      <w:t>Version</w:t>
    </w:r>
    <w:proofErr w:type="spellEnd"/>
    <w:r w:rsidRPr="00705A6F">
      <w:rPr>
        <w:rStyle w:val="HideTWBExt"/>
      </w:rPr>
      <w:t>&gt;</w:t>
    </w:r>
  </w:p>
  <w:p w14:paraId="575B29DD" w14:textId="77777777" w:rsidR="00597F81" w:rsidRPr="00705A6F" w:rsidRDefault="00597F81" w:rsidP="006D7D8F">
    <w:pPr>
      <w:pStyle w:val="EPFooter2"/>
    </w:pPr>
    <w:r w:rsidRPr="00705A6F">
      <w:t>MT</w:t>
    </w:r>
    <w:r w:rsidRPr="00705A6F">
      <w:tab/>
    </w:r>
    <w:r w:rsidRPr="00705A6F">
      <w:rPr>
        <w:b w:val="0"/>
        <w:i/>
        <w:color w:val="C0C0C0"/>
        <w:sz w:val="22"/>
      </w:rPr>
      <w:t xml:space="preserve">Magħquda </w:t>
    </w:r>
    <w:proofErr w:type="spellStart"/>
    <w:r w:rsidRPr="00705A6F">
      <w:rPr>
        <w:b w:val="0"/>
        <w:i/>
        <w:color w:val="C0C0C0"/>
        <w:sz w:val="22"/>
      </w:rPr>
      <w:t>fid-diversità</w:t>
    </w:r>
    <w:proofErr w:type="spellEnd"/>
    <w:r w:rsidRPr="00705A6F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91240" w14:textId="77777777" w:rsidR="00064002" w:rsidRPr="00705A6F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735DF" w14:textId="77777777" w:rsidR="00064002" w:rsidRPr="00705A6F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FD6A0" w14:textId="77777777" w:rsidR="00064002" w:rsidRPr="00705A6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9831C" w14:textId="77777777" w:rsidR="00A20EB1" w:rsidRPr="00705A6F" w:rsidRDefault="00A20EB1">
      <w:r w:rsidRPr="00705A6F">
        <w:separator/>
      </w:r>
    </w:p>
  </w:footnote>
  <w:footnote w:type="continuationSeparator" w:id="0">
    <w:p w14:paraId="0CCBF833" w14:textId="77777777" w:rsidR="00A20EB1" w:rsidRPr="00705A6F" w:rsidRDefault="00A20EB1">
      <w:r w:rsidRPr="00705A6F">
        <w:continuationSeparator/>
      </w:r>
    </w:p>
  </w:footnote>
  <w:footnote w:id="1">
    <w:p w14:paraId="5DB7C6E0" w14:textId="23DD9D2D" w:rsidR="00597F81" w:rsidRPr="00845C21" w:rsidRDefault="00597F81" w:rsidP="000F166E">
      <w:pPr>
        <w:pStyle w:val="FootnoteText"/>
        <w:ind w:left="709" w:hanging="709"/>
        <w:rPr>
          <w:sz w:val="24"/>
          <w:szCs w:val="24"/>
          <w:lang w:val="mt-MT"/>
        </w:rPr>
      </w:pPr>
      <w:r w:rsidRPr="00845C21">
        <w:rPr>
          <w:rStyle w:val="FootnoteReference"/>
          <w:sz w:val="24"/>
          <w:szCs w:val="24"/>
          <w:lang w:val="mt-MT"/>
        </w:rPr>
        <w:footnoteRef/>
      </w:r>
      <w:r w:rsidR="00705A6F" w:rsidRPr="00845C21">
        <w:rPr>
          <w:sz w:val="24"/>
          <w:szCs w:val="24"/>
          <w:lang w:val="mt-MT"/>
        </w:rPr>
        <w:t xml:space="preserve"> </w:t>
      </w:r>
      <w:r w:rsidR="00705A6F" w:rsidRPr="00845C21">
        <w:rPr>
          <w:sz w:val="24"/>
          <w:szCs w:val="24"/>
          <w:lang w:val="mt-MT"/>
        </w:rPr>
        <w:tab/>
      </w:r>
      <w:r w:rsidR="00845C21" w:rsidRPr="00845C21">
        <w:rPr>
          <w:sz w:val="24"/>
          <w:szCs w:val="24"/>
          <w:lang w:val="mt-MT"/>
        </w:rPr>
        <w:t xml:space="preserve">ĠU C, C/2025/3199, 2.7.2025, ELI: </w:t>
      </w:r>
      <w:hyperlink r:id="rId1" w:history="1">
        <w:r w:rsidR="00845C21" w:rsidRPr="00845C21">
          <w:rPr>
            <w:rStyle w:val="Hyperlink"/>
            <w:sz w:val="24"/>
            <w:szCs w:val="24"/>
            <w:lang w:val="mt-MT"/>
          </w:rPr>
          <w:t>http://data.europa.eu/eli/C/2025/3199/oj</w:t>
        </w:r>
      </w:hyperlink>
      <w:r w:rsidR="00845C21" w:rsidRPr="00845C21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B7E69" w14:textId="77777777" w:rsidR="00064002" w:rsidRPr="00705A6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008CD" w14:textId="77777777" w:rsidR="00064002" w:rsidRPr="00705A6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3420E" w14:textId="77777777" w:rsidR="00064002" w:rsidRPr="00705A6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68404033">
    <w:abstractNumId w:val="9"/>
  </w:num>
  <w:num w:numId="2" w16cid:durableId="1771462161">
    <w:abstractNumId w:val="9"/>
  </w:num>
  <w:num w:numId="3" w16cid:durableId="1795560000">
    <w:abstractNumId w:val="7"/>
  </w:num>
  <w:num w:numId="4" w16cid:durableId="2104182577">
    <w:abstractNumId w:val="7"/>
  </w:num>
  <w:num w:numId="5" w16cid:durableId="1687517269">
    <w:abstractNumId w:val="6"/>
  </w:num>
  <w:num w:numId="6" w16cid:durableId="10493419">
    <w:abstractNumId w:val="6"/>
  </w:num>
  <w:num w:numId="7" w16cid:durableId="1539781290">
    <w:abstractNumId w:val="5"/>
  </w:num>
  <w:num w:numId="8" w16cid:durableId="1859539728">
    <w:abstractNumId w:val="5"/>
  </w:num>
  <w:num w:numId="9" w16cid:durableId="114521889">
    <w:abstractNumId w:val="4"/>
  </w:num>
  <w:num w:numId="10" w16cid:durableId="722677884">
    <w:abstractNumId w:val="4"/>
  </w:num>
  <w:num w:numId="11" w16cid:durableId="1871066936">
    <w:abstractNumId w:val="8"/>
  </w:num>
  <w:num w:numId="12" w16cid:durableId="384762964">
    <w:abstractNumId w:val="8"/>
  </w:num>
  <w:num w:numId="13" w16cid:durableId="757949884">
    <w:abstractNumId w:val="3"/>
  </w:num>
  <w:num w:numId="14" w16cid:durableId="1136723178">
    <w:abstractNumId w:val="3"/>
  </w:num>
  <w:num w:numId="15" w16cid:durableId="891305817">
    <w:abstractNumId w:val="2"/>
  </w:num>
  <w:num w:numId="16" w16cid:durableId="1716998633">
    <w:abstractNumId w:val="2"/>
  </w:num>
  <w:num w:numId="17" w16cid:durableId="248854997">
    <w:abstractNumId w:val="1"/>
  </w:num>
  <w:num w:numId="18" w16cid:durableId="104472475">
    <w:abstractNumId w:val="1"/>
  </w:num>
  <w:num w:numId="19" w16cid:durableId="617878831">
    <w:abstractNumId w:val="0"/>
  </w:num>
  <w:num w:numId="20" w16cid:durableId="469370208">
    <w:abstractNumId w:val="0"/>
  </w:num>
  <w:num w:numId="21" w16cid:durableId="1954634544">
    <w:abstractNumId w:val="9"/>
  </w:num>
  <w:num w:numId="22" w16cid:durableId="2026058056">
    <w:abstractNumId w:val="7"/>
  </w:num>
  <w:num w:numId="23" w16cid:durableId="459421151">
    <w:abstractNumId w:val="6"/>
  </w:num>
  <w:num w:numId="24" w16cid:durableId="1188831900">
    <w:abstractNumId w:val="5"/>
  </w:num>
  <w:num w:numId="25" w16cid:durableId="1414938608">
    <w:abstractNumId w:val="4"/>
  </w:num>
  <w:num w:numId="26" w16cid:durableId="271717232">
    <w:abstractNumId w:val="8"/>
  </w:num>
  <w:num w:numId="27" w16cid:durableId="199630026">
    <w:abstractNumId w:val="3"/>
  </w:num>
  <w:num w:numId="28" w16cid:durableId="972448113">
    <w:abstractNumId w:val="2"/>
  </w:num>
  <w:num w:numId="29" w16cid:durableId="1079790932">
    <w:abstractNumId w:val="1"/>
  </w:num>
  <w:num w:numId="30" w16cid:durableId="623780119">
    <w:abstractNumId w:val="0"/>
  </w:num>
  <w:num w:numId="31" w16cid:durableId="253517225">
    <w:abstractNumId w:val="9"/>
  </w:num>
  <w:num w:numId="32" w16cid:durableId="1810437151">
    <w:abstractNumId w:val="7"/>
  </w:num>
  <w:num w:numId="33" w16cid:durableId="6029379">
    <w:abstractNumId w:val="6"/>
  </w:num>
  <w:num w:numId="34" w16cid:durableId="1474177236">
    <w:abstractNumId w:val="5"/>
  </w:num>
  <w:num w:numId="35" w16cid:durableId="1782414065">
    <w:abstractNumId w:val="4"/>
  </w:num>
  <w:num w:numId="36" w16cid:durableId="1159154485">
    <w:abstractNumId w:val="8"/>
  </w:num>
  <w:num w:numId="37" w16cid:durableId="1314409739">
    <w:abstractNumId w:val="3"/>
  </w:num>
  <w:num w:numId="38" w16cid:durableId="1346057286">
    <w:abstractNumId w:val="2"/>
  </w:num>
  <w:num w:numId="39" w16cid:durableId="1408727092">
    <w:abstractNumId w:val="1"/>
  </w:num>
  <w:num w:numId="40" w16cid:durableId="1713307752">
    <w:abstractNumId w:val="0"/>
  </w:num>
  <w:num w:numId="41" w16cid:durableId="70851446">
    <w:abstractNumId w:val="10"/>
  </w:num>
  <w:num w:numId="42" w16cid:durableId="1397047486">
    <w:abstractNumId w:val="10"/>
  </w:num>
  <w:num w:numId="43" w16cid:durableId="961693923">
    <w:abstractNumId w:val="10"/>
  </w:num>
  <w:num w:numId="44" w16cid:durableId="8015781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MT"/>
    <w:docVar w:name="dvnumam" w:val="25"/>
    <w:docVar w:name="dvpe" w:val="773.087"/>
    <w:docVar w:name="dvrapporteur" w:val="Rapporteur: "/>
    <w:docVar w:name="dvstar" w:val="***I"/>
    <w:docVar w:name="dvtitre" w:val="Riżoluzzjoni leġiżlattiva tal-Parlament Ewropew tal-25 ta' Novembru 2025 dwar il-proposta għal regolament tal-Parlament Ewropew u tal-Kunsill li jemenda r-Regolamenti (UE) 2015/1017, (UE) 2021/523, (UE) 2021/695 u (UE) 2021/1153 fir-rigward taż-żieda fl-effiċjenza tal-garanzija tal-UE skont ir-Regolament (UE) 2021/523 u fir-rigward tas-simplifikazzjoni tar-rekwiżiti tar-rappurtar(COM(2025)0084 – C10-0036/2025 – 2025/0040(COD))"/>
  </w:docVars>
  <w:rsids>
    <w:rsidRoot w:val="00A20EB1"/>
    <w:rsid w:val="00002272"/>
    <w:rsid w:val="00064002"/>
    <w:rsid w:val="000677B9"/>
    <w:rsid w:val="000831BA"/>
    <w:rsid w:val="000A42CC"/>
    <w:rsid w:val="000D76AD"/>
    <w:rsid w:val="000E7DD9"/>
    <w:rsid w:val="000F166E"/>
    <w:rsid w:val="0010095E"/>
    <w:rsid w:val="00125B37"/>
    <w:rsid w:val="001349DE"/>
    <w:rsid w:val="00187494"/>
    <w:rsid w:val="001F32AE"/>
    <w:rsid w:val="00211D6B"/>
    <w:rsid w:val="002767FF"/>
    <w:rsid w:val="002B18FE"/>
    <w:rsid w:val="002B5493"/>
    <w:rsid w:val="002E1E8F"/>
    <w:rsid w:val="00343214"/>
    <w:rsid w:val="00361C00"/>
    <w:rsid w:val="00395FA1"/>
    <w:rsid w:val="003E15D4"/>
    <w:rsid w:val="00411CCE"/>
    <w:rsid w:val="004142D8"/>
    <w:rsid w:val="0041666E"/>
    <w:rsid w:val="00421060"/>
    <w:rsid w:val="00443011"/>
    <w:rsid w:val="00471C19"/>
    <w:rsid w:val="004867E3"/>
    <w:rsid w:val="00494A28"/>
    <w:rsid w:val="004C0004"/>
    <w:rsid w:val="004C5D52"/>
    <w:rsid w:val="0050519A"/>
    <w:rsid w:val="005072A1"/>
    <w:rsid w:val="00514517"/>
    <w:rsid w:val="0052459E"/>
    <w:rsid w:val="005248BA"/>
    <w:rsid w:val="00545827"/>
    <w:rsid w:val="00560270"/>
    <w:rsid w:val="00597F81"/>
    <w:rsid w:val="005C2568"/>
    <w:rsid w:val="005C6158"/>
    <w:rsid w:val="005F1B17"/>
    <w:rsid w:val="006037C0"/>
    <w:rsid w:val="00623731"/>
    <w:rsid w:val="006631B6"/>
    <w:rsid w:val="00680577"/>
    <w:rsid w:val="006F74FA"/>
    <w:rsid w:val="00705A6F"/>
    <w:rsid w:val="00715593"/>
    <w:rsid w:val="00731ADD"/>
    <w:rsid w:val="00734777"/>
    <w:rsid w:val="00747932"/>
    <w:rsid w:val="00751A4A"/>
    <w:rsid w:val="00756632"/>
    <w:rsid w:val="00762C74"/>
    <w:rsid w:val="00785457"/>
    <w:rsid w:val="00786EC0"/>
    <w:rsid w:val="007D1690"/>
    <w:rsid w:val="007E22AD"/>
    <w:rsid w:val="00817416"/>
    <w:rsid w:val="00823B86"/>
    <w:rsid w:val="00840CF1"/>
    <w:rsid w:val="00842779"/>
    <w:rsid w:val="00845C21"/>
    <w:rsid w:val="00865F67"/>
    <w:rsid w:val="00881A7B"/>
    <w:rsid w:val="008840E5"/>
    <w:rsid w:val="00887B3E"/>
    <w:rsid w:val="008C2AC6"/>
    <w:rsid w:val="008E657C"/>
    <w:rsid w:val="008E75DF"/>
    <w:rsid w:val="008F681A"/>
    <w:rsid w:val="00930C23"/>
    <w:rsid w:val="0093193B"/>
    <w:rsid w:val="009509D8"/>
    <w:rsid w:val="00950B64"/>
    <w:rsid w:val="00981893"/>
    <w:rsid w:val="00A1687D"/>
    <w:rsid w:val="00A20EB1"/>
    <w:rsid w:val="00A43E52"/>
    <w:rsid w:val="00A43FB0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2812"/>
    <w:rsid w:val="00D834A0"/>
    <w:rsid w:val="00D872DF"/>
    <w:rsid w:val="00D91E21"/>
    <w:rsid w:val="00DA7FCD"/>
    <w:rsid w:val="00E365E1"/>
    <w:rsid w:val="00E571E2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495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72CF60"/>
  <w15:chartTrackingRefBased/>
  <w15:docId w15:val="{85D114EB-50A8-4248-81C0-2C474C7CB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97F8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97F8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97F8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97F8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97F8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97F81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597F81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597F81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597F81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597F81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97F8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97F81"/>
    <w:pPr>
      <w:spacing w:before="480" w:after="240"/>
    </w:pPr>
  </w:style>
  <w:style w:type="paragraph" w:customStyle="1" w:styleId="TOCPage">
    <w:name w:val="TOC Page"/>
    <w:basedOn w:val="Normal"/>
    <w:next w:val="TOC1"/>
    <w:rsid w:val="00597F81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597F8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97F81"/>
    <w:rPr>
      <w:b/>
    </w:rPr>
  </w:style>
  <w:style w:type="paragraph" w:customStyle="1" w:styleId="NormalBold12a">
    <w:name w:val="NormalBold12a"/>
    <w:basedOn w:val="Normal"/>
    <w:rsid w:val="00597F8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97F8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97F81"/>
    <w:pPr>
      <w:spacing w:after="480"/>
      <w:ind w:left="1417"/>
    </w:pPr>
  </w:style>
  <w:style w:type="paragraph" w:customStyle="1" w:styleId="CoverNormal">
    <w:name w:val="CoverNormal"/>
    <w:basedOn w:val="Normal"/>
    <w:rsid w:val="00597F81"/>
    <w:pPr>
      <w:ind w:left="1418"/>
    </w:pPr>
  </w:style>
  <w:style w:type="paragraph" w:customStyle="1" w:styleId="NormalCenter12a">
    <w:name w:val="NormalCenter12a"/>
    <w:basedOn w:val="Normal"/>
    <w:rsid w:val="00597F81"/>
    <w:pPr>
      <w:spacing w:after="240"/>
      <w:jc w:val="center"/>
    </w:pPr>
  </w:style>
  <w:style w:type="paragraph" w:customStyle="1" w:styleId="CoverReference">
    <w:name w:val="CoverReference"/>
    <w:basedOn w:val="Normal"/>
    <w:rsid w:val="00597F8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97F8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97F8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97F81"/>
    <w:pPr>
      <w:spacing w:before="240" w:after="1200"/>
    </w:pPr>
  </w:style>
  <w:style w:type="paragraph" w:styleId="Header">
    <w:name w:val="header"/>
    <w:basedOn w:val="Normal"/>
    <w:link w:val="HeaderChar"/>
    <w:rsid w:val="00597F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97F81"/>
    <w:rPr>
      <w:sz w:val="24"/>
      <w:lang w:val="mt-MT"/>
    </w:rPr>
  </w:style>
  <w:style w:type="paragraph" w:customStyle="1" w:styleId="AmNumberTabs">
    <w:name w:val="AmNumberTabs"/>
    <w:basedOn w:val="Normal"/>
    <w:rsid w:val="00597F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597F81"/>
    <w:pPr>
      <w:spacing w:before="720" w:after="240"/>
      <w:jc w:val="center"/>
    </w:pPr>
  </w:style>
  <w:style w:type="paragraph" w:customStyle="1" w:styleId="EPBody">
    <w:name w:val="EPBody"/>
    <w:basedOn w:val="Normal"/>
    <w:rsid w:val="00597F8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97F8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597F8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97F8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597F81"/>
    <w:pPr>
      <w:ind w:left="0" w:firstLine="0"/>
    </w:pPr>
  </w:style>
  <w:style w:type="character" w:customStyle="1" w:styleId="NormalBoldChar">
    <w:name w:val="NormalBold Char"/>
    <w:basedOn w:val="DefaultParagraphFont"/>
    <w:link w:val="NormalBold"/>
    <w:rsid w:val="00597F81"/>
    <w:rPr>
      <w:b/>
      <w:sz w:val="24"/>
      <w:lang w:val="mt-MT"/>
    </w:rPr>
  </w:style>
  <w:style w:type="paragraph" w:customStyle="1" w:styleId="Normal24a">
    <w:name w:val="Normal24a"/>
    <w:basedOn w:val="Normal"/>
    <w:rsid w:val="00597F81"/>
    <w:pPr>
      <w:spacing w:after="480"/>
    </w:pPr>
  </w:style>
  <w:style w:type="paragraph" w:customStyle="1" w:styleId="NormalBoldCenter">
    <w:name w:val="NormalBoldCenter"/>
    <w:basedOn w:val="Normal"/>
    <w:rsid w:val="00597F81"/>
    <w:pPr>
      <w:jc w:val="center"/>
    </w:pPr>
    <w:rPr>
      <w:b/>
    </w:rPr>
  </w:style>
  <w:style w:type="paragraph" w:customStyle="1" w:styleId="Footprint12b">
    <w:name w:val="Footprint12b"/>
    <w:basedOn w:val="Normal"/>
    <w:rsid w:val="00597F81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97F81"/>
    <w:rPr>
      <w:szCs w:val="24"/>
    </w:rPr>
  </w:style>
  <w:style w:type="character" w:styleId="Hyperlink">
    <w:name w:val="Hyperlink"/>
    <w:basedOn w:val="DefaultParagraphFont"/>
    <w:uiPriority w:val="99"/>
    <w:rsid w:val="00597F81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597F81"/>
    <w:pPr>
      <w:spacing w:after="240"/>
    </w:pPr>
  </w:style>
  <w:style w:type="paragraph" w:customStyle="1" w:styleId="PageHeadingNotTOC">
    <w:name w:val="PageHeadingNotTOC"/>
    <w:basedOn w:val="Normal"/>
    <w:rsid w:val="00597F8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97F81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6">
    <w:name w:val="Normal6"/>
    <w:basedOn w:val="Normal"/>
    <w:link w:val="Normal6Char"/>
    <w:rsid w:val="00597F81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597F81"/>
    <w:rPr>
      <w:sz w:val="24"/>
      <w:lang w:val="mt-MT"/>
    </w:rPr>
  </w:style>
  <w:style w:type="paragraph" w:customStyle="1" w:styleId="ColumnHeading">
    <w:name w:val="ColumnHeading"/>
    <w:basedOn w:val="Normal"/>
    <w:rsid w:val="00597F81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97F8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RollCallSymbols14pt">
    <w:name w:val="RollCallSymbols14pt"/>
    <w:basedOn w:val="Normal"/>
    <w:rsid w:val="00597F8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97F8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97F8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97F81"/>
    <w:pPr>
      <w:spacing w:before="120" w:after="120"/>
    </w:pPr>
    <w:rPr>
      <w:snapToGrid w:val="0"/>
      <w:sz w:val="16"/>
      <w:lang w:eastAsia="en-US"/>
    </w:rPr>
  </w:style>
  <w:style w:type="paragraph" w:customStyle="1" w:styleId="Normal6a">
    <w:name w:val="Normal6a"/>
    <w:basedOn w:val="Normal"/>
    <w:rsid w:val="00597F81"/>
    <w:pPr>
      <w:spacing w:after="120"/>
    </w:pPr>
  </w:style>
  <w:style w:type="paragraph" w:customStyle="1" w:styleId="AmCrossRef">
    <w:name w:val="AmCrossRef"/>
    <w:basedOn w:val="Normal"/>
    <w:rsid w:val="00597F81"/>
    <w:pPr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597F81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597F81"/>
    <w:pPr>
      <w:spacing w:before="240"/>
    </w:pPr>
    <w:rPr>
      <w:b/>
    </w:rPr>
  </w:style>
  <w:style w:type="paragraph" w:customStyle="1" w:styleId="CrossRef">
    <w:name w:val="CrossRef"/>
    <w:basedOn w:val="Normal"/>
    <w:rsid w:val="00597F81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rsid w:val="00597F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97F81"/>
    <w:rPr>
      <w:sz w:val="24"/>
      <w:lang w:val="mt-MT"/>
    </w:rPr>
  </w:style>
  <w:style w:type="paragraph" w:styleId="Revision">
    <w:name w:val="Revision"/>
    <w:hidden/>
    <w:uiPriority w:val="99"/>
    <w:semiHidden/>
    <w:rsid w:val="00823B86"/>
    <w:rPr>
      <w:sz w:val="24"/>
      <w:lang w:val="mt-MT"/>
    </w:rPr>
  </w:style>
  <w:style w:type="paragraph" w:customStyle="1" w:styleId="FootnoteTextForceStyle">
    <w:name w:val="Footnote Text ForceStyle"/>
    <w:rsid w:val="00845C21"/>
    <w:pPr>
      <w:keepLines/>
      <w:widowControl w:val="0"/>
      <w:spacing w:line="240" w:lineRule="exact"/>
      <w:ind w:left="850" w:hanging="850"/>
    </w:pPr>
    <w:rPr>
      <w:sz w:val="24"/>
      <w:lang w:val="mt-MT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45C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348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2026-01-30T09:45:00Z</dcterms:created>
  <dcterms:modified xsi:type="dcterms:W3CDTF">2026-01-30T09:45:00Z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P10_TA(2025)0296_</vt:lpwstr>
  </property>
  <property fmtid="{D5CDD505-2E9C-101B-9397-08002B2CF9AE}" pid="4" name="&lt;Type&gt;">
    <vt:lpwstr>RR</vt:lpwstr>
  </property>
</Properties>
</file>