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333B6" w14:paraId="7E17CE18" w14:textId="77777777" w:rsidTr="0010095E">
        <w:trPr>
          <w:trHeight w:hRule="exact" w:val="1418"/>
        </w:trPr>
        <w:tc>
          <w:tcPr>
            <w:tcW w:w="6804" w:type="dxa"/>
            <w:shd w:val="clear" w:color="auto" w:fill="auto"/>
            <w:vAlign w:val="center"/>
          </w:tcPr>
          <w:p w14:paraId="2AF71B4B" w14:textId="77777777" w:rsidR="00751A4A" w:rsidRPr="000333B6" w:rsidRDefault="00D366A2" w:rsidP="0010095E">
            <w:pPr>
              <w:pStyle w:val="EPName"/>
            </w:pPr>
            <w:r w:rsidRPr="000333B6">
              <w:t>Europees Parlement</w:t>
            </w:r>
          </w:p>
          <w:p w14:paraId="64DEDF44" w14:textId="77777777" w:rsidR="00751A4A" w:rsidRPr="000333B6" w:rsidRDefault="005F1B17" w:rsidP="005F1B17">
            <w:pPr>
              <w:pStyle w:val="EPTerm"/>
              <w:rPr>
                <w:rStyle w:val="HideTWBExt"/>
                <w:noProof w:val="0"/>
                <w:vanish w:val="0"/>
                <w:color w:val="auto"/>
              </w:rPr>
            </w:pPr>
            <w:r w:rsidRPr="000333B6">
              <w:t>2024</w:t>
            </w:r>
            <w:r w:rsidR="00817416" w:rsidRPr="000333B6">
              <w:t>-202</w:t>
            </w:r>
            <w:r w:rsidRPr="000333B6">
              <w:t>9</w:t>
            </w:r>
          </w:p>
        </w:tc>
        <w:tc>
          <w:tcPr>
            <w:tcW w:w="2268" w:type="dxa"/>
            <w:shd w:val="clear" w:color="auto" w:fill="auto"/>
          </w:tcPr>
          <w:p w14:paraId="5528176F" w14:textId="77777777" w:rsidR="00751A4A" w:rsidRPr="000333B6" w:rsidRDefault="00187494" w:rsidP="0010095E">
            <w:pPr>
              <w:pStyle w:val="EPLogo"/>
            </w:pPr>
            <w:r w:rsidRPr="000333B6">
              <w:rPr>
                <w:noProof/>
                <w:lang w:eastAsia="ja-JP"/>
              </w:rPr>
              <w:drawing>
                <wp:inline distT="0" distB="0" distL="0" distR="0" wp14:anchorId="34B3FF8C" wp14:editId="785F736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24A6793" w14:textId="77777777" w:rsidR="00D058B8" w:rsidRPr="000333B6" w:rsidRDefault="00D058B8" w:rsidP="004C5D52">
      <w:pPr>
        <w:pStyle w:val="LineTop"/>
      </w:pPr>
    </w:p>
    <w:p w14:paraId="2B747228" w14:textId="77777777" w:rsidR="00680577" w:rsidRPr="000333B6" w:rsidRDefault="00D366A2" w:rsidP="00680577">
      <w:pPr>
        <w:pStyle w:val="EPBodyTA1"/>
      </w:pPr>
      <w:r w:rsidRPr="000333B6">
        <w:t>AANGENOMEN TEKSTEN</w:t>
      </w:r>
    </w:p>
    <w:p w14:paraId="2D4C36D5" w14:textId="77777777" w:rsidR="00D058B8" w:rsidRPr="000333B6" w:rsidRDefault="00D058B8" w:rsidP="00D058B8">
      <w:pPr>
        <w:pStyle w:val="LineBottom"/>
      </w:pPr>
    </w:p>
    <w:p w14:paraId="5FE05C19" w14:textId="5C86AA4F" w:rsidR="00D366A2" w:rsidRPr="000333B6" w:rsidRDefault="00D366A2" w:rsidP="00D366A2">
      <w:pPr>
        <w:pStyle w:val="ATHeading1"/>
      </w:pPr>
      <w:bookmarkStart w:id="0" w:name="TANumber"/>
      <w:r w:rsidRPr="000333B6">
        <w:t>P10_TA(2025)0</w:t>
      </w:r>
      <w:r w:rsidR="000333B6" w:rsidRPr="000333B6">
        <w:t>296</w:t>
      </w:r>
      <w:bookmarkEnd w:id="0"/>
    </w:p>
    <w:p w14:paraId="3D3A194D" w14:textId="77777777" w:rsidR="00D366A2" w:rsidRPr="000333B6" w:rsidRDefault="00D366A2" w:rsidP="00D366A2">
      <w:pPr>
        <w:pStyle w:val="ATHeading2"/>
      </w:pPr>
      <w:bookmarkStart w:id="1" w:name="title"/>
      <w:r w:rsidRPr="000333B6">
        <w:t>Het verhogen van de efficiëntie van de EU-garantie uit hoofde van de InvestEU-verordening en het vereenvoudigen van de verslagleggingsvereisten</w:t>
      </w:r>
      <w:bookmarkEnd w:id="1"/>
    </w:p>
    <w:p w14:paraId="78E9803A" w14:textId="77777777" w:rsidR="00D366A2" w:rsidRPr="000333B6" w:rsidRDefault="00D366A2" w:rsidP="00D366A2">
      <w:pPr>
        <w:rPr>
          <w:i/>
          <w:vanish/>
        </w:rPr>
      </w:pPr>
      <w:r w:rsidRPr="000333B6">
        <w:rPr>
          <w:i/>
        </w:rPr>
        <w:fldChar w:fldCharType="begin"/>
      </w:r>
      <w:r w:rsidRPr="000333B6">
        <w:rPr>
          <w:i/>
        </w:rPr>
        <w:instrText xml:space="preserve"> TC"(</w:instrText>
      </w:r>
      <w:bookmarkStart w:id="2" w:name="DocNumber"/>
      <w:r w:rsidRPr="000333B6">
        <w:rPr>
          <w:i/>
        </w:rPr>
        <w:instrText>A10-0117/2025</w:instrText>
      </w:r>
      <w:bookmarkEnd w:id="2"/>
      <w:r w:rsidRPr="000333B6">
        <w:rPr>
          <w:i/>
        </w:rPr>
        <w:instrText xml:space="preserve"> - Rapporteurs: Aura Salla, Irene Tinagli)"\l3 \n&gt; \* MERGEFORMAT </w:instrText>
      </w:r>
      <w:r w:rsidRPr="000333B6">
        <w:rPr>
          <w:i/>
        </w:rPr>
        <w:fldChar w:fldCharType="end"/>
      </w:r>
    </w:p>
    <w:p w14:paraId="30E9286F" w14:textId="77777777" w:rsidR="00D366A2" w:rsidRPr="000333B6" w:rsidRDefault="00D366A2" w:rsidP="00D366A2">
      <w:pPr>
        <w:rPr>
          <w:vanish/>
        </w:rPr>
      </w:pPr>
      <w:bookmarkStart w:id="3" w:name="Commission"/>
      <w:r w:rsidRPr="000333B6">
        <w:rPr>
          <w:vanish/>
        </w:rPr>
        <w:t>Begrotingscommissie, Commissie economische en monetaire zaken</w:t>
      </w:r>
      <w:bookmarkEnd w:id="3"/>
    </w:p>
    <w:p w14:paraId="7BC0EB6F" w14:textId="77777777" w:rsidR="00D366A2" w:rsidRPr="000333B6" w:rsidRDefault="00D366A2" w:rsidP="00D366A2">
      <w:pPr>
        <w:rPr>
          <w:vanish/>
        </w:rPr>
      </w:pPr>
      <w:bookmarkStart w:id="4" w:name="PE"/>
      <w:r w:rsidRPr="000333B6">
        <w:rPr>
          <w:vanish/>
        </w:rPr>
        <w:t>PE773.087</w:t>
      </w:r>
      <w:bookmarkEnd w:id="4"/>
    </w:p>
    <w:p w14:paraId="3314FB9C" w14:textId="7A64D140" w:rsidR="00D366A2" w:rsidRPr="000333B6" w:rsidRDefault="00D366A2" w:rsidP="00D366A2">
      <w:pPr>
        <w:pStyle w:val="ATHeading3"/>
      </w:pPr>
      <w:bookmarkStart w:id="5" w:name="Sujet"/>
      <w:r w:rsidRPr="000333B6">
        <w:t xml:space="preserve">Wetgevingsresolutie van het Europees Parlement van </w:t>
      </w:r>
      <w:r w:rsidR="002810E9" w:rsidRPr="000333B6">
        <w:t xml:space="preserve">26 </w:t>
      </w:r>
      <w:r w:rsidRPr="000333B6">
        <w:t>november 2025 inzake het voorstel voor een verordening van het Europees Parlement en de Raad tot wijziging van de Verordeningen (EU) 2015/1017, (EU) 2021/523, (EU) 2021/695 en (EU) 2021/1153 wat betreft het verhogen van de efficiëntie van de EU-garantie uit hoofde van Verordening (EU) 2021/523 en het vereenvoudigen van de verslagleggingsvereisten</w:t>
      </w:r>
      <w:bookmarkEnd w:id="5"/>
      <w:r w:rsidRPr="000333B6">
        <w:t xml:space="preserve"> </w:t>
      </w:r>
      <w:bookmarkStart w:id="6" w:name="References"/>
      <w:r w:rsidRPr="000333B6">
        <w:t>(COM(2025)0084 – C10-0036/2025 – 2025/0040(COD))</w:t>
      </w:r>
      <w:bookmarkEnd w:id="6"/>
    </w:p>
    <w:p w14:paraId="470553EE" w14:textId="77777777" w:rsidR="00D366A2" w:rsidRPr="000333B6" w:rsidRDefault="00D366A2" w:rsidP="00D366A2"/>
    <w:p w14:paraId="047131E7" w14:textId="77777777" w:rsidR="00CA2C6C" w:rsidRPr="000333B6" w:rsidRDefault="00CA2C6C" w:rsidP="00CA2C6C">
      <w:pPr>
        <w:pStyle w:val="NormalBold"/>
      </w:pPr>
      <w:bookmarkStart w:id="7" w:name="TextBodyBegin"/>
      <w:bookmarkEnd w:id="7"/>
      <w:r w:rsidRPr="000333B6">
        <w:t>(Gewone wetgevingsprocedure: eerste lezing)</w:t>
      </w:r>
    </w:p>
    <w:p w14:paraId="0594128F" w14:textId="77777777" w:rsidR="00CA2C6C" w:rsidRPr="000333B6" w:rsidRDefault="00CA2C6C" w:rsidP="00CA2C6C">
      <w:pPr>
        <w:pStyle w:val="EPComma"/>
      </w:pPr>
      <w:r w:rsidRPr="000333B6">
        <w:rPr>
          <w:i/>
        </w:rPr>
        <w:t>Het Europees Parlement</w:t>
      </w:r>
      <w:r w:rsidRPr="000333B6">
        <w:t>,</w:t>
      </w:r>
    </w:p>
    <w:p w14:paraId="1C98AECD" w14:textId="77777777" w:rsidR="00CA2C6C" w:rsidRPr="000333B6" w:rsidRDefault="00CA2C6C" w:rsidP="00CA2C6C">
      <w:pPr>
        <w:pStyle w:val="NormalHanging12a"/>
      </w:pPr>
      <w:r w:rsidRPr="000333B6">
        <w:t>–</w:t>
      </w:r>
      <w:r w:rsidRPr="000333B6">
        <w:tab/>
        <w:t>gezien het voorstel van de Commissie aan het Europees Parlement en de Raad (COM(2025)0084),</w:t>
      </w:r>
    </w:p>
    <w:p w14:paraId="2876A074" w14:textId="4360254F" w:rsidR="00CA2C6C" w:rsidRPr="000333B6" w:rsidRDefault="00CA2C6C" w:rsidP="00CA2C6C">
      <w:pPr>
        <w:pStyle w:val="NormalHanging12a"/>
      </w:pPr>
      <w:r w:rsidRPr="000333B6">
        <w:t>–</w:t>
      </w:r>
      <w:r w:rsidRPr="000333B6">
        <w:tab/>
        <w:t xml:space="preserve">gezien artikel 294, lid 2, en de artikelen 172 en 173, artikel 175, derde alinea, artikel 182, lid 1, </w:t>
      </w:r>
      <w:r w:rsidR="008914E7" w:rsidRPr="000333B6">
        <w:t xml:space="preserve">artikel 183, </w:t>
      </w:r>
      <w:r w:rsidRPr="000333B6">
        <w:t>artikel 188, tweede alinea, en artikel 194 van het Verdrag betreffende de werking van de Europese Unie, op grond waarvan het voorstel door de Commissie bij het Parlement is ingediend (C10</w:t>
      </w:r>
      <w:r w:rsidRPr="000333B6">
        <w:noBreakHyphen/>
        <w:t>0036/2025),</w:t>
      </w:r>
    </w:p>
    <w:p w14:paraId="69F63B89" w14:textId="77777777" w:rsidR="00CA2C6C" w:rsidRPr="000333B6" w:rsidRDefault="00CA2C6C" w:rsidP="00CA2C6C">
      <w:pPr>
        <w:pStyle w:val="NormalHanging12a"/>
      </w:pPr>
      <w:r w:rsidRPr="000333B6">
        <w:t>–</w:t>
      </w:r>
      <w:r w:rsidRPr="000333B6">
        <w:tab/>
        <w:t>gezien artikel 294, lid 3, van het Verdrag betreffende de werking van de Europese Unie,</w:t>
      </w:r>
    </w:p>
    <w:p w14:paraId="2656D5DB" w14:textId="77777777" w:rsidR="00CA2C6C" w:rsidRPr="000333B6" w:rsidRDefault="00CA2C6C" w:rsidP="00CA2C6C">
      <w:pPr>
        <w:pStyle w:val="NormalHanging12a"/>
      </w:pPr>
      <w:r w:rsidRPr="000333B6">
        <w:t>–</w:t>
      </w:r>
      <w:r w:rsidRPr="000333B6">
        <w:tab/>
        <w:t>gezien het advies van het Europees Economisch en Sociaal Comité van 29 april 2025</w:t>
      </w:r>
      <w:r w:rsidRPr="000333B6">
        <w:rPr>
          <w:rStyle w:val="FootnoteReference"/>
        </w:rPr>
        <w:footnoteReference w:id="1"/>
      </w:r>
      <w:r w:rsidRPr="000333B6">
        <w:t>,</w:t>
      </w:r>
    </w:p>
    <w:p w14:paraId="6C56F94A" w14:textId="77777777" w:rsidR="00CA2C6C" w:rsidRPr="000333B6" w:rsidRDefault="00CA2C6C" w:rsidP="00CA2C6C">
      <w:pPr>
        <w:pStyle w:val="NormalHanging12a"/>
      </w:pPr>
      <w:r w:rsidRPr="000333B6">
        <w:t>–</w:t>
      </w:r>
      <w:r w:rsidRPr="000333B6">
        <w:tab/>
        <w:t>na raadpleging van het Comité van de Regio’s,</w:t>
      </w:r>
    </w:p>
    <w:p w14:paraId="54776CB3" w14:textId="638AADDC" w:rsidR="00B83B8D" w:rsidRPr="000333B6" w:rsidRDefault="00B83B8D" w:rsidP="00B83B8D">
      <w:pPr>
        <w:pStyle w:val="NormalHanging12a"/>
      </w:pPr>
      <w:r w:rsidRPr="000333B6">
        <w:t>–</w:t>
      </w:r>
      <w:r w:rsidRPr="000333B6">
        <w:tab/>
        <w:t xml:space="preserve">gezien het overeenkomstig artikel 75, lid 4, van zijn Reglement door de bevoegde commissie goedgekeurde voorlopig akkoord en de door de vertegenwoordiger van de Raad bij brief van 8 oktober 2025 gedane toezegging om het standpunt van het Europees Parlement overeenkomstig artikel 294, lid 4, van het Verdrag betreffende de </w:t>
      </w:r>
      <w:r w:rsidRPr="000333B6">
        <w:lastRenderedPageBreak/>
        <w:t>werking van de Europese Unie goed te keuren,</w:t>
      </w:r>
    </w:p>
    <w:p w14:paraId="5FA677B4" w14:textId="77777777" w:rsidR="00CA2C6C" w:rsidRPr="000333B6" w:rsidRDefault="00CA2C6C" w:rsidP="00CA2C6C">
      <w:pPr>
        <w:pStyle w:val="NormalHanging12a"/>
      </w:pPr>
      <w:r w:rsidRPr="000333B6">
        <w:t>–</w:t>
      </w:r>
      <w:r w:rsidRPr="000333B6">
        <w:tab/>
        <w:t>gezien artikel 60 van zijn Reglement,</w:t>
      </w:r>
    </w:p>
    <w:p w14:paraId="104B1CEB" w14:textId="77777777" w:rsidR="00CA2C6C" w:rsidRPr="000333B6" w:rsidRDefault="00CA2C6C" w:rsidP="00CA2C6C">
      <w:pPr>
        <w:pStyle w:val="NormalHanging12a"/>
      </w:pPr>
      <w:r w:rsidRPr="000333B6">
        <w:t>–</w:t>
      </w:r>
      <w:r w:rsidRPr="000333B6">
        <w:tab/>
        <w:t>gezien het gezamenlijk overleg van de Begrotingscommissie en de Commissie economische en monetaire zaken overeenkomstig artikel 59 van het Reglement,</w:t>
      </w:r>
    </w:p>
    <w:p w14:paraId="2CA125C2" w14:textId="77777777" w:rsidR="00CA2C6C" w:rsidRPr="000333B6" w:rsidRDefault="00CA2C6C" w:rsidP="00CA2C6C">
      <w:pPr>
        <w:pStyle w:val="NormalHanging12a"/>
      </w:pPr>
      <w:r w:rsidRPr="000333B6">
        <w:t>–</w:t>
      </w:r>
      <w:r w:rsidRPr="000333B6">
        <w:tab/>
        <w:t>gezien de adviezen van de Commissie industrie, onderzoek en energie en de Commissie vervoer en toerisme,</w:t>
      </w:r>
    </w:p>
    <w:p w14:paraId="3D325AC5" w14:textId="77777777" w:rsidR="00CA2C6C" w:rsidRPr="000333B6" w:rsidRDefault="00CA2C6C" w:rsidP="00CA2C6C">
      <w:pPr>
        <w:pStyle w:val="NormalHanging12a"/>
      </w:pPr>
      <w:r w:rsidRPr="000333B6">
        <w:t>–</w:t>
      </w:r>
      <w:r w:rsidRPr="000333B6">
        <w:tab/>
        <w:t>gezien het verslag van de Begrotingscommissie en de Commissie economische en monetaire zaken (A10-0117/2025),</w:t>
      </w:r>
    </w:p>
    <w:p w14:paraId="4FD1027E" w14:textId="77777777" w:rsidR="00CA2C6C" w:rsidRPr="000333B6" w:rsidRDefault="00CA2C6C" w:rsidP="00CA2C6C">
      <w:pPr>
        <w:pStyle w:val="NormalHanging12a"/>
      </w:pPr>
      <w:r w:rsidRPr="000333B6">
        <w:t>1.</w:t>
      </w:r>
      <w:r w:rsidRPr="000333B6">
        <w:tab/>
        <w:t>stelt onderstaand standpunt in eerste lezing vast;</w:t>
      </w:r>
    </w:p>
    <w:p w14:paraId="20598E31" w14:textId="77777777" w:rsidR="00CA2C6C" w:rsidRPr="000333B6" w:rsidRDefault="00CA2C6C" w:rsidP="00CA2C6C">
      <w:pPr>
        <w:pStyle w:val="NormalHanging12a"/>
      </w:pPr>
      <w:r w:rsidRPr="000333B6">
        <w:t>2.</w:t>
      </w:r>
      <w:r w:rsidRPr="000333B6">
        <w:tab/>
        <w:t>verzoekt de Commissie om hernieuwde voorlegging aan het Parlement indien zij haar voorstel vervangt, ingrijpend wijzigt of voornemens is het ingrijpend te wijzigen;</w:t>
      </w:r>
    </w:p>
    <w:p w14:paraId="26B0AF4A" w14:textId="77777777" w:rsidR="00CA2C6C" w:rsidRPr="000333B6" w:rsidRDefault="00CA2C6C" w:rsidP="00CA2C6C">
      <w:pPr>
        <w:pStyle w:val="NormalHanging12a"/>
      </w:pPr>
      <w:r w:rsidRPr="000333B6">
        <w:t>3.</w:t>
      </w:r>
      <w:r w:rsidRPr="000333B6">
        <w:tab/>
        <w:t>verzoekt zijn Voorzitter het standpunt van het Parlement te doen toekomen aan de Raad en de Commissie, alsmede aan de nationale parlementen.</w:t>
      </w:r>
    </w:p>
    <w:p w14:paraId="644190E3" w14:textId="77777777" w:rsidR="00B7708C" w:rsidRPr="000333B6" w:rsidRDefault="00B7708C" w:rsidP="00CA2C6C">
      <w:pPr>
        <w:sectPr w:rsidR="00B7708C" w:rsidRPr="000333B6" w:rsidSect="00B3094D">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78EC738" w14:textId="2034D7DE" w:rsidR="00FA4D1A" w:rsidRPr="000333B6" w:rsidRDefault="00FA4D1A" w:rsidP="00FA4D1A">
      <w:pPr>
        <w:ind w:left="567" w:hanging="567"/>
        <w:rPr>
          <w:b/>
        </w:rPr>
      </w:pPr>
      <w:r w:rsidRPr="000333B6">
        <w:rPr>
          <w:b/>
        </w:rPr>
        <w:lastRenderedPageBreak/>
        <w:t>P10_TC1-COD(</w:t>
      </w:r>
      <w:r w:rsidRPr="000333B6">
        <w:rPr>
          <w:b/>
          <w:bCs/>
          <w:color w:val="000000"/>
        </w:rPr>
        <w:t>2025)0040</w:t>
      </w:r>
    </w:p>
    <w:p w14:paraId="53511E7B" w14:textId="2C9741BB" w:rsidR="00FA4D1A" w:rsidRDefault="00FA4D1A" w:rsidP="00FA4D1A">
      <w:pPr>
        <w:spacing w:before="240"/>
        <w:rPr>
          <w:b/>
          <w:color w:val="000000"/>
          <w:szCs w:val="24"/>
          <w:lang w:eastAsia="en-US"/>
        </w:rPr>
      </w:pPr>
      <w:r w:rsidRPr="000333B6">
        <w:rPr>
          <w:b/>
        </w:rPr>
        <w:t xml:space="preserve">Standpunt van het Europees Parlement in eerste lezing vastgesteld op </w:t>
      </w:r>
      <w:r w:rsidR="002810E9" w:rsidRPr="000333B6">
        <w:rPr>
          <w:b/>
        </w:rPr>
        <w:t xml:space="preserve">26 </w:t>
      </w:r>
      <w:r w:rsidRPr="000333B6">
        <w:rPr>
          <w:b/>
        </w:rPr>
        <w:t xml:space="preserve">november 2025 met het oog op de vaststelling van Verordening (EU) 2025/... van het Europees Parlement en de Raad </w:t>
      </w:r>
      <w:r w:rsidRPr="000333B6">
        <w:rPr>
          <w:b/>
          <w:color w:val="000000"/>
          <w:szCs w:val="24"/>
          <w:lang w:eastAsia="en-US"/>
        </w:rPr>
        <w:t>tot wijziging van de Verordeningen (EU) 2015/1017, (EU) 2021/523, (EU) 2021/695 en (EU) 2021/1153 wat betreft het verhogen van de efficiëntie van de EU-garantie uit hoofde van Verordening (EU) 2021/523 en het vereenvoudigen van de verslagleggingsvereisten</w:t>
      </w:r>
    </w:p>
    <w:p w14:paraId="763C9826" w14:textId="1E29CF0B" w:rsidR="00C74ADE" w:rsidRPr="006302AE" w:rsidRDefault="00C74ADE" w:rsidP="00C74ADE">
      <w:pPr>
        <w:spacing w:before="240"/>
        <w:rPr>
          <w:i/>
        </w:rPr>
      </w:pPr>
      <w:r w:rsidRPr="006302AE">
        <w:rPr>
          <w:i/>
        </w:rPr>
        <w:t xml:space="preserve">(Aangezien het Parlement en de Raad tot overeenstemming </w:t>
      </w:r>
      <w:r w:rsidRPr="00C74ADE">
        <w:rPr>
          <w:i/>
        </w:rPr>
        <w:t>zijn geraakt, komt het standpunt van het Parlement overeen met de definitieve rechtshandeling: Verordening (EU) 2025/</w:t>
      </w:r>
      <w:r w:rsidRPr="00C74ADE">
        <w:rPr>
          <w:i/>
        </w:rPr>
        <w:t>2005</w:t>
      </w:r>
      <w:r w:rsidRPr="00C74ADE">
        <w:rPr>
          <w:i/>
        </w:rPr>
        <w:t>.)</w:t>
      </w:r>
    </w:p>
    <w:sectPr w:rsidR="00C74ADE" w:rsidRPr="006302AE" w:rsidSect="00B3094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A0B579" w14:textId="77777777" w:rsidR="00D366A2" w:rsidRPr="00B3094D" w:rsidRDefault="00D366A2">
      <w:r w:rsidRPr="00B3094D">
        <w:separator/>
      </w:r>
    </w:p>
  </w:endnote>
  <w:endnote w:type="continuationSeparator" w:id="0">
    <w:p w14:paraId="4A0297DF" w14:textId="77777777" w:rsidR="00D366A2" w:rsidRPr="00B3094D" w:rsidRDefault="00D366A2">
      <w:r w:rsidRPr="00B3094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081BBA" w14:textId="77777777" w:rsidR="00D366A2" w:rsidRPr="00B3094D" w:rsidRDefault="00D366A2">
      <w:r w:rsidRPr="00B3094D">
        <w:separator/>
      </w:r>
    </w:p>
  </w:footnote>
  <w:footnote w:type="continuationSeparator" w:id="0">
    <w:p w14:paraId="5BC48E31" w14:textId="77777777" w:rsidR="00D366A2" w:rsidRPr="00B3094D" w:rsidRDefault="00D366A2">
      <w:r w:rsidRPr="00B3094D">
        <w:continuationSeparator/>
      </w:r>
    </w:p>
  </w:footnote>
  <w:footnote w:id="1">
    <w:p w14:paraId="02754E15" w14:textId="5A8429EE" w:rsidR="00CA2C6C" w:rsidRPr="00886032" w:rsidRDefault="00CA2C6C" w:rsidP="00FA4D1A">
      <w:pPr>
        <w:pStyle w:val="FootnoteText"/>
        <w:ind w:left="851" w:hanging="851"/>
        <w:rPr>
          <w:sz w:val="24"/>
          <w:lang w:val="fi-FI"/>
        </w:rPr>
      </w:pPr>
      <w:r w:rsidRPr="00FA4D1A">
        <w:rPr>
          <w:rStyle w:val="FootnoteReference"/>
          <w:sz w:val="24"/>
          <w:lang w:val="nl-BE"/>
        </w:rPr>
        <w:footnoteRef/>
      </w:r>
      <w:r w:rsidR="00B3094D" w:rsidRPr="00886032">
        <w:rPr>
          <w:sz w:val="24"/>
          <w:lang w:val="fi-FI"/>
        </w:rPr>
        <w:t xml:space="preserve"> </w:t>
      </w:r>
      <w:r w:rsidR="00B3094D" w:rsidRPr="00886032">
        <w:rPr>
          <w:sz w:val="24"/>
          <w:lang w:val="fi-FI"/>
        </w:rPr>
        <w:tab/>
      </w:r>
      <w:r w:rsidR="00B83B8D" w:rsidRPr="00886032">
        <w:rPr>
          <w:sz w:val="24"/>
          <w:lang w:val="fi-FI"/>
        </w:rPr>
        <w:t xml:space="preserve">PB C, C/2025/3199, 2.7.2025, ELI: </w:t>
      </w:r>
      <w:hyperlink r:id="rId1" w:history="1">
        <w:r w:rsidR="00B83B8D" w:rsidRPr="00886032">
          <w:rPr>
            <w:rStyle w:val="Hyperlink"/>
            <w:sz w:val="24"/>
            <w:lang w:val="fi-FI"/>
          </w:rPr>
          <w:t>http://data.europa.eu/eli/C/2025/3199/oj</w:t>
        </w:r>
      </w:hyperlink>
      <w:r w:rsidRPr="00886032">
        <w:rPr>
          <w:sz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0A731EEC"/>
    <w:multiLevelType w:val="hybridMultilevel"/>
    <w:tmpl w:val="C91CE2BE"/>
    <w:lvl w:ilvl="0" w:tplc="68A865E6">
      <w:start w:val="1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19264605">
    <w:abstractNumId w:val="9"/>
  </w:num>
  <w:num w:numId="2" w16cid:durableId="1239630711">
    <w:abstractNumId w:val="9"/>
  </w:num>
  <w:num w:numId="3" w16cid:durableId="1288389510">
    <w:abstractNumId w:val="7"/>
  </w:num>
  <w:num w:numId="4" w16cid:durableId="712851321">
    <w:abstractNumId w:val="7"/>
  </w:num>
  <w:num w:numId="5" w16cid:durableId="734662469">
    <w:abstractNumId w:val="6"/>
  </w:num>
  <w:num w:numId="6" w16cid:durableId="1733969841">
    <w:abstractNumId w:val="6"/>
  </w:num>
  <w:num w:numId="7" w16cid:durableId="214242968">
    <w:abstractNumId w:val="5"/>
  </w:num>
  <w:num w:numId="8" w16cid:durableId="1525439525">
    <w:abstractNumId w:val="5"/>
  </w:num>
  <w:num w:numId="9" w16cid:durableId="1213418908">
    <w:abstractNumId w:val="4"/>
  </w:num>
  <w:num w:numId="10" w16cid:durableId="2013944077">
    <w:abstractNumId w:val="4"/>
  </w:num>
  <w:num w:numId="11" w16cid:durableId="2093774217">
    <w:abstractNumId w:val="8"/>
  </w:num>
  <w:num w:numId="12" w16cid:durableId="563296957">
    <w:abstractNumId w:val="8"/>
  </w:num>
  <w:num w:numId="13" w16cid:durableId="1374967475">
    <w:abstractNumId w:val="3"/>
  </w:num>
  <w:num w:numId="14" w16cid:durableId="1638683144">
    <w:abstractNumId w:val="3"/>
  </w:num>
  <w:num w:numId="15" w16cid:durableId="1428577030">
    <w:abstractNumId w:val="2"/>
  </w:num>
  <w:num w:numId="16" w16cid:durableId="599290867">
    <w:abstractNumId w:val="2"/>
  </w:num>
  <w:num w:numId="17" w16cid:durableId="371736660">
    <w:abstractNumId w:val="1"/>
  </w:num>
  <w:num w:numId="18" w16cid:durableId="794182929">
    <w:abstractNumId w:val="1"/>
  </w:num>
  <w:num w:numId="19" w16cid:durableId="42407890">
    <w:abstractNumId w:val="0"/>
  </w:num>
  <w:num w:numId="20" w16cid:durableId="1243102032">
    <w:abstractNumId w:val="0"/>
  </w:num>
  <w:num w:numId="21" w16cid:durableId="1977177772">
    <w:abstractNumId w:val="9"/>
  </w:num>
  <w:num w:numId="22" w16cid:durableId="785733174">
    <w:abstractNumId w:val="7"/>
  </w:num>
  <w:num w:numId="23" w16cid:durableId="888885685">
    <w:abstractNumId w:val="6"/>
  </w:num>
  <w:num w:numId="24" w16cid:durableId="1706903088">
    <w:abstractNumId w:val="5"/>
  </w:num>
  <w:num w:numId="25" w16cid:durableId="742527796">
    <w:abstractNumId w:val="4"/>
  </w:num>
  <w:num w:numId="26" w16cid:durableId="874468469">
    <w:abstractNumId w:val="8"/>
  </w:num>
  <w:num w:numId="27" w16cid:durableId="937372627">
    <w:abstractNumId w:val="3"/>
  </w:num>
  <w:num w:numId="28" w16cid:durableId="831021129">
    <w:abstractNumId w:val="2"/>
  </w:num>
  <w:num w:numId="29" w16cid:durableId="937830805">
    <w:abstractNumId w:val="1"/>
  </w:num>
  <w:num w:numId="30" w16cid:durableId="1319114572">
    <w:abstractNumId w:val="0"/>
  </w:num>
  <w:num w:numId="31" w16cid:durableId="2047487807">
    <w:abstractNumId w:val="9"/>
  </w:num>
  <w:num w:numId="32" w16cid:durableId="1839995797">
    <w:abstractNumId w:val="7"/>
  </w:num>
  <w:num w:numId="33" w16cid:durableId="277612407">
    <w:abstractNumId w:val="6"/>
  </w:num>
  <w:num w:numId="34" w16cid:durableId="1840342443">
    <w:abstractNumId w:val="5"/>
  </w:num>
  <w:num w:numId="35" w16cid:durableId="940407328">
    <w:abstractNumId w:val="4"/>
  </w:num>
  <w:num w:numId="36" w16cid:durableId="1327517424">
    <w:abstractNumId w:val="8"/>
  </w:num>
  <w:num w:numId="37" w16cid:durableId="914827421">
    <w:abstractNumId w:val="3"/>
  </w:num>
  <w:num w:numId="38" w16cid:durableId="303513797">
    <w:abstractNumId w:val="2"/>
  </w:num>
  <w:num w:numId="39" w16cid:durableId="151336654">
    <w:abstractNumId w:val="1"/>
  </w:num>
  <w:num w:numId="40" w16cid:durableId="89591343">
    <w:abstractNumId w:val="0"/>
  </w:num>
  <w:num w:numId="41" w16cid:durableId="168639622">
    <w:abstractNumId w:val="10"/>
  </w:num>
  <w:num w:numId="42" w16cid:durableId="1678652376">
    <w:abstractNumId w:val="10"/>
  </w:num>
  <w:num w:numId="43" w16cid:durableId="1292052848">
    <w:abstractNumId w:val="10"/>
  </w:num>
  <w:num w:numId="44" w16cid:durableId="1380127859">
    <w:abstractNumId w:val="12"/>
  </w:num>
  <w:num w:numId="45" w16cid:durableId="27305200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17/2025"/>
    <w:docVar w:name="dvlangue" w:val="NL"/>
    <w:docVar w:name="dvnumam" w:val="25"/>
    <w:docVar w:name="dvpe" w:val="773.087"/>
    <w:docVar w:name="dvrapporteur" w:val="Rapporteurs: "/>
    <w:docVar w:name="dvstar" w:val="***I"/>
    <w:docVar w:name="dvtitre" w:val="Wetgevingsresolutie van het Europees Parlement van xx november 2025 inzake het voorstel voor een verordening van het Europees Parlement en de Raad tot wijziging van de Verordeningen (EU) 2015/1017, (EU) 2021/523, (EU) 2021/695 en (EU) 2021/1153 wat betreft het verhogen van de efficiëntie van de EU-garantie uit hoofde van Verordening (EU) 2021/523 en het vereenvoudigen van de verslagleggingsvereisten(COM(2025)0084 – C10-0036/2025 – 2025/0040(COD))"/>
  </w:docVars>
  <w:rsids>
    <w:rsidRoot w:val="00D366A2"/>
    <w:rsid w:val="00002272"/>
    <w:rsid w:val="000333B6"/>
    <w:rsid w:val="00064002"/>
    <w:rsid w:val="000677B9"/>
    <w:rsid w:val="000831BA"/>
    <w:rsid w:val="000A3F70"/>
    <w:rsid w:val="000A42CC"/>
    <w:rsid w:val="000E7DD9"/>
    <w:rsid w:val="0010095E"/>
    <w:rsid w:val="00125B37"/>
    <w:rsid w:val="00187494"/>
    <w:rsid w:val="001F32AE"/>
    <w:rsid w:val="002767FF"/>
    <w:rsid w:val="002810E9"/>
    <w:rsid w:val="002B18FE"/>
    <w:rsid w:val="002B5493"/>
    <w:rsid w:val="00343214"/>
    <w:rsid w:val="00361C00"/>
    <w:rsid w:val="0036254C"/>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3672D"/>
    <w:rsid w:val="00645E05"/>
    <w:rsid w:val="006631B6"/>
    <w:rsid w:val="00680577"/>
    <w:rsid w:val="006F74FA"/>
    <w:rsid w:val="006F78A9"/>
    <w:rsid w:val="0072236B"/>
    <w:rsid w:val="00731ADD"/>
    <w:rsid w:val="00734777"/>
    <w:rsid w:val="00747932"/>
    <w:rsid w:val="00751A4A"/>
    <w:rsid w:val="00756632"/>
    <w:rsid w:val="00762C74"/>
    <w:rsid w:val="00786EC0"/>
    <w:rsid w:val="007D1690"/>
    <w:rsid w:val="007E22AD"/>
    <w:rsid w:val="00814645"/>
    <w:rsid w:val="00817416"/>
    <w:rsid w:val="00827150"/>
    <w:rsid w:val="00842779"/>
    <w:rsid w:val="00865F67"/>
    <w:rsid w:val="00881A7B"/>
    <w:rsid w:val="008840E5"/>
    <w:rsid w:val="00886032"/>
    <w:rsid w:val="00887B3E"/>
    <w:rsid w:val="008914E7"/>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3094D"/>
    <w:rsid w:val="00B558F0"/>
    <w:rsid w:val="00B7708C"/>
    <w:rsid w:val="00B83B8D"/>
    <w:rsid w:val="00B85FE0"/>
    <w:rsid w:val="00BD48FE"/>
    <w:rsid w:val="00BD7BD8"/>
    <w:rsid w:val="00BE6ADC"/>
    <w:rsid w:val="00C05BFE"/>
    <w:rsid w:val="00C23CD4"/>
    <w:rsid w:val="00C61C0C"/>
    <w:rsid w:val="00C74ADE"/>
    <w:rsid w:val="00C941CB"/>
    <w:rsid w:val="00CA2C6C"/>
    <w:rsid w:val="00CC2357"/>
    <w:rsid w:val="00CE36C9"/>
    <w:rsid w:val="00CF071A"/>
    <w:rsid w:val="00D012CD"/>
    <w:rsid w:val="00D058B8"/>
    <w:rsid w:val="00D366A2"/>
    <w:rsid w:val="00D56C11"/>
    <w:rsid w:val="00D834A0"/>
    <w:rsid w:val="00D872DF"/>
    <w:rsid w:val="00D91E21"/>
    <w:rsid w:val="00DA7FCD"/>
    <w:rsid w:val="00E365E1"/>
    <w:rsid w:val="00E7274F"/>
    <w:rsid w:val="00E820A4"/>
    <w:rsid w:val="00EB006A"/>
    <w:rsid w:val="00EB4772"/>
    <w:rsid w:val="00EB7137"/>
    <w:rsid w:val="00ED169E"/>
    <w:rsid w:val="00ED4235"/>
    <w:rsid w:val="00F04346"/>
    <w:rsid w:val="00F075DC"/>
    <w:rsid w:val="00F149E9"/>
    <w:rsid w:val="00F5134D"/>
    <w:rsid w:val="00F74202"/>
    <w:rsid w:val="00F87713"/>
    <w:rsid w:val="00FA4D1A"/>
    <w:rsid w:val="00FB4360"/>
    <w:rsid w:val="00FD0C70"/>
    <w:rsid w:val="00FF127B"/>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A8849F"/>
  <w15:chartTrackingRefBased/>
  <w15:docId w15:val="{63FCC3ED-3532-4BC2-9E14-011754584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CA2C6C"/>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CA2C6C"/>
    <w:pPr>
      <w:spacing w:before="480" w:after="240"/>
    </w:pPr>
  </w:style>
  <w:style w:type="paragraph" w:customStyle="1" w:styleId="NormalBold">
    <w:name w:val="NormalBold"/>
    <w:basedOn w:val="Normal"/>
    <w:link w:val="NormalBoldChar"/>
    <w:rsid w:val="00CA2C6C"/>
    <w:rPr>
      <w:b/>
    </w:rPr>
  </w:style>
  <w:style w:type="paragraph" w:customStyle="1" w:styleId="NormalHanging12a">
    <w:name w:val="NormalHanging12a"/>
    <w:basedOn w:val="Normal"/>
    <w:rsid w:val="00CA2C6C"/>
    <w:pPr>
      <w:spacing w:after="240"/>
      <w:ind w:left="567" w:hanging="567"/>
    </w:pPr>
  </w:style>
  <w:style w:type="paragraph" w:customStyle="1" w:styleId="NormalCenter12a">
    <w:name w:val="NormalCenter12a"/>
    <w:basedOn w:val="Normal"/>
    <w:rsid w:val="00CA2C6C"/>
    <w:pPr>
      <w:spacing w:after="240"/>
      <w:jc w:val="center"/>
    </w:pPr>
  </w:style>
  <w:style w:type="paragraph" w:styleId="Header">
    <w:name w:val="header"/>
    <w:basedOn w:val="Normal"/>
    <w:link w:val="HeaderChar"/>
    <w:rsid w:val="00CA2C6C"/>
    <w:pPr>
      <w:tabs>
        <w:tab w:val="center" w:pos="4513"/>
        <w:tab w:val="right" w:pos="9026"/>
      </w:tabs>
    </w:pPr>
  </w:style>
  <w:style w:type="character" w:customStyle="1" w:styleId="HeaderChar">
    <w:name w:val="Header Char"/>
    <w:basedOn w:val="DefaultParagraphFont"/>
    <w:link w:val="Header"/>
    <w:rsid w:val="00CA2C6C"/>
    <w:rPr>
      <w:sz w:val="24"/>
      <w:lang w:val="nl-NL"/>
    </w:rPr>
  </w:style>
  <w:style w:type="paragraph" w:customStyle="1" w:styleId="AmNumberTabs">
    <w:name w:val="AmNumberTabs"/>
    <w:basedOn w:val="Normal"/>
    <w:rsid w:val="00CA2C6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CA2C6C"/>
    <w:pPr>
      <w:spacing w:before="720" w:after="240"/>
      <w:jc w:val="center"/>
    </w:pPr>
  </w:style>
  <w:style w:type="paragraph" w:customStyle="1" w:styleId="EPFooter">
    <w:name w:val="EPFooter"/>
    <w:basedOn w:val="Normal"/>
    <w:rsid w:val="00CA2C6C"/>
    <w:pPr>
      <w:tabs>
        <w:tab w:val="center" w:pos="4535"/>
        <w:tab w:val="right" w:pos="9071"/>
      </w:tabs>
      <w:spacing w:before="240" w:after="240"/>
    </w:pPr>
    <w:rPr>
      <w:color w:val="010000"/>
      <w:sz w:val="22"/>
    </w:rPr>
  </w:style>
  <w:style w:type="character" w:customStyle="1" w:styleId="NormalBoldChar">
    <w:name w:val="NormalBold Char"/>
    <w:basedOn w:val="DefaultParagraphFont"/>
    <w:link w:val="NormalBold"/>
    <w:rsid w:val="00CA2C6C"/>
    <w:rPr>
      <w:b/>
      <w:sz w:val="24"/>
      <w:lang w:val="nl-NL"/>
    </w:rPr>
  </w:style>
  <w:style w:type="paragraph" w:styleId="Revision">
    <w:name w:val="Revision"/>
    <w:hidden/>
    <w:uiPriority w:val="99"/>
    <w:semiHidden/>
    <w:rsid w:val="00B7708C"/>
    <w:rPr>
      <w:sz w:val="24"/>
      <w:lang w:val="nl-NL"/>
    </w:rPr>
  </w:style>
  <w:style w:type="paragraph" w:customStyle="1" w:styleId="FootnoteTextForceStyle">
    <w:name w:val="Footnote Text ForceStyle"/>
    <w:rsid w:val="00FA4D1A"/>
    <w:pPr>
      <w:keepLines/>
      <w:widowControl w:val="0"/>
      <w:spacing w:line="240" w:lineRule="exact"/>
      <w:ind w:left="850" w:hanging="850"/>
    </w:pPr>
    <w:rPr>
      <w:sz w:val="24"/>
      <w:lang w:val="nl-NL" w:eastAsia="en-US"/>
    </w:rPr>
  </w:style>
  <w:style w:type="character" w:customStyle="1" w:styleId="Hyperlink1">
    <w:name w:val="Hyperlink1"/>
    <w:basedOn w:val="DefaultParagraphFont"/>
    <w:uiPriority w:val="99"/>
    <w:rsid w:val="00FA4D1A"/>
    <w:rPr>
      <w:color w:val="0000FF"/>
      <w:u w:val="single"/>
    </w:rPr>
  </w:style>
  <w:style w:type="character" w:styleId="Hyperlink">
    <w:name w:val="Hyperlink"/>
    <w:basedOn w:val="DefaultParagraphFont"/>
    <w:rsid w:val="00B83B8D"/>
    <w:rPr>
      <w:color w:val="0563C1" w:themeColor="hyperlink"/>
      <w:u w:val="single"/>
    </w:rPr>
  </w:style>
  <w:style w:type="character" w:styleId="UnresolvedMention">
    <w:name w:val="Unresolved Mention"/>
    <w:basedOn w:val="DefaultParagraphFont"/>
    <w:uiPriority w:val="99"/>
    <w:semiHidden/>
    <w:unhideWhenUsed/>
    <w:rsid w:val="00B83B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5/319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457</Words>
  <Characters>2863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FS Relfinal.STO</cp:lastModifiedBy>
  <cp:revision>2</cp:revision>
  <cp:lastPrinted>2004-11-19T15:42:00Z</cp:lastPrinted>
  <dcterms:created xsi:type="dcterms:W3CDTF">2026-01-30T09:48:00Z</dcterms:created>
  <dcterms:modified xsi:type="dcterms:W3CDTF">2026-01-30T09:48:00Z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P10_TA(2025)0296_</vt:lpwstr>
  </property>
  <property fmtid="{D5CDD505-2E9C-101B-9397-08002B2CF9AE}" pid="4" name="&lt;Type&gt;">
    <vt:lpwstr>RR</vt:lpwstr>
  </property>
</Properties>
</file>