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6018" w14:paraId="0289059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5F3C3A" w14:textId="77777777" w:rsidR="00751A4A" w:rsidRPr="00ED6018" w:rsidRDefault="000E4AD0" w:rsidP="0010095E">
            <w:pPr>
              <w:pStyle w:val="EPName"/>
            </w:pPr>
            <w:r w:rsidRPr="00ED6018">
              <w:t>Parlament Europejski</w:t>
            </w:r>
          </w:p>
          <w:p w14:paraId="2E964334" w14:textId="77777777" w:rsidR="00751A4A" w:rsidRPr="00ED601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6018">
              <w:t>2024</w:t>
            </w:r>
            <w:r w:rsidR="00817416" w:rsidRPr="00ED6018">
              <w:t>-202</w:t>
            </w:r>
            <w:r w:rsidRPr="00ED6018">
              <w:t>9</w:t>
            </w:r>
          </w:p>
        </w:tc>
        <w:tc>
          <w:tcPr>
            <w:tcW w:w="2268" w:type="dxa"/>
            <w:shd w:val="clear" w:color="auto" w:fill="auto"/>
          </w:tcPr>
          <w:p w14:paraId="559CFC54" w14:textId="77777777" w:rsidR="00751A4A" w:rsidRPr="00ED6018" w:rsidRDefault="00187494" w:rsidP="0010095E">
            <w:pPr>
              <w:pStyle w:val="EPLogo"/>
            </w:pPr>
            <w:r w:rsidRPr="00ED6018">
              <w:rPr>
                <w:noProof/>
                <w:lang w:eastAsia="ja-JP"/>
              </w:rPr>
              <w:drawing>
                <wp:inline distT="0" distB="0" distL="0" distR="0" wp14:anchorId="7E00B125" wp14:editId="7B98C51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A790D2" w14:textId="77777777" w:rsidR="00D058B8" w:rsidRPr="00ED6018" w:rsidRDefault="00D058B8" w:rsidP="004C5D52">
      <w:pPr>
        <w:pStyle w:val="LineTop"/>
      </w:pPr>
    </w:p>
    <w:p w14:paraId="006BBFE2" w14:textId="77777777" w:rsidR="00680577" w:rsidRPr="00ED6018" w:rsidRDefault="000E4AD0" w:rsidP="00680577">
      <w:pPr>
        <w:pStyle w:val="EPBodyTA1"/>
      </w:pPr>
      <w:r w:rsidRPr="00ED6018">
        <w:t>TEKSTY PRZYJĘTE</w:t>
      </w:r>
    </w:p>
    <w:p w14:paraId="40ACE152" w14:textId="77777777" w:rsidR="00D058B8" w:rsidRPr="00ED6018" w:rsidRDefault="00D058B8" w:rsidP="00D058B8">
      <w:pPr>
        <w:pStyle w:val="LineBottom"/>
      </w:pPr>
    </w:p>
    <w:p w14:paraId="434CE4AD" w14:textId="094F25EA" w:rsidR="000E4AD0" w:rsidRPr="00ED6018" w:rsidRDefault="000E4AD0" w:rsidP="000E4AD0">
      <w:pPr>
        <w:pStyle w:val="ATHeading1"/>
      </w:pPr>
      <w:bookmarkStart w:id="0" w:name="TANumber"/>
      <w:r w:rsidRPr="00ED6018">
        <w:t>P10_TA(2025)0</w:t>
      </w:r>
      <w:bookmarkEnd w:id="0"/>
      <w:r w:rsidR="00055496">
        <w:t>296</w:t>
      </w:r>
    </w:p>
    <w:p w14:paraId="77ED96A3" w14:textId="7FF92D6A" w:rsidR="000E4AD0" w:rsidRPr="00ED6018" w:rsidRDefault="007B68F1" w:rsidP="007B68F1">
      <w:pPr>
        <w:pStyle w:val="ATHeading2"/>
      </w:pPr>
      <w:r w:rsidRPr="007B68F1">
        <w:t xml:space="preserve">Zwiększenie efektywności gwarancji UE ustanowionej w rozporządzeniu o programie </w:t>
      </w:r>
      <w:proofErr w:type="spellStart"/>
      <w:r w:rsidRPr="007B68F1">
        <w:t>InvestEU</w:t>
      </w:r>
      <w:proofErr w:type="spellEnd"/>
      <w:r w:rsidRPr="007B68F1">
        <w:t xml:space="preserve"> oraz</w:t>
      </w:r>
      <w:r>
        <w:t xml:space="preserve"> </w:t>
      </w:r>
      <w:r w:rsidRPr="007B68F1">
        <w:t>uproszczenie wymogów sprawozdawczych</w:t>
      </w:r>
    </w:p>
    <w:p w14:paraId="70B8EA97" w14:textId="38137A6A" w:rsidR="000E4AD0" w:rsidRPr="00ED6018" w:rsidRDefault="000E4AD0" w:rsidP="000E4AD0">
      <w:pPr>
        <w:rPr>
          <w:i/>
          <w:vanish/>
        </w:rPr>
      </w:pPr>
      <w:r w:rsidRPr="00ED6018">
        <w:rPr>
          <w:i/>
        </w:rPr>
        <w:fldChar w:fldCharType="begin"/>
      </w:r>
      <w:r w:rsidRPr="00ED6018">
        <w:rPr>
          <w:i/>
        </w:rPr>
        <w:instrText xml:space="preserve"> TC"(</w:instrText>
      </w:r>
      <w:bookmarkStart w:id="1" w:name="DocNumber"/>
      <w:r w:rsidRPr="00ED6018">
        <w:rPr>
          <w:i/>
        </w:rPr>
        <w:instrText>A10-0117/2025</w:instrText>
      </w:r>
      <w:bookmarkEnd w:id="1"/>
      <w:r w:rsidRPr="00ED6018">
        <w:rPr>
          <w:i/>
        </w:rPr>
        <w:instrText xml:space="preserve"> - Sprawozdawc</w:instrText>
      </w:r>
      <w:r w:rsidR="001D5A23">
        <w:rPr>
          <w:i/>
        </w:rPr>
        <w:instrText>y</w:instrText>
      </w:r>
      <w:r w:rsidRPr="00ED6018">
        <w:rPr>
          <w:i/>
        </w:rPr>
        <w:instrText xml:space="preserve">: Aura Salla, Irene Tinagli)"\l3 \n&gt; \* MERGEFORMAT </w:instrText>
      </w:r>
      <w:r w:rsidRPr="00ED6018">
        <w:rPr>
          <w:i/>
        </w:rPr>
        <w:fldChar w:fldCharType="end"/>
      </w:r>
    </w:p>
    <w:p w14:paraId="010C9AF8" w14:textId="77777777" w:rsidR="000E4AD0" w:rsidRPr="00ED6018" w:rsidRDefault="000E4AD0" w:rsidP="000E4AD0">
      <w:pPr>
        <w:rPr>
          <w:vanish/>
        </w:rPr>
      </w:pPr>
      <w:bookmarkStart w:id="2" w:name="Commission"/>
      <w:r w:rsidRPr="00ED6018">
        <w:rPr>
          <w:vanish/>
        </w:rPr>
        <w:t>Komisja Budżetowa, Komisja Gospodarcza i Monetarna</w:t>
      </w:r>
      <w:bookmarkEnd w:id="2"/>
    </w:p>
    <w:p w14:paraId="5BA1D629" w14:textId="77777777" w:rsidR="000E4AD0" w:rsidRPr="00ED6018" w:rsidRDefault="000E4AD0" w:rsidP="000E4AD0">
      <w:pPr>
        <w:rPr>
          <w:vanish/>
        </w:rPr>
      </w:pPr>
      <w:bookmarkStart w:id="3" w:name="PE"/>
      <w:r w:rsidRPr="00ED6018">
        <w:rPr>
          <w:vanish/>
        </w:rPr>
        <w:t>PE773.087</w:t>
      </w:r>
      <w:bookmarkEnd w:id="3"/>
    </w:p>
    <w:p w14:paraId="6AA1DA54" w14:textId="445A5C44" w:rsidR="000E4AD0" w:rsidRPr="00ED6018" w:rsidRDefault="000E4AD0" w:rsidP="000E4AD0">
      <w:pPr>
        <w:pStyle w:val="ATHeading3"/>
      </w:pPr>
      <w:bookmarkStart w:id="4" w:name="Sujet"/>
      <w:r w:rsidRPr="00ED6018">
        <w:t xml:space="preserve">Rezolucja ustawodawcza Parlamentu Europejskiego z dnia </w:t>
      </w:r>
      <w:r w:rsidR="007B68F1">
        <w:t>2</w:t>
      </w:r>
      <w:r w:rsidR="007B4397">
        <w:t>6</w:t>
      </w:r>
      <w:r w:rsidR="007B68F1">
        <w:t xml:space="preserve"> listopada</w:t>
      </w:r>
      <w:r w:rsidRPr="00ED6018">
        <w:t xml:space="preserve"> 2025 r. w sprawie wniosku dotyczącego rozporządzenia Parlamentu Europejskiego i Rady zmieniającego rozporządzenia (UE) 2015/1017, (UE) 2021/523, (UE) 2021/695 i (UE) 2021/1153 w odniesieniu do zwiększenia efektywności gwarancji UE ustanowionej w rozporządzeniu (UE) 2021/523 oraz uproszczenia wymogów sprawozdawczych</w:t>
      </w:r>
      <w:bookmarkEnd w:id="4"/>
      <w:r w:rsidRPr="00ED6018">
        <w:t xml:space="preserve"> </w:t>
      </w:r>
      <w:bookmarkStart w:id="5" w:name="References"/>
      <w:r w:rsidRPr="00ED6018">
        <w:t>(COM(2025)0084 – C10-0036/2025 – 2025/0040(COD))</w:t>
      </w:r>
      <w:bookmarkEnd w:id="5"/>
    </w:p>
    <w:p w14:paraId="4246257D" w14:textId="77777777" w:rsidR="000E6CEF" w:rsidRPr="00ED6018" w:rsidRDefault="000E6CEF" w:rsidP="000E6CEF">
      <w:pPr>
        <w:pStyle w:val="NormalBold"/>
      </w:pPr>
      <w:r w:rsidRPr="00ED6018">
        <w:t>(Zwykła procedura ustawodawcza: pierwsze czytanie)</w:t>
      </w:r>
    </w:p>
    <w:p w14:paraId="18191709" w14:textId="77777777" w:rsidR="000E6CEF" w:rsidRPr="00ED6018" w:rsidRDefault="000E6CEF" w:rsidP="000E6CEF">
      <w:pPr>
        <w:pStyle w:val="EPComma"/>
      </w:pPr>
      <w:r w:rsidRPr="00ED6018">
        <w:rPr>
          <w:i/>
        </w:rPr>
        <w:t>Parlament Europejski</w:t>
      </w:r>
      <w:r w:rsidRPr="00ED6018">
        <w:t>,</w:t>
      </w:r>
    </w:p>
    <w:p w14:paraId="159579F5" w14:textId="77777777" w:rsidR="000E6CEF" w:rsidRPr="00ED6018" w:rsidRDefault="000E6CEF" w:rsidP="000E6CEF">
      <w:pPr>
        <w:pStyle w:val="NormalHanging12a"/>
      </w:pPr>
      <w:r w:rsidRPr="00ED6018">
        <w:t>–</w:t>
      </w:r>
      <w:r w:rsidRPr="00ED6018">
        <w:tab/>
        <w:t>uwzględniając wniosek Komisji przedstawiony Parlamentowi Europejskiemu i Radzie (COM(2025)0084),</w:t>
      </w:r>
    </w:p>
    <w:p w14:paraId="22745CA2" w14:textId="254E0F56" w:rsidR="000E6CEF" w:rsidRPr="00ED6018" w:rsidRDefault="000E6CEF" w:rsidP="000E6CEF">
      <w:pPr>
        <w:pStyle w:val="NormalHanging12a"/>
      </w:pPr>
      <w:r w:rsidRPr="00ED6018">
        <w:t>–</w:t>
      </w:r>
      <w:r w:rsidRPr="00ED6018">
        <w:tab/>
        <w:t>uwzględniając art. 294 ust. 2, art. 172, art. 173, art. 175 akapit trzeci, art. 182 ust. 1,</w:t>
      </w:r>
      <w:r w:rsidR="007B4397" w:rsidRPr="00ED6018">
        <w:t xml:space="preserve"> art. 183</w:t>
      </w:r>
      <w:r w:rsidR="007B4397">
        <w:t>,</w:t>
      </w:r>
      <w:r w:rsidR="007B4397" w:rsidRPr="00ED6018">
        <w:t xml:space="preserve"> </w:t>
      </w:r>
      <w:r w:rsidRPr="00ED6018">
        <w:t>art. 188 akapit drugi</w:t>
      </w:r>
      <w:r w:rsidR="007B4397">
        <w:t xml:space="preserve"> </w:t>
      </w:r>
      <w:r w:rsidRPr="00ED6018">
        <w:t xml:space="preserve">i art. 194 Traktatu o funkcjonowaniu Unii Europejskiej, na </w:t>
      </w:r>
      <w:proofErr w:type="gramStart"/>
      <w:r w:rsidRPr="00ED6018">
        <w:t>mocy</w:t>
      </w:r>
      <w:proofErr w:type="gramEnd"/>
      <w:r w:rsidRPr="00ED6018">
        <w:t xml:space="preserve"> których Komisja przedłożyła wniosek Parlamentowi (C10</w:t>
      </w:r>
      <w:r w:rsidRPr="00ED6018">
        <w:noBreakHyphen/>
        <w:t>0036/2025),</w:t>
      </w:r>
    </w:p>
    <w:p w14:paraId="65128845" w14:textId="77777777" w:rsidR="000E6CEF" w:rsidRPr="00ED6018" w:rsidRDefault="000E6CEF" w:rsidP="000E6CEF">
      <w:pPr>
        <w:pStyle w:val="NormalHanging12a"/>
      </w:pPr>
      <w:r w:rsidRPr="00ED6018">
        <w:t>–</w:t>
      </w:r>
      <w:r w:rsidRPr="00ED6018">
        <w:tab/>
        <w:t>uwzględniając art. 294 ust. 3 Traktatu o funkcjonowaniu Unii Europejskiej,</w:t>
      </w:r>
    </w:p>
    <w:p w14:paraId="13029B9B" w14:textId="00144A75" w:rsidR="000E6CEF" w:rsidRPr="00ED6018" w:rsidRDefault="000E6CEF" w:rsidP="000E6CEF">
      <w:pPr>
        <w:pStyle w:val="NormalHanging12a"/>
      </w:pPr>
      <w:r w:rsidRPr="00ED6018">
        <w:t>–</w:t>
      </w:r>
      <w:r w:rsidRPr="00ED6018">
        <w:tab/>
        <w:t>uwzględniając opinię Europejskiego Komitetu Ekonomiczno-Społecznego z </w:t>
      </w:r>
      <w:r w:rsidR="007B68F1">
        <w:t xml:space="preserve">dnia </w:t>
      </w:r>
      <w:r w:rsidRPr="00ED6018">
        <w:t>29 kwietnia 2025 r.</w:t>
      </w:r>
      <w:r w:rsidRPr="00ED6018">
        <w:rPr>
          <w:rStyle w:val="FootnoteReference"/>
        </w:rPr>
        <w:footnoteReference w:id="1"/>
      </w:r>
      <w:r w:rsidRPr="00ED6018">
        <w:t>,</w:t>
      </w:r>
    </w:p>
    <w:p w14:paraId="6618494C" w14:textId="77777777" w:rsidR="000E6CEF" w:rsidRDefault="000E6CEF" w:rsidP="000E6CEF">
      <w:pPr>
        <w:pStyle w:val="NormalHanging12a"/>
      </w:pPr>
      <w:r w:rsidRPr="00ED6018">
        <w:t>–</w:t>
      </w:r>
      <w:r w:rsidRPr="00ED6018">
        <w:tab/>
        <w:t>po konsultacji z Komitetem Regionów,</w:t>
      </w:r>
    </w:p>
    <w:p w14:paraId="556F6D43" w14:textId="76E24508" w:rsidR="007B4397" w:rsidRPr="00ED6018" w:rsidRDefault="00610DB0" w:rsidP="000E6CEF">
      <w:pPr>
        <w:pStyle w:val="NormalHanging12a"/>
      </w:pPr>
      <w:bookmarkStart w:id="6" w:name="_Hlk211842926"/>
      <w:r w:rsidRPr="0090212C">
        <w:t>–</w:t>
      </w:r>
      <w:r w:rsidRPr="0090212C">
        <w:tab/>
        <w:t>uwzględniając wstępne porozumienie zatwierdzone przez komisj</w:t>
      </w:r>
      <w:r>
        <w:t>e</w:t>
      </w:r>
      <w:r w:rsidRPr="0090212C">
        <w:t xml:space="preserve"> </w:t>
      </w:r>
      <w:r>
        <w:t>przedmiotowo właściwe na podstawie art. 75</w:t>
      </w:r>
      <w:r w:rsidRPr="0090212C">
        <w:t xml:space="preserve"> ust. 4 Regulaminu oraz </w:t>
      </w:r>
      <w:r>
        <w:t>przekazane pismem z dnia 8 października 2025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  <w:bookmarkEnd w:id="6"/>
    </w:p>
    <w:p w14:paraId="4CC0C718" w14:textId="77777777" w:rsidR="000E6CEF" w:rsidRPr="00ED6018" w:rsidRDefault="000E6CEF" w:rsidP="000E6CEF">
      <w:pPr>
        <w:pStyle w:val="NormalHanging12a"/>
      </w:pPr>
      <w:r w:rsidRPr="00ED6018">
        <w:lastRenderedPageBreak/>
        <w:t>–</w:t>
      </w:r>
      <w:r w:rsidRPr="00ED6018">
        <w:tab/>
        <w:t>uwzględniając art. 60 Regulaminu,</w:t>
      </w:r>
    </w:p>
    <w:p w14:paraId="1AA2BF6F" w14:textId="77777777" w:rsidR="000E6CEF" w:rsidRPr="00ED6018" w:rsidRDefault="000E6CEF" w:rsidP="000E6CEF">
      <w:pPr>
        <w:pStyle w:val="NormalHanging12a"/>
      </w:pPr>
      <w:r w:rsidRPr="00ED6018">
        <w:t>–</w:t>
      </w:r>
      <w:r w:rsidRPr="00ED6018">
        <w:tab/>
        <w:t>uwzględniając wspólne posiedzenia Komisji Budżetowej oraz Komisji Gospodarczej i Monetarnej zgodnie z art. 59 Regulaminu,</w:t>
      </w:r>
    </w:p>
    <w:p w14:paraId="7096C563" w14:textId="77777777" w:rsidR="000E6CEF" w:rsidRPr="00ED6018" w:rsidRDefault="000E6CEF" w:rsidP="000E6CEF">
      <w:pPr>
        <w:pStyle w:val="NormalHanging12a"/>
      </w:pPr>
      <w:r w:rsidRPr="00ED6018">
        <w:t>–</w:t>
      </w:r>
      <w:r w:rsidRPr="00ED6018">
        <w:tab/>
        <w:t>uwzględniając opinie przedstawione przez Komisję Przemysłu, Badań Naukowych i Energii oraz Komisję Transportu i Turystyki,</w:t>
      </w:r>
    </w:p>
    <w:p w14:paraId="631F4C6A" w14:textId="77777777" w:rsidR="000E6CEF" w:rsidRPr="00ED6018" w:rsidRDefault="000E6CEF" w:rsidP="000E6CEF">
      <w:pPr>
        <w:pStyle w:val="NormalHanging12a"/>
      </w:pPr>
      <w:r w:rsidRPr="00ED6018">
        <w:t>–</w:t>
      </w:r>
      <w:r w:rsidRPr="00ED6018">
        <w:tab/>
        <w:t>uwzględniając sprawozdanie Komisji Budżetowej i Komisji Gospodarczej i Monetarnej (A10-0117/2025),</w:t>
      </w:r>
    </w:p>
    <w:p w14:paraId="42C37C9D" w14:textId="77777777" w:rsidR="000E6CEF" w:rsidRPr="00ED6018" w:rsidRDefault="000E6CEF" w:rsidP="000E6CEF">
      <w:pPr>
        <w:pStyle w:val="NormalHanging12a"/>
      </w:pPr>
      <w:r w:rsidRPr="00ED6018">
        <w:t>1.</w:t>
      </w:r>
      <w:r w:rsidRPr="00ED6018">
        <w:tab/>
        <w:t>przyjmuje poniższe stanowisko w pierwszym czytaniu;</w:t>
      </w:r>
    </w:p>
    <w:p w14:paraId="60906169" w14:textId="77777777" w:rsidR="000E6CEF" w:rsidRPr="00ED6018" w:rsidRDefault="000E6CEF" w:rsidP="000E6CEF">
      <w:pPr>
        <w:pStyle w:val="NormalHanging12a"/>
      </w:pPr>
      <w:r w:rsidRPr="00ED6018">
        <w:t>2.</w:t>
      </w:r>
      <w:r w:rsidRPr="00ED6018">
        <w:tab/>
        <w:t>zwraca się do Komisji o ponowne przekazanie mu sprawy, jeśli zastąpi ona pierwotny wniosek, wprowadzi w nim istotne zmiany lub planuje ich wprowadzenie;</w:t>
      </w:r>
    </w:p>
    <w:p w14:paraId="7E8A9B93" w14:textId="77777777" w:rsidR="00610DB0" w:rsidRDefault="000E6CEF" w:rsidP="000E6CEF">
      <w:pPr>
        <w:pStyle w:val="NormalHanging12a"/>
        <w:sectPr w:rsidR="00610DB0" w:rsidSect="00ED60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D6018">
        <w:t>3.</w:t>
      </w:r>
      <w:r w:rsidRPr="00ED6018">
        <w:tab/>
        <w:t>zobowiązuje swoją przewodniczącą do przekazania stanowiska Parlamentu Radzie i Komisji oraz parlamentom narodowym.</w:t>
      </w:r>
    </w:p>
    <w:p w14:paraId="211E1994" w14:textId="2346DFA1" w:rsidR="00610DB0" w:rsidRDefault="00610DB0" w:rsidP="00610DB0">
      <w:pPr>
        <w:spacing w:after="240"/>
        <w:rPr>
          <w:b/>
        </w:rPr>
      </w:pPr>
      <w:r>
        <w:rPr>
          <w:b/>
        </w:rPr>
        <w:lastRenderedPageBreak/>
        <w:t>P10_TC1-COD(2025)0040</w:t>
      </w:r>
    </w:p>
    <w:p w14:paraId="1ED7E233" w14:textId="6145BD5D" w:rsidR="00610DB0" w:rsidRPr="00610DB0" w:rsidRDefault="00610DB0" w:rsidP="00610DB0">
      <w:pPr>
        <w:pStyle w:val="NormalHanging12a"/>
        <w:ind w:left="0" w:firstLine="0"/>
        <w:rPr>
          <w:b/>
        </w:rPr>
      </w:pPr>
      <w:r w:rsidRPr="00610DB0">
        <w:rPr>
          <w:b/>
        </w:rPr>
        <w:t xml:space="preserve">Stanowisko Parlamentu Europejskiego przyjęte w pierwszym czytaniu w dniu </w:t>
      </w:r>
      <w:r>
        <w:rPr>
          <w:b/>
        </w:rPr>
        <w:t>26 listopada</w:t>
      </w:r>
      <w:r w:rsidRPr="00610DB0">
        <w:rPr>
          <w:b/>
        </w:rPr>
        <w:t xml:space="preserve"> 2025 r. w celu przyjęcia rozporządzenia Parlamentu Europejskiego i Rady (UE) 2025/... w sprawie zmiany rozporządzeń (UE) 2015/1017, (UE) 2021/523, (UE) 2021/695 i (UE) 2021/1153 w odniesieniu do zwiększenia efektywności gwarancji UE ustanowionej w rozporządzeniu (UE) 2021/523 oraz uproszczenia wymogów sprawozdawczych</w:t>
      </w:r>
    </w:p>
    <w:p w14:paraId="62F16114" w14:textId="51BBDD38" w:rsidR="009B7188" w:rsidRPr="009B0F34" w:rsidRDefault="009B7188" w:rsidP="009B7188">
      <w:pPr>
        <w:spacing w:before="240"/>
        <w:rPr>
          <w:i/>
        </w:rPr>
      </w:pPr>
      <w:r w:rsidRPr="009B0F34">
        <w:rPr>
          <w:i/>
        </w:rPr>
        <w:t>(Jako że pomiędzy Parlamentem i Radą osiągnięte zostało porozumienie, stanowisko Parlamentu odpowiada ostatecznej wersji aktu prawnego, rozporządzenia (UE) 2025/</w:t>
      </w:r>
      <w:r>
        <w:rPr>
          <w:i/>
        </w:rPr>
        <w:t>2005</w:t>
      </w:r>
      <w:r w:rsidRPr="009B0F34">
        <w:rPr>
          <w:i/>
        </w:rPr>
        <w:t>.)</w:t>
      </w:r>
    </w:p>
    <w:p w14:paraId="1D35705F" w14:textId="77777777" w:rsidR="00610DB0" w:rsidRPr="00C926DE" w:rsidRDefault="00610DB0" w:rsidP="009B7188">
      <w:pPr>
        <w:pStyle w:val="Institutionquiagit"/>
        <w:tabs>
          <w:tab w:val="left" w:pos="851"/>
          <w:tab w:val="left" w:pos="1418"/>
          <w:tab w:val="left" w:pos="1985"/>
          <w:tab w:val="left" w:pos="2552"/>
          <w:tab w:val="left" w:pos="3119"/>
        </w:tabs>
      </w:pPr>
    </w:p>
    <w:sectPr w:rsidR="00610DB0" w:rsidRPr="00C926DE" w:rsidSect="00ED601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7951A" w14:textId="77777777" w:rsidR="000E4AD0" w:rsidRPr="00ED6018" w:rsidRDefault="000E4AD0">
      <w:r w:rsidRPr="00ED6018">
        <w:separator/>
      </w:r>
    </w:p>
  </w:endnote>
  <w:endnote w:type="continuationSeparator" w:id="0">
    <w:p w14:paraId="2A1D5D2A" w14:textId="77777777" w:rsidR="000E4AD0" w:rsidRPr="00ED6018" w:rsidRDefault="000E4AD0">
      <w:r w:rsidRPr="00ED60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81575" w14:textId="77777777" w:rsidR="00064002" w:rsidRPr="00ED601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8F789" w14:textId="77777777" w:rsidR="00064002" w:rsidRPr="00ED601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29585" w14:textId="77777777" w:rsidR="00064002" w:rsidRPr="00ED601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F41C8" w14:textId="77777777" w:rsidR="000E4AD0" w:rsidRPr="00ED6018" w:rsidRDefault="000E4AD0">
      <w:r w:rsidRPr="00ED6018">
        <w:separator/>
      </w:r>
    </w:p>
  </w:footnote>
  <w:footnote w:type="continuationSeparator" w:id="0">
    <w:p w14:paraId="194B0765" w14:textId="77777777" w:rsidR="000E4AD0" w:rsidRPr="00ED6018" w:rsidRDefault="000E4AD0">
      <w:r w:rsidRPr="00ED6018">
        <w:continuationSeparator/>
      </w:r>
    </w:p>
  </w:footnote>
  <w:footnote w:id="1">
    <w:p w14:paraId="54C28B54" w14:textId="7E12DFD2" w:rsidR="000E6CEF" w:rsidRPr="001D5A23" w:rsidRDefault="000E6CEF" w:rsidP="00ED6018">
      <w:pPr>
        <w:pStyle w:val="FootnoteText"/>
        <w:ind w:left="567" w:hanging="567"/>
        <w:rPr>
          <w:sz w:val="24"/>
          <w:lang w:val="fi-FI"/>
        </w:rPr>
      </w:pPr>
      <w:r w:rsidRPr="00ED6018">
        <w:rPr>
          <w:rStyle w:val="FootnoteReference"/>
          <w:sz w:val="24"/>
          <w:lang w:val="pl-PL"/>
        </w:rPr>
        <w:footnoteRef/>
      </w:r>
      <w:r w:rsidR="00ED6018" w:rsidRPr="001D5A23">
        <w:rPr>
          <w:sz w:val="24"/>
          <w:lang w:val="fi-FI"/>
        </w:rPr>
        <w:t xml:space="preserve"> </w:t>
      </w:r>
      <w:r w:rsidR="00ED6018" w:rsidRPr="001D5A23">
        <w:rPr>
          <w:sz w:val="24"/>
          <w:lang w:val="fi-FI"/>
        </w:rPr>
        <w:tab/>
      </w:r>
      <w:proofErr w:type="spellStart"/>
      <w:r w:rsidR="00610DB0">
        <w:rPr>
          <w:sz w:val="24"/>
          <w:lang w:val="fi-FI"/>
        </w:rPr>
        <w:t>Dz.U</w:t>
      </w:r>
      <w:proofErr w:type="spellEnd"/>
      <w:r w:rsidR="00610DB0">
        <w:rPr>
          <w:sz w:val="24"/>
          <w:lang w:val="fi-FI"/>
        </w:rPr>
        <w:t>.</w:t>
      </w:r>
      <w:r w:rsidR="00610DB0" w:rsidRPr="00610DB0">
        <w:rPr>
          <w:sz w:val="24"/>
          <w:lang w:val="fi-FI"/>
        </w:rPr>
        <w:t xml:space="preserve"> C, C/2025/3199, 2.7.2025, ELI: </w:t>
      </w:r>
      <w:hyperlink r:id="rId1" w:history="1">
        <w:r w:rsidR="00610DB0" w:rsidRPr="00610DB0">
          <w:rPr>
            <w:rStyle w:val="Hyperlink"/>
            <w:sz w:val="24"/>
            <w:lang w:val="fi-FI"/>
          </w:rPr>
          <w:t>http://data.europa.eu/eli/C/2025/3199/oj</w:t>
        </w:r>
      </w:hyperlink>
      <w:r w:rsidRPr="001D5A23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1C890" w14:textId="77777777" w:rsidR="00064002" w:rsidRPr="00ED601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B0740" w14:textId="77777777" w:rsidR="00064002" w:rsidRPr="00ED601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E403B" w14:textId="77777777" w:rsidR="00064002" w:rsidRPr="00ED601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20933059">
    <w:abstractNumId w:val="9"/>
  </w:num>
  <w:num w:numId="2" w16cid:durableId="1825704138">
    <w:abstractNumId w:val="9"/>
  </w:num>
  <w:num w:numId="3" w16cid:durableId="589698931">
    <w:abstractNumId w:val="7"/>
  </w:num>
  <w:num w:numId="4" w16cid:durableId="61486177">
    <w:abstractNumId w:val="7"/>
  </w:num>
  <w:num w:numId="5" w16cid:durableId="1170676583">
    <w:abstractNumId w:val="6"/>
  </w:num>
  <w:num w:numId="6" w16cid:durableId="2022468768">
    <w:abstractNumId w:val="6"/>
  </w:num>
  <w:num w:numId="7" w16cid:durableId="183711376">
    <w:abstractNumId w:val="5"/>
  </w:num>
  <w:num w:numId="8" w16cid:durableId="23482791">
    <w:abstractNumId w:val="5"/>
  </w:num>
  <w:num w:numId="9" w16cid:durableId="1497915788">
    <w:abstractNumId w:val="4"/>
  </w:num>
  <w:num w:numId="10" w16cid:durableId="1687631395">
    <w:abstractNumId w:val="4"/>
  </w:num>
  <w:num w:numId="11" w16cid:durableId="2061054976">
    <w:abstractNumId w:val="8"/>
  </w:num>
  <w:num w:numId="12" w16cid:durableId="1184593817">
    <w:abstractNumId w:val="8"/>
  </w:num>
  <w:num w:numId="13" w16cid:durableId="1953588908">
    <w:abstractNumId w:val="3"/>
  </w:num>
  <w:num w:numId="14" w16cid:durableId="376319537">
    <w:abstractNumId w:val="3"/>
  </w:num>
  <w:num w:numId="15" w16cid:durableId="1501238502">
    <w:abstractNumId w:val="2"/>
  </w:num>
  <w:num w:numId="16" w16cid:durableId="1257246003">
    <w:abstractNumId w:val="2"/>
  </w:num>
  <w:num w:numId="17" w16cid:durableId="2111271199">
    <w:abstractNumId w:val="1"/>
  </w:num>
  <w:num w:numId="18" w16cid:durableId="968053230">
    <w:abstractNumId w:val="1"/>
  </w:num>
  <w:num w:numId="19" w16cid:durableId="1032147780">
    <w:abstractNumId w:val="0"/>
  </w:num>
  <w:num w:numId="20" w16cid:durableId="447235955">
    <w:abstractNumId w:val="0"/>
  </w:num>
  <w:num w:numId="21" w16cid:durableId="231743079">
    <w:abstractNumId w:val="9"/>
  </w:num>
  <w:num w:numId="22" w16cid:durableId="158933673">
    <w:abstractNumId w:val="7"/>
  </w:num>
  <w:num w:numId="23" w16cid:durableId="1809786838">
    <w:abstractNumId w:val="6"/>
  </w:num>
  <w:num w:numId="24" w16cid:durableId="1463380408">
    <w:abstractNumId w:val="5"/>
  </w:num>
  <w:num w:numId="25" w16cid:durableId="2130931948">
    <w:abstractNumId w:val="4"/>
  </w:num>
  <w:num w:numId="26" w16cid:durableId="815949853">
    <w:abstractNumId w:val="8"/>
  </w:num>
  <w:num w:numId="27" w16cid:durableId="1206912433">
    <w:abstractNumId w:val="3"/>
  </w:num>
  <w:num w:numId="28" w16cid:durableId="503518096">
    <w:abstractNumId w:val="2"/>
  </w:num>
  <w:num w:numId="29" w16cid:durableId="386493339">
    <w:abstractNumId w:val="1"/>
  </w:num>
  <w:num w:numId="30" w16cid:durableId="1098136118">
    <w:abstractNumId w:val="0"/>
  </w:num>
  <w:num w:numId="31" w16cid:durableId="1679195401">
    <w:abstractNumId w:val="9"/>
  </w:num>
  <w:num w:numId="32" w16cid:durableId="714699337">
    <w:abstractNumId w:val="7"/>
  </w:num>
  <w:num w:numId="33" w16cid:durableId="153422761">
    <w:abstractNumId w:val="6"/>
  </w:num>
  <w:num w:numId="34" w16cid:durableId="464616728">
    <w:abstractNumId w:val="5"/>
  </w:num>
  <w:num w:numId="35" w16cid:durableId="397633122">
    <w:abstractNumId w:val="4"/>
  </w:num>
  <w:num w:numId="36" w16cid:durableId="1829858637">
    <w:abstractNumId w:val="8"/>
  </w:num>
  <w:num w:numId="37" w16cid:durableId="295645548">
    <w:abstractNumId w:val="3"/>
  </w:num>
  <w:num w:numId="38" w16cid:durableId="1713339718">
    <w:abstractNumId w:val="2"/>
  </w:num>
  <w:num w:numId="39" w16cid:durableId="1093818101">
    <w:abstractNumId w:val="1"/>
  </w:num>
  <w:num w:numId="40" w16cid:durableId="350183109">
    <w:abstractNumId w:val="0"/>
  </w:num>
  <w:num w:numId="41" w16cid:durableId="154538353">
    <w:abstractNumId w:val="10"/>
  </w:num>
  <w:num w:numId="42" w16cid:durableId="85541320">
    <w:abstractNumId w:val="10"/>
  </w:num>
  <w:num w:numId="43" w16cid:durableId="1573155849">
    <w:abstractNumId w:val="10"/>
  </w:num>
  <w:num w:numId="44" w16cid:durableId="15731546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7/2025"/>
    <w:docVar w:name="dvlangue" w:val="PL"/>
    <w:docVar w:name="dvnumam" w:val="0"/>
    <w:docVar w:name="dvpe" w:val="773.087"/>
    <w:docVar w:name="dvrapporteur" w:val="Sprawozdawca: "/>
    <w:docVar w:name="dvstar" w:val="***I"/>
    <w:docVar w:name="dvtitre" w:val="Rezolucja ustawodawcza Parlamentu Europejskiego z dnia  2025 r. w sprawie wniosku dotyczącego rozporządzenia Parlamentu Europejskiego i Rady zmieniającego rozporządzenia (UE) 2015/1017, (UE) 2021/523, (UE) 2021/695 i (UE) 2021/1153 w odniesieniu do zwiększenia efektywności gwarancji UE ustanowionej w rozporządzeniu (UE) 2021/523 oraz uproszczenia wymogów sprawozdawczych(COM(2025)0084 – C10-0036/2025 – 2025/0040(COD))"/>
  </w:docVars>
  <w:rsids>
    <w:rsidRoot w:val="000E4AD0"/>
    <w:rsid w:val="00002272"/>
    <w:rsid w:val="00055496"/>
    <w:rsid w:val="00064002"/>
    <w:rsid w:val="000677B9"/>
    <w:rsid w:val="000831BA"/>
    <w:rsid w:val="000A42CC"/>
    <w:rsid w:val="000E4AD0"/>
    <w:rsid w:val="000E6CEF"/>
    <w:rsid w:val="000E7DD9"/>
    <w:rsid w:val="0010095E"/>
    <w:rsid w:val="00125B37"/>
    <w:rsid w:val="00143130"/>
    <w:rsid w:val="00187494"/>
    <w:rsid w:val="001D5A23"/>
    <w:rsid w:val="001F32AE"/>
    <w:rsid w:val="00270042"/>
    <w:rsid w:val="0027622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39FF"/>
    <w:rsid w:val="004825A8"/>
    <w:rsid w:val="004867E3"/>
    <w:rsid w:val="00494A28"/>
    <w:rsid w:val="004C0004"/>
    <w:rsid w:val="004C5D52"/>
    <w:rsid w:val="0050519A"/>
    <w:rsid w:val="005072A1"/>
    <w:rsid w:val="00514517"/>
    <w:rsid w:val="00514F6F"/>
    <w:rsid w:val="00545827"/>
    <w:rsid w:val="00560270"/>
    <w:rsid w:val="005C2568"/>
    <w:rsid w:val="005F1B17"/>
    <w:rsid w:val="006037C0"/>
    <w:rsid w:val="00610DB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4397"/>
    <w:rsid w:val="007B68F1"/>
    <w:rsid w:val="007D1690"/>
    <w:rsid w:val="007E22AD"/>
    <w:rsid w:val="00817416"/>
    <w:rsid w:val="0082268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7ED6"/>
    <w:rsid w:val="00981893"/>
    <w:rsid w:val="009B718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11CE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30C4"/>
    <w:rsid w:val="00E820A4"/>
    <w:rsid w:val="00EB000E"/>
    <w:rsid w:val="00EB006A"/>
    <w:rsid w:val="00EB4772"/>
    <w:rsid w:val="00ED169E"/>
    <w:rsid w:val="00ED4235"/>
    <w:rsid w:val="00ED6018"/>
    <w:rsid w:val="00F04346"/>
    <w:rsid w:val="00F075DC"/>
    <w:rsid w:val="00F149E9"/>
    <w:rsid w:val="00F176D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57F09B"/>
  <w15:chartTrackingRefBased/>
  <w15:docId w15:val="{150EB8CB-F1A7-4734-8EDD-21EB0FB72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symbolCarZchn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E6CE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E6CEF"/>
    <w:pPr>
      <w:spacing w:before="480" w:after="240"/>
    </w:pPr>
  </w:style>
  <w:style w:type="paragraph" w:customStyle="1" w:styleId="PageHeading">
    <w:name w:val="PageHeading"/>
    <w:basedOn w:val="Normal"/>
    <w:rsid w:val="000E6CE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E6CEF"/>
    <w:rPr>
      <w:b/>
    </w:rPr>
  </w:style>
  <w:style w:type="paragraph" w:customStyle="1" w:styleId="NormalHanging12a">
    <w:name w:val="NormalHanging12a"/>
    <w:basedOn w:val="Normal"/>
    <w:rsid w:val="000E6CE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0E6CEF"/>
    <w:pPr>
      <w:spacing w:after="240"/>
      <w:jc w:val="center"/>
    </w:pPr>
  </w:style>
  <w:style w:type="paragraph" w:styleId="Header">
    <w:name w:val="header"/>
    <w:basedOn w:val="Normal"/>
    <w:link w:val="HeaderChar"/>
    <w:rsid w:val="000E6C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E6CEF"/>
    <w:rPr>
      <w:sz w:val="24"/>
      <w:lang w:val="pl-PL"/>
    </w:rPr>
  </w:style>
  <w:style w:type="paragraph" w:customStyle="1" w:styleId="AmNumberTabs">
    <w:name w:val="AmNumberTabs"/>
    <w:basedOn w:val="Normal"/>
    <w:rsid w:val="000E6C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0E6CEF"/>
    <w:pPr>
      <w:spacing w:before="720" w:after="240"/>
      <w:jc w:val="center"/>
    </w:pPr>
  </w:style>
  <w:style w:type="paragraph" w:customStyle="1" w:styleId="EPFooter">
    <w:name w:val="EPFooter"/>
    <w:basedOn w:val="Normal"/>
    <w:rsid w:val="000E6CE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0E6CEF"/>
    <w:pPr>
      <w:spacing w:after="480"/>
    </w:pPr>
  </w:style>
  <w:style w:type="paragraph" w:customStyle="1" w:styleId="NormalBoldCenter">
    <w:name w:val="NormalBoldCenter"/>
    <w:basedOn w:val="Normal"/>
    <w:rsid w:val="000E6CEF"/>
    <w:pPr>
      <w:jc w:val="center"/>
    </w:pPr>
    <w:rPr>
      <w:b/>
    </w:rPr>
  </w:style>
  <w:style w:type="paragraph" w:customStyle="1" w:styleId="Footprint12b">
    <w:name w:val="Footprint12b"/>
    <w:basedOn w:val="Normal"/>
    <w:rsid w:val="000E6CEF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E6CEF"/>
    <w:rPr>
      <w:szCs w:val="24"/>
    </w:rPr>
  </w:style>
  <w:style w:type="character" w:styleId="Hyperlink">
    <w:name w:val="Hyperlink"/>
    <w:basedOn w:val="DefaultParagraphFont"/>
    <w:uiPriority w:val="99"/>
    <w:rsid w:val="000E6CEF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0E6CEF"/>
    <w:pPr>
      <w:spacing w:after="240"/>
    </w:pPr>
  </w:style>
  <w:style w:type="character" w:customStyle="1" w:styleId="NormalBoldChar">
    <w:name w:val="NormalBold Char"/>
    <w:basedOn w:val="DefaultParagraphFont"/>
    <w:link w:val="NormalBold"/>
    <w:rsid w:val="000E6CEF"/>
    <w:rPr>
      <w:b/>
      <w:sz w:val="24"/>
      <w:lang w:val="pl-PL"/>
    </w:rPr>
  </w:style>
  <w:style w:type="paragraph" w:styleId="Revision">
    <w:name w:val="Revision"/>
    <w:hidden/>
    <w:uiPriority w:val="99"/>
    <w:semiHidden/>
    <w:rsid w:val="007B68F1"/>
    <w:rPr>
      <w:sz w:val="24"/>
      <w:lang w:val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610DB0"/>
    <w:rPr>
      <w:color w:val="605E5C"/>
      <w:shd w:val="clear" w:color="auto" w:fill="E1DFDD"/>
    </w:rPr>
  </w:style>
  <w:style w:type="paragraph" w:customStyle="1" w:styleId="AmOrLang">
    <w:name w:val="AmOrLang"/>
    <w:basedOn w:val="Normal"/>
    <w:rsid w:val="00610DB0"/>
    <w:pPr>
      <w:spacing w:before="240" w:after="240"/>
      <w:jc w:val="right"/>
    </w:pPr>
  </w:style>
  <w:style w:type="paragraph" w:customStyle="1" w:styleId="Institutionquiagit">
    <w:name w:val="Institution qui agit"/>
    <w:basedOn w:val="Normal"/>
    <w:next w:val="Normal"/>
    <w:rsid w:val="00610DB0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610DB0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610DB0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FootnoteTextForceStyle">
    <w:name w:val="Footnote Text ForceStyle"/>
    <w:rsid w:val="00610DB0"/>
    <w:pPr>
      <w:keepLines/>
      <w:widowControl w:val="0"/>
      <w:spacing w:line="240" w:lineRule="exact"/>
      <w:ind w:left="850" w:hanging="850"/>
    </w:pPr>
    <w:rPr>
      <w:sz w:val="24"/>
      <w:lang w:val="pl-PL" w:eastAsia="en-US"/>
    </w:rPr>
  </w:style>
  <w:style w:type="paragraph" w:customStyle="1" w:styleId="Considrant">
    <w:name w:val="Considérant"/>
    <w:basedOn w:val="Normal"/>
    <w:rsid w:val="00610DB0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610DB0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610DB0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610DB0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610DB0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610DB0"/>
    <w:pPr>
      <w:widowControl w:val="0"/>
      <w:spacing w:before="120" w:after="120" w:line="360" w:lineRule="auto"/>
    </w:pPr>
    <w:rPr>
      <w:sz w:val="24"/>
      <w:lang w:val="pl-PL" w:eastAsia="en-US"/>
    </w:rPr>
  </w:style>
  <w:style w:type="paragraph" w:customStyle="1" w:styleId="FootnotesymbolCarZchn">
    <w:name w:val="Footnote symbol Car Zchn"/>
    <w:aliases w:val="BVI fnr Car Zchn,Char Char Char Char Char Car Zchn,Exposant 3 Point Car Zchn,Footnote Car Zchn,Footnote Reference Superscript Car Zchn,SUPERS Car Zchn,Times 10 Point Car Zchn"/>
    <w:basedOn w:val="Normal"/>
    <w:link w:val="FootnoteReference"/>
    <w:uiPriority w:val="99"/>
    <w:qFormat/>
    <w:rsid w:val="00610DB0"/>
    <w:pPr>
      <w:widowControl/>
      <w:spacing w:after="160" w:line="240" w:lineRule="exact"/>
      <w:jc w:val="both"/>
    </w:pPr>
    <w:rPr>
      <w:sz w:val="20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2026-02-06T16:36:00Z</dcterms:created>
  <dcterms:modified xsi:type="dcterms:W3CDTF">2026-02-06T16:36:00Z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P10_TA(2025)0296_</vt:lpwstr>
  </property>
  <property fmtid="{D5CDD505-2E9C-101B-9397-08002B2CF9AE}" pid="4" name="&lt;Type&gt;">
    <vt:lpwstr>RR</vt:lpwstr>
  </property>
</Properties>
</file>