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2C8F" w14:paraId="6F28141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7B2BF1" w14:textId="77777777" w:rsidR="00751A4A" w:rsidRPr="005B2C8F" w:rsidRDefault="00905429" w:rsidP="0010095E">
            <w:pPr>
              <w:pStyle w:val="EPName"/>
            </w:pPr>
            <w:r w:rsidRPr="005B2C8F">
              <w:t xml:space="preserve">Parlamento </w:t>
            </w:r>
            <w:proofErr w:type="gramStart"/>
            <w:r w:rsidRPr="005B2C8F">
              <w:t>Europeu</w:t>
            </w:r>
            <w:proofErr w:type="gramEnd"/>
          </w:p>
          <w:p w14:paraId="7951AD2A" w14:textId="77777777" w:rsidR="00751A4A" w:rsidRPr="005B2C8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2C8F">
              <w:t>2024</w:t>
            </w:r>
            <w:r w:rsidR="00817416" w:rsidRPr="005B2C8F">
              <w:t>-202</w:t>
            </w:r>
            <w:r w:rsidRPr="005B2C8F">
              <w:t>9</w:t>
            </w:r>
          </w:p>
        </w:tc>
        <w:tc>
          <w:tcPr>
            <w:tcW w:w="2268" w:type="dxa"/>
            <w:shd w:val="clear" w:color="auto" w:fill="auto"/>
          </w:tcPr>
          <w:p w14:paraId="4D6D24C2" w14:textId="77777777" w:rsidR="00751A4A" w:rsidRPr="005B2C8F" w:rsidRDefault="00187494" w:rsidP="0010095E">
            <w:pPr>
              <w:pStyle w:val="EPLogo"/>
            </w:pPr>
            <w:r w:rsidRPr="005B2C8F">
              <w:rPr>
                <w:noProof/>
                <w:lang w:eastAsia="ja-JP"/>
              </w:rPr>
              <w:drawing>
                <wp:inline distT="0" distB="0" distL="0" distR="0" wp14:anchorId="1FFD25DB" wp14:editId="4DA1F6A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97D2F4" w14:textId="77777777" w:rsidR="00D058B8" w:rsidRPr="005B2C8F" w:rsidRDefault="00D058B8" w:rsidP="004C5D52">
      <w:pPr>
        <w:pStyle w:val="LineTop"/>
      </w:pPr>
    </w:p>
    <w:p w14:paraId="2E84CCC2" w14:textId="77777777" w:rsidR="00680577" w:rsidRPr="005B2C8F" w:rsidRDefault="00905429" w:rsidP="00680577">
      <w:pPr>
        <w:pStyle w:val="EPBodyTA1"/>
      </w:pPr>
      <w:r w:rsidRPr="005B2C8F">
        <w:t>TEXTOS APROVADOS</w:t>
      </w:r>
    </w:p>
    <w:p w14:paraId="37AFFA88" w14:textId="77777777" w:rsidR="00D058B8" w:rsidRPr="005B2C8F" w:rsidRDefault="00D058B8" w:rsidP="00D058B8">
      <w:pPr>
        <w:pStyle w:val="LineBottom"/>
      </w:pPr>
    </w:p>
    <w:p w14:paraId="752AF4E4" w14:textId="002CECB1" w:rsidR="00905429" w:rsidRPr="005B2C8F" w:rsidRDefault="00905429" w:rsidP="00905429">
      <w:pPr>
        <w:pStyle w:val="ATHeading1"/>
      </w:pPr>
      <w:bookmarkStart w:id="0" w:name="TANumber"/>
      <w:r w:rsidRPr="005B2C8F">
        <w:t>P10_TA(2025)0</w:t>
      </w:r>
      <w:bookmarkEnd w:id="0"/>
      <w:r w:rsidR="003E5673">
        <w:t>296</w:t>
      </w:r>
    </w:p>
    <w:p w14:paraId="0C01C598" w14:textId="2F3B2032" w:rsidR="00905429" w:rsidRPr="005B2C8F" w:rsidRDefault="00905429" w:rsidP="00905429">
      <w:pPr>
        <w:pStyle w:val="ATHeading2"/>
      </w:pPr>
      <w:bookmarkStart w:id="1" w:name="title"/>
      <w:r w:rsidRPr="005B2C8F">
        <w:t xml:space="preserve">Aumento da eficiência da garantia da UE ao abrigo do Regulamento </w:t>
      </w:r>
      <w:proofErr w:type="spellStart"/>
      <w:r w:rsidRPr="005B2C8F">
        <w:t>InvestEU</w:t>
      </w:r>
      <w:proofErr w:type="spellEnd"/>
      <w:r w:rsidRPr="005B2C8F">
        <w:t xml:space="preserve"> e simplificação dos requisitos de comunicação de informações</w:t>
      </w:r>
      <w:bookmarkEnd w:id="1"/>
    </w:p>
    <w:p w14:paraId="3B0607F3" w14:textId="77777777" w:rsidR="00905429" w:rsidRPr="005B2C8F" w:rsidRDefault="00905429" w:rsidP="00905429">
      <w:pPr>
        <w:rPr>
          <w:i/>
          <w:vanish/>
        </w:rPr>
      </w:pPr>
      <w:r w:rsidRPr="005B2C8F">
        <w:rPr>
          <w:i/>
        </w:rPr>
        <w:fldChar w:fldCharType="begin"/>
      </w:r>
      <w:r w:rsidRPr="005B2C8F">
        <w:rPr>
          <w:i/>
        </w:rPr>
        <w:instrText xml:space="preserve"> TC"(</w:instrText>
      </w:r>
      <w:bookmarkStart w:id="2" w:name="DocNumber"/>
      <w:r w:rsidRPr="005B2C8F">
        <w:rPr>
          <w:i/>
        </w:rPr>
        <w:instrText>A10-0117/2025</w:instrText>
      </w:r>
      <w:bookmarkEnd w:id="2"/>
      <w:r w:rsidRPr="005B2C8F">
        <w:rPr>
          <w:i/>
        </w:rPr>
        <w:instrText xml:space="preserve"> - Relatoras: Aura </w:instrText>
      </w:r>
      <w:proofErr w:type="spellStart"/>
      <w:r w:rsidRPr="005B2C8F">
        <w:rPr>
          <w:i/>
        </w:rPr>
        <w:instrText>Salla</w:instrText>
      </w:r>
      <w:proofErr w:type="spellEnd"/>
      <w:r w:rsidRPr="005B2C8F">
        <w:rPr>
          <w:i/>
        </w:rPr>
        <w:instrText xml:space="preserve">, Irene </w:instrText>
      </w:r>
      <w:proofErr w:type="spellStart"/>
      <w:r w:rsidRPr="005B2C8F">
        <w:rPr>
          <w:i/>
        </w:rPr>
        <w:instrText>Tinagli</w:instrText>
      </w:r>
      <w:proofErr w:type="spellEnd"/>
      <w:r w:rsidRPr="005B2C8F">
        <w:rPr>
          <w:i/>
        </w:rPr>
        <w:instrText xml:space="preserve">)"\l3 \n&gt; \* MERGEFORMAT </w:instrText>
      </w:r>
      <w:r w:rsidRPr="005B2C8F">
        <w:rPr>
          <w:i/>
        </w:rPr>
        <w:fldChar w:fldCharType="end"/>
      </w:r>
    </w:p>
    <w:p w14:paraId="716BC3CD" w14:textId="77777777" w:rsidR="00905429" w:rsidRPr="005B2C8F" w:rsidRDefault="00905429" w:rsidP="00905429">
      <w:pPr>
        <w:rPr>
          <w:vanish/>
        </w:rPr>
      </w:pPr>
      <w:bookmarkStart w:id="3" w:name="Commission"/>
      <w:r w:rsidRPr="005B2C8F">
        <w:rPr>
          <w:vanish/>
        </w:rPr>
        <w:t xml:space="preserve">Comissão dos Orçamentos, Comissão dos Assuntos Económicos e Monetários, </w:t>
      </w:r>
      <w:bookmarkEnd w:id="3"/>
    </w:p>
    <w:p w14:paraId="4E437719" w14:textId="77777777" w:rsidR="00905429" w:rsidRPr="005B2C8F" w:rsidRDefault="00905429" w:rsidP="00905429">
      <w:pPr>
        <w:rPr>
          <w:vanish/>
        </w:rPr>
      </w:pPr>
      <w:bookmarkStart w:id="4" w:name="PE"/>
      <w:r w:rsidRPr="005B2C8F">
        <w:rPr>
          <w:vanish/>
        </w:rPr>
        <w:t>PE773.087</w:t>
      </w:r>
      <w:bookmarkEnd w:id="4"/>
    </w:p>
    <w:p w14:paraId="72D14870" w14:textId="440B0207" w:rsidR="00905429" w:rsidRPr="005B2C8F" w:rsidRDefault="00905429" w:rsidP="00905429">
      <w:pPr>
        <w:pStyle w:val="ATHeading3"/>
      </w:pPr>
      <w:bookmarkStart w:id="5" w:name="Sujet"/>
      <w:r w:rsidRPr="005B2C8F">
        <w:t xml:space="preserve">Resolução legislativa do Parlamento Europeu, de </w:t>
      </w:r>
      <w:r w:rsidR="00DE5358">
        <w:t>2</w:t>
      </w:r>
      <w:r w:rsidR="00D9057A">
        <w:t>6</w:t>
      </w:r>
      <w:r w:rsidRPr="005B2C8F">
        <w:t xml:space="preserve"> de </w:t>
      </w:r>
      <w:r w:rsidR="00DE5358">
        <w:t>novembro</w:t>
      </w:r>
      <w:r w:rsidR="00DE5358" w:rsidRPr="005B2C8F">
        <w:t xml:space="preserve"> </w:t>
      </w:r>
      <w:r w:rsidRPr="005B2C8F">
        <w:t>de 2025, sobre a proposta de regulamento do Parlamento Europeu e do Conselho que altera os Regulamentos (UE) 2015/1017, (UE) 2021/523, (UE) 2021/695 e (UE) 2021/1153 no que diz respeito ao aumento da eficiência da garantia da UE ao abrigo do Regulamento (UE) 2021/523 e à simplificação dos requisitos de comunicação de informações</w:t>
      </w:r>
      <w:bookmarkEnd w:id="5"/>
      <w:r w:rsidRPr="005B2C8F">
        <w:t xml:space="preserve"> </w:t>
      </w:r>
      <w:bookmarkStart w:id="6" w:name="References"/>
      <w:r w:rsidRPr="005B2C8F">
        <w:t>(COM(2025)0084 – C10-0036/2025 – 2025/0040(COD))</w:t>
      </w:r>
      <w:bookmarkEnd w:id="6"/>
    </w:p>
    <w:p w14:paraId="61D4D95C" w14:textId="77777777" w:rsidR="00905429" w:rsidRPr="005B2C8F" w:rsidRDefault="00905429" w:rsidP="00905429"/>
    <w:p w14:paraId="04AF4719" w14:textId="77777777" w:rsidR="008D1FA7" w:rsidRPr="005B2C8F" w:rsidRDefault="008D1FA7" w:rsidP="008D1FA7">
      <w:pPr>
        <w:pStyle w:val="NormalBold"/>
      </w:pPr>
      <w:bookmarkStart w:id="7" w:name="TextBodyBegin"/>
      <w:bookmarkEnd w:id="7"/>
      <w:r w:rsidRPr="005B2C8F">
        <w:t>(Processo legislativo ordinário: primeira leitura)</w:t>
      </w:r>
    </w:p>
    <w:p w14:paraId="53474CB1" w14:textId="77777777" w:rsidR="008D1FA7" w:rsidRPr="005B2C8F" w:rsidRDefault="008D1FA7" w:rsidP="008D1FA7">
      <w:pPr>
        <w:pStyle w:val="EPComma"/>
      </w:pPr>
      <w:r w:rsidRPr="005B2C8F">
        <w:rPr>
          <w:i/>
        </w:rPr>
        <w:t>O Parlamento Europeu</w:t>
      </w:r>
      <w:r w:rsidRPr="005B2C8F">
        <w:t>,</w:t>
      </w:r>
    </w:p>
    <w:p w14:paraId="71560E7F" w14:textId="6BB67D2E" w:rsidR="008D1FA7" w:rsidRPr="005B2C8F" w:rsidRDefault="008D1FA7" w:rsidP="008D1FA7">
      <w:pPr>
        <w:pStyle w:val="NormalHanging12a"/>
      </w:pPr>
      <w:r w:rsidRPr="005B2C8F">
        <w:t>–</w:t>
      </w:r>
      <w:r w:rsidRPr="005B2C8F">
        <w:tab/>
        <w:t>Tendo em conta a proposta da Comissão ao Parlamento e ao Conselho (COM(2025)0084),</w:t>
      </w:r>
    </w:p>
    <w:p w14:paraId="0D770312" w14:textId="6A5C48E6" w:rsidR="008D1FA7" w:rsidRPr="005B2C8F" w:rsidRDefault="008D1FA7" w:rsidP="008D1FA7">
      <w:pPr>
        <w:pStyle w:val="NormalHanging12a"/>
      </w:pPr>
      <w:r w:rsidRPr="005B2C8F">
        <w:t>–</w:t>
      </w:r>
      <w:r w:rsidRPr="005B2C8F">
        <w:tab/>
        <w:t xml:space="preserve">Tendo em conta o artigo 294.º, n.º 2, os artigos 172.º e 173.º, o artigo 175.º, terceiro parágrafo, o artigo 182.º, n.º 1, </w:t>
      </w:r>
      <w:r w:rsidR="00432B12" w:rsidRPr="005B2C8F">
        <w:t>o artigo 18</w:t>
      </w:r>
      <w:r w:rsidR="00432B12">
        <w:t>3</w:t>
      </w:r>
      <w:r w:rsidR="00432B12" w:rsidRPr="005B2C8F">
        <w:t>.º</w:t>
      </w:r>
      <w:r w:rsidR="00432B12">
        <w:t xml:space="preserve">, </w:t>
      </w:r>
      <w:r w:rsidRPr="005B2C8F">
        <w:t>o artigo 188.º, segundo parágrafo, e o artigo 194.º do Tratado sobre o Funcionamento da União Europeia, nos termos dos quais a proposta lhe foi apresentada pela Comissão (C10</w:t>
      </w:r>
      <w:r w:rsidRPr="005B2C8F">
        <w:noBreakHyphen/>
        <w:t>0036/2025),</w:t>
      </w:r>
    </w:p>
    <w:p w14:paraId="29BD706E" w14:textId="77777777" w:rsidR="008D1FA7" w:rsidRPr="005B2C8F" w:rsidRDefault="008D1FA7" w:rsidP="008D1FA7">
      <w:pPr>
        <w:pStyle w:val="NormalHanging12a"/>
      </w:pPr>
      <w:r w:rsidRPr="005B2C8F">
        <w:t>–</w:t>
      </w:r>
      <w:r w:rsidRPr="005B2C8F">
        <w:tab/>
        <w:t>Tendo em conta o artigo 294.º, n.º 3, do Tratado sobre o Funcionamento da União Europeia,</w:t>
      </w:r>
    </w:p>
    <w:p w14:paraId="638EE9DA" w14:textId="77777777" w:rsidR="008D1FA7" w:rsidRPr="005B2C8F" w:rsidRDefault="008D1FA7" w:rsidP="008D1FA7">
      <w:pPr>
        <w:pStyle w:val="NormalHanging12a"/>
      </w:pPr>
      <w:r w:rsidRPr="005B2C8F">
        <w:t>–</w:t>
      </w:r>
      <w:r w:rsidRPr="005B2C8F">
        <w:tab/>
        <w:t>Tendo em conta o parecer do Comité Económico e Social Europeu de 29 de abril de 2025</w:t>
      </w:r>
      <w:r w:rsidRPr="005B2C8F">
        <w:rPr>
          <w:rStyle w:val="FootnoteReference"/>
        </w:rPr>
        <w:footnoteReference w:id="1"/>
      </w:r>
      <w:r w:rsidRPr="005B2C8F">
        <w:t>,</w:t>
      </w:r>
    </w:p>
    <w:p w14:paraId="7CAE2B61" w14:textId="415A0ABC" w:rsidR="008D1FA7" w:rsidRDefault="008D1FA7" w:rsidP="008D1FA7">
      <w:pPr>
        <w:pStyle w:val="NormalHanging12a"/>
      </w:pPr>
      <w:r w:rsidRPr="005B2C8F">
        <w:t>–</w:t>
      </w:r>
      <w:r w:rsidRPr="005B2C8F">
        <w:tab/>
        <w:t xml:space="preserve">Após consulta </w:t>
      </w:r>
      <w:r w:rsidR="007F2C49">
        <w:t>a</w:t>
      </w:r>
      <w:r w:rsidRPr="005B2C8F">
        <w:t>o Comité das Regiões,</w:t>
      </w:r>
    </w:p>
    <w:p w14:paraId="598ACD9D" w14:textId="59EF80D3" w:rsidR="00435343" w:rsidRPr="005B2C8F" w:rsidRDefault="00435343" w:rsidP="008D1FA7">
      <w:pPr>
        <w:pStyle w:val="NormalHanging12a"/>
      </w:pPr>
      <w:r w:rsidRPr="00435343">
        <w:t>–</w:t>
      </w:r>
      <w:r w:rsidRPr="00435343">
        <w:tab/>
        <w:t xml:space="preserve">Tendo em conta o acordo provisório aprovado pelas comissões competentes, nos termos do artigo 75.º, n.º 4, do seu Regimento, e o compromisso assumido pelo representante do Conselho, em carta de </w:t>
      </w:r>
      <w:r>
        <w:t>8 de outubro de 2025</w:t>
      </w:r>
      <w:r w:rsidRPr="00435343">
        <w:t xml:space="preserve">, de aprovar a posição do Parlamento Europeu, nos termos do artigo 294.º, n.º 4, do Tratado sobre o Funcionamento da União </w:t>
      </w:r>
      <w:r w:rsidRPr="00435343">
        <w:lastRenderedPageBreak/>
        <w:t>Europeia,</w:t>
      </w:r>
    </w:p>
    <w:p w14:paraId="40C32A9D" w14:textId="77777777" w:rsidR="008D1FA7" w:rsidRPr="005B2C8F" w:rsidRDefault="008D1FA7" w:rsidP="008D1FA7">
      <w:pPr>
        <w:pStyle w:val="NormalHanging12a"/>
      </w:pPr>
      <w:r w:rsidRPr="005B2C8F">
        <w:t>–</w:t>
      </w:r>
      <w:r w:rsidRPr="005B2C8F">
        <w:tab/>
        <w:t>Tendo em conta o artigo 60.º do seu Regimento,</w:t>
      </w:r>
    </w:p>
    <w:p w14:paraId="1A46A4FA" w14:textId="77777777" w:rsidR="008D1FA7" w:rsidRPr="005B2C8F" w:rsidRDefault="008D1FA7" w:rsidP="008D1FA7">
      <w:pPr>
        <w:pStyle w:val="NormalHanging12a"/>
      </w:pPr>
      <w:r w:rsidRPr="005B2C8F">
        <w:t>–</w:t>
      </w:r>
      <w:r w:rsidRPr="005B2C8F">
        <w:tab/>
        <w:t>Tendo em conta as deliberações conjuntas da Comissão dos Orçamentos e da Comissão dos Assuntos Económicos e Monetários, nos termos do artigo 59.º do seu Regimento,</w:t>
      </w:r>
    </w:p>
    <w:p w14:paraId="2333B96E" w14:textId="77777777" w:rsidR="008D1FA7" w:rsidRPr="005B2C8F" w:rsidRDefault="008D1FA7" w:rsidP="008D1FA7">
      <w:pPr>
        <w:pStyle w:val="NormalHanging12a"/>
      </w:pPr>
      <w:r w:rsidRPr="005B2C8F">
        <w:t>–</w:t>
      </w:r>
      <w:r w:rsidRPr="005B2C8F">
        <w:tab/>
        <w:t>Tendo em conta os pareceres da Comissão da Indústria, da Investigação e da Energia e da Comissão dos Transportes e do Turismo,</w:t>
      </w:r>
    </w:p>
    <w:p w14:paraId="125D63B1" w14:textId="77777777" w:rsidR="008D1FA7" w:rsidRPr="005B2C8F" w:rsidRDefault="008D1FA7" w:rsidP="008D1FA7">
      <w:pPr>
        <w:pStyle w:val="NormalHanging12a"/>
      </w:pPr>
      <w:r w:rsidRPr="005B2C8F">
        <w:t>–</w:t>
      </w:r>
      <w:r w:rsidRPr="005B2C8F">
        <w:tab/>
        <w:t>Tendo em conta o relatório da Comissão dos Orçamentos e da Comissão dos Assuntos Económicos e Monetários (A10-0117/2025),</w:t>
      </w:r>
    </w:p>
    <w:p w14:paraId="23C62FA8" w14:textId="77777777" w:rsidR="008D1FA7" w:rsidRPr="005B2C8F" w:rsidRDefault="008D1FA7" w:rsidP="008D1FA7">
      <w:pPr>
        <w:pStyle w:val="NormalHanging12a"/>
      </w:pPr>
      <w:r w:rsidRPr="005B2C8F">
        <w:t>1.</w:t>
      </w:r>
      <w:r w:rsidRPr="005B2C8F">
        <w:tab/>
        <w:t>Aprova a posição em primeira leitura que se segue;</w:t>
      </w:r>
    </w:p>
    <w:p w14:paraId="051EF5E9" w14:textId="77777777" w:rsidR="008D1FA7" w:rsidRPr="005B2C8F" w:rsidRDefault="008D1FA7" w:rsidP="008D1FA7">
      <w:pPr>
        <w:pStyle w:val="NormalHanging12a"/>
      </w:pPr>
      <w:r w:rsidRPr="005B2C8F">
        <w:t>2.</w:t>
      </w:r>
      <w:r w:rsidRPr="005B2C8F">
        <w:tab/>
        <w:t>Requer à Comissão que lhe submeta de novo a sua proposta, se a substituir, se a alterar substancialmente ou se pretender alterá-la substancialmente;</w:t>
      </w:r>
    </w:p>
    <w:p w14:paraId="0FCC8FC3" w14:textId="77777777" w:rsidR="008D1FA7" w:rsidRPr="005B2C8F" w:rsidRDefault="008D1FA7" w:rsidP="008D1FA7">
      <w:pPr>
        <w:pStyle w:val="NormalHanging12a"/>
      </w:pPr>
      <w:r w:rsidRPr="005B2C8F">
        <w:t>3.</w:t>
      </w:r>
      <w:r w:rsidRPr="005B2C8F">
        <w:tab/>
        <w:t>Encarrega a sua Presidente de transmitir a posição do Parlamento ao Conselho, à Comissão, e aos parlamentos nacionais.</w:t>
      </w:r>
    </w:p>
    <w:p w14:paraId="35B3F472" w14:textId="77777777" w:rsidR="008D1FA7" w:rsidRPr="005B2C8F" w:rsidRDefault="008D1FA7" w:rsidP="008D1FA7"/>
    <w:p w14:paraId="66656330" w14:textId="77777777" w:rsidR="00DE5358" w:rsidRDefault="00DE5358" w:rsidP="008D1FA7">
      <w:pPr>
        <w:pStyle w:val="AmNumberTabs"/>
        <w:keepNext/>
        <w:sectPr w:rsidR="00DE5358" w:rsidSect="005B2C8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79F0217" w14:textId="0E0A1040" w:rsidR="00E365E1" w:rsidRDefault="00A311EB" w:rsidP="00A311EB">
      <w:pPr>
        <w:pStyle w:val="AmNumberTabs"/>
        <w:keepNext/>
      </w:pPr>
      <w:r w:rsidRPr="00A311EB">
        <w:lastRenderedPageBreak/>
        <w:t>P10_TC1-COD(2025)0040</w:t>
      </w:r>
    </w:p>
    <w:p w14:paraId="1F63E9DD" w14:textId="365AA85D" w:rsidR="00A311EB" w:rsidRDefault="00A311EB" w:rsidP="00A311EB">
      <w:pPr>
        <w:pStyle w:val="AmNumberTabs"/>
        <w:keepNext/>
        <w:rPr>
          <w:color w:val="000000"/>
          <w:szCs w:val="24"/>
          <w:lang w:eastAsia="en-US"/>
        </w:rPr>
      </w:pPr>
      <w:r w:rsidRPr="00A311EB">
        <w:t xml:space="preserve">Posição do Parlamento Europeu aprovada em primeira leitura em </w:t>
      </w:r>
      <w:r>
        <w:t>2</w:t>
      </w:r>
      <w:r w:rsidR="00D9057A">
        <w:t>6</w:t>
      </w:r>
      <w:r w:rsidRPr="00A311EB">
        <w:t xml:space="preserve"> de </w:t>
      </w:r>
      <w:r>
        <w:t>novembro</w:t>
      </w:r>
      <w:r w:rsidRPr="00A311EB">
        <w:t xml:space="preserve"> de 2025 tendo em vista a adoção do Regulamento (UE) 2025/... do Parlamento Europeu e do Conselho </w:t>
      </w:r>
      <w:r w:rsidRPr="00A311EB">
        <w:rPr>
          <w:color w:val="000000"/>
          <w:szCs w:val="24"/>
          <w:lang w:eastAsia="en-US"/>
        </w:rPr>
        <w:t>que altera os Regulamentos (UE) 2015/1017, (UE) 2021/523, (UE) 2021/695 e (UE) 2021/1153 no que diz respeito ao aumento da eficiência da garantia da UE ao abrigo do Regulamento (UE) 2021/523 e à simplificação dos requisitos de comunicação de informações</w:t>
      </w:r>
    </w:p>
    <w:p w14:paraId="76C56875" w14:textId="7690D66F" w:rsidR="00757403" w:rsidRPr="00757403" w:rsidRDefault="00757403" w:rsidP="00A311EB">
      <w:pPr>
        <w:pStyle w:val="AmNumberTabs"/>
        <w:keepNext/>
        <w:rPr>
          <w:b w:val="0"/>
          <w:bCs/>
          <w:i/>
          <w:iCs/>
        </w:rPr>
      </w:pPr>
      <w:r w:rsidRPr="00757403">
        <w:rPr>
          <w:b w:val="0"/>
          <w:bCs/>
          <w:i/>
          <w:iCs/>
        </w:rPr>
        <w:t>(Uma vez que foi alcançado um acordo entre o Parlamento e o Conselho, a posição do Parlamento corresponde ao texto legislativo final, Regulamento</w:t>
      </w:r>
      <w:r>
        <w:rPr>
          <w:b w:val="0"/>
          <w:bCs/>
          <w:i/>
          <w:iCs/>
        </w:rPr>
        <w:t xml:space="preserve"> </w:t>
      </w:r>
      <w:r w:rsidRPr="00757403">
        <w:rPr>
          <w:b w:val="0"/>
          <w:bCs/>
          <w:i/>
          <w:iCs/>
        </w:rPr>
        <w:t>(UE) 2025/2005.)</w:t>
      </w:r>
    </w:p>
    <w:sectPr w:rsidR="00757403" w:rsidRPr="00757403" w:rsidSect="005B2C8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E6083" w14:textId="77777777" w:rsidR="00905429" w:rsidRPr="005B2C8F" w:rsidRDefault="00905429">
      <w:r w:rsidRPr="005B2C8F">
        <w:separator/>
      </w:r>
    </w:p>
  </w:endnote>
  <w:endnote w:type="continuationSeparator" w:id="0">
    <w:p w14:paraId="2815FA1F" w14:textId="77777777" w:rsidR="00905429" w:rsidRPr="005B2C8F" w:rsidRDefault="00905429">
      <w:r w:rsidRPr="005B2C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CE834" w14:textId="77777777" w:rsidR="00064002" w:rsidRPr="005B2C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5863B" w14:textId="77777777" w:rsidR="00064002" w:rsidRPr="005B2C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A77C5" w14:textId="77777777" w:rsidR="00064002" w:rsidRPr="005B2C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DAE12" w14:textId="77777777" w:rsidR="00905429" w:rsidRPr="005B2C8F" w:rsidRDefault="00905429">
      <w:r w:rsidRPr="005B2C8F">
        <w:separator/>
      </w:r>
    </w:p>
  </w:footnote>
  <w:footnote w:type="continuationSeparator" w:id="0">
    <w:p w14:paraId="7E3285FE" w14:textId="77777777" w:rsidR="00905429" w:rsidRPr="005B2C8F" w:rsidRDefault="00905429">
      <w:r w:rsidRPr="005B2C8F">
        <w:continuationSeparator/>
      </w:r>
    </w:p>
  </w:footnote>
  <w:footnote w:id="1">
    <w:p w14:paraId="7D4BF718" w14:textId="5D14A506" w:rsidR="008D1FA7" w:rsidRPr="003E5673" w:rsidRDefault="008D1FA7" w:rsidP="005B2C8F">
      <w:pPr>
        <w:pStyle w:val="FootnoteText"/>
        <w:ind w:left="567" w:hanging="567"/>
        <w:rPr>
          <w:szCs w:val="24"/>
          <w:lang w:val="fi-FI"/>
        </w:rPr>
      </w:pPr>
      <w:r w:rsidRPr="00363269">
        <w:rPr>
          <w:rStyle w:val="FootnoteReference"/>
          <w:szCs w:val="24"/>
          <w:lang w:val="pt-PT"/>
        </w:rPr>
        <w:footnoteRef/>
      </w:r>
      <w:r w:rsidR="005B2C8F" w:rsidRPr="003E5673">
        <w:rPr>
          <w:szCs w:val="24"/>
          <w:lang w:val="fi-FI"/>
        </w:rPr>
        <w:t xml:space="preserve"> </w:t>
      </w:r>
      <w:r w:rsidR="005B2C8F" w:rsidRPr="003E5673">
        <w:rPr>
          <w:szCs w:val="24"/>
          <w:lang w:val="fi-FI"/>
        </w:rPr>
        <w:tab/>
      </w:r>
      <w:r w:rsidR="007845D7" w:rsidRPr="00363269">
        <w:rPr>
          <w:szCs w:val="24"/>
          <w:lang w:val="fi-FI"/>
        </w:rPr>
        <w:t>JO</w:t>
      </w:r>
      <w:r w:rsidR="007845D7" w:rsidRPr="003E5673">
        <w:rPr>
          <w:szCs w:val="24"/>
          <w:lang w:val="fi-FI"/>
        </w:rPr>
        <w:t xml:space="preserve"> C, C/2025/3199, 2.7.2025, ELI: </w:t>
      </w:r>
      <w:hyperlink r:id="rId1" w:history="1">
        <w:r w:rsidR="007845D7" w:rsidRPr="003E5673">
          <w:rPr>
            <w:rStyle w:val="Hyperlink"/>
            <w:szCs w:val="24"/>
            <w:lang w:val="fi-FI"/>
          </w:rPr>
          <w:t>http://data.europa.eu/eli/C/2025/3199/oj</w:t>
        </w:r>
      </w:hyperlink>
      <w:r w:rsidRPr="003E5673">
        <w:rPr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C9205" w14:textId="77777777" w:rsidR="00064002" w:rsidRPr="005B2C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4B954" w14:textId="77777777" w:rsidR="00064002" w:rsidRPr="005B2C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FF23B" w14:textId="77777777" w:rsidR="00064002" w:rsidRPr="005B2C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54734292">
    <w:abstractNumId w:val="9"/>
  </w:num>
  <w:num w:numId="2" w16cid:durableId="614557364">
    <w:abstractNumId w:val="9"/>
  </w:num>
  <w:num w:numId="3" w16cid:durableId="990866074">
    <w:abstractNumId w:val="7"/>
  </w:num>
  <w:num w:numId="4" w16cid:durableId="519515904">
    <w:abstractNumId w:val="7"/>
  </w:num>
  <w:num w:numId="5" w16cid:durableId="524488452">
    <w:abstractNumId w:val="6"/>
  </w:num>
  <w:num w:numId="6" w16cid:durableId="1309868479">
    <w:abstractNumId w:val="6"/>
  </w:num>
  <w:num w:numId="7" w16cid:durableId="1968706253">
    <w:abstractNumId w:val="5"/>
  </w:num>
  <w:num w:numId="8" w16cid:durableId="421414851">
    <w:abstractNumId w:val="5"/>
  </w:num>
  <w:num w:numId="9" w16cid:durableId="1709989391">
    <w:abstractNumId w:val="4"/>
  </w:num>
  <w:num w:numId="10" w16cid:durableId="1723097847">
    <w:abstractNumId w:val="4"/>
  </w:num>
  <w:num w:numId="11" w16cid:durableId="2007979788">
    <w:abstractNumId w:val="8"/>
  </w:num>
  <w:num w:numId="12" w16cid:durableId="782186928">
    <w:abstractNumId w:val="8"/>
  </w:num>
  <w:num w:numId="13" w16cid:durableId="1531987612">
    <w:abstractNumId w:val="3"/>
  </w:num>
  <w:num w:numId="14" w16cid:durableId="380247501">
    <w:abstractNumId w:val="3"/>
  </w:num>
  <w:num w:numId="15" w16cid:durableId="653922461">
    <w:abstractNumId w:val="2"/>
  </w:num>
  <w:num w:numId="16" w16cid:durableId="1814640313">
    <w:abstractNumId w:val="2"/>
  </w:num>
  <w:num w:numId="17" w16cid:durableId="1351178353">
    <w:abstractNumId w:val="1"/>
  </w:num>
  <w:num w:numId="18" w16cid:durableId="858203271">
    <w:abstractNumId w:val="1"/>
  </w:num>
  <w:num w:numId="19" w16cid:durableId="1569727502">
    <w:abstractNumId w:val="0"/>
  </w:num>
  <w:num w:numId="20" w16cid:durableId="2085295576">
    <w:abstractNumId w:val="0"/>
  </w:num>
  <w:num w:numId="21" w16cid:durableId="1704787976">
    <w:abstractNumId w:val="9"/>
  </w:num>
  <w:num w:numId="22" w16cid:durableId="1002244482">
    <w:abstractNumId w:val="7"/>
  </w:num>
  <w:num w:numId="23" w16cid:durableId="1771657317">
    <w:abstractNumId w:val="6"/>
  </w:num>
  <w:num w:numId="24" w16cid:durableId="2019043722">
    <w:abstractNumId w:val="5"/>
  </w:num>
  <w:num w:numId="25" w16cid:durableId="1842040497">
    <w:abstractNumId w:val="4"/>
  </w:num>
  <w:num w:numId="26" w16cid:durableId="1695380669">
    <w:abstractNumId w:val="8"/>
  </w:num>
  <w:num w:numId="27" w16cid:durableId="1139374611">
    <w:abstractNumId w:val="3"/>
  </w:num>
  <w:num w:numId="28" w16cid:durableId="82726664">
    <w:abstractNumId w:val="2"/>
  </w:num>
  <w:num w:numId="29" w16cid:durableId="757016737">
    <w:abstractNumId w:val="1"/>
  </w:num>
  <w:num w:numId="30" w16cid:durableId="1990279573">
    <w:abstractNumId w:val="0"/>
  </w:num>
  <w:num w:numId="31" w16cid:durableId="889417705">
    <w:abstractNumId w:val="9"/>
  </w:num>
  <w:num w:numId="32" w16cid:durableId="1894270132">
    <w:abstractNumId w:val="7"/>
  </w:num>
  <w:num w:numId="33" w16cid:durableId="1775707156">
    <w:abstractNumId w:val="6"/>
  </w:num>
  <w:num w:numId="34" w16cid:durableId="1625698968">
    <w:abstractNumId w:val="5"/>
  </w:num>
  <w:num w:numId="35" w16cid:durableId="1633903353">
    <w:abstractNumId w:val="4"/>
  </w:num>
  <w:num w:numId="36" w16cid:durableId="480385323">
    <w:abstractNumId w:val="8"/>
  </w:num>
  <w:num w:numId="37" w16cid:durableId="167335514">
    <w:abstractNumId w:val="3"/>
  </w:num>
  <w:num w:numId="38" w16cid:durableId="1046611307">
    <w:abstractNumId w:val="2"/>
  </w:num>
  <w:num w:numId="39" w16cid:durableId="299845367">
    <w:abstractNumId w:val="1"/>
  </w:num>
  <w:num w:numId="40" w16cid:durableId="379090057">
    <w:abstractNumId w:val="0"/>
  </w:num>
  <w:num w:numId="41" w16cid:durableId="1543249678">
    <w:abstractNumId w:val="10"/>
  </w:num>
  <w:num w:numId="42" w16cid:durableId="1249732207">
    <w:abstractNumId w:val="10"/>
  </w:num>
  <w:num w:numId="43" w16cid:durableId="1074472211">
    <w:abstractNumId w:val="10"/>
  </w:num>
  <w:num w:numId="44" w16cid:durableId="19350877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PT"/>
    <w:docVar w:name="dvnumam" w:val="25"/>
    <w:docVar w:name="dvpe" w:val="773.087"/>
    <w:docVar w:name="dvrapporteur" w:val="Relatoras: "/>
    <w:docVar w:name="dvstar" w:val="***I"/>
    <w:docVar w:name="dvtitre" w:val="Resolução legislativa do Parlamento Europeu, de ... de ... de 2025,_x000d__x000a_ sobre a proposta de regulamento do Parlamento Europeu e do Conselho que altera os Regulamentos (UE) 2015/1017, (UE) 2021/523, (UE) 2021/695 e (UE) 2021/1153 no que diz respeito ao aumento da eficiência da garantia da UE ao abrigo do Regulamento (UE) 2021/523 e à simplificação dos requisitos de comunicação de informações(COM(2025)0084 – C10-0036/2025 – 2025/0040(COD))"/>
  </w:docVars>
  <w:rsids>
    <w:rsidRoot w:val="00905429"/>
    <w:rsid w:val="00002272"/>
    <w:rsid w:val="000030A2"/>
    <w:rsid w:val="000554B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4326"/>
    <w:rsid w:val="002B18FE"/>
    <w:rsid w:val="002B5493"/>
    <w:rsid w:val="00343214"/>
    <w:rsid w:val="00361C00"/>
    <w:rsid w:val="00363269"/>
    <w:rsid w:val="00395FA1"/>
    <w:rsid w:val="003E15D4"/>
    <w:rsid w:val="003E5673"/>
    <w:rsid w:val="00411CCE"/>
    <w:rsid w:val="0041666E"/>
    <w:rsid w:val="00421060"/>
    <w:rsid w:val="00432B12"/>
    <w:rsid w:val="0043534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2C8F"/>
    <w:rsid w:val="005C0D9F"/>
    <w:rsid w:val="005C2568"/>
    <w:rsid w:val="005F1B17"/>
    <w:rsid w:val="006037C0"/>
    <w:rsid w:val="006631B6"/>
    <w:rsid w:val="00673A17"/>
    <w:rsid w:val="00680577"/>
    <w:rsid w:val="006F74FA"/>
    <w:rsid w:val="00731ADD"/>
    <w:rsid w:val="00734777"/>
    <w:rsid w:val="00747932"/>
    <w:rsid w:val="00751A4A"/>
    <w:rsid w:val="00756632"/>
    <w:rsid w:val="00757403"/>
    <w:rsid w:val="00762C74"/>
    <w:rsid w:val="007845D7"/>
    <w:rsid w:val="00786EC0"/>
    <w:rsid w:val="00793F2D"/>
    <w:rsid w:val="007D1690"/>
    <w:rsid w:val="007E22AD"/>
    <w:rsid w:val="007F2C49"/>
    <w:rsid w:val="00817416"/>
    <w:rsid w:val="00842779"/>
    <w:rsid w:val="00842B9F"/>
    <w:rsid w:val="00865F67"/>
    <w:rsid w:val="00881A7B"/>
    <w:rsid w:val="008840E5"/>
    <w:rsid w:val="00887B3E"/>
    <w:rsid w:val="008C2AC6"/>
    <w:rsid w:val="008D1FA7"/>
    <w:rsid w:val="00905429"/>
    <w:rsid w:val="00930C23"/>
    <w:rsid w:val="0093193B"/>
    <w:rsid w:val="009509D8"/>
    <w:rsid w:val="00950B64"/>
    <w:rsid w:val="00981893"/>
    <w:rsid w:val="00A1687D"/>
    <w:rsid w:val="00A311EB"/>
    <w:rsid w:val="00A43E52"/>
    <w:rsid w:val="00A4678D"/>
    <w:rsid w:val="00A778C7"/>
    <w:rsid w:val="00AB441E"/>
    <w:rsid w:val="00AB6293"/>
    <w:rsid w:val="00AE0928"/>
    <w:rsid w:val="00AE097E"/>
    <w:rsid w:val="00AF3B82"/>
    <w:rsid w:val="00B12E95"/>
    <w:rsid w:val="00B22876"/>
    <w:rsid w:val="00B51FD4"/>
    <w:rsid w:val="00B53F87"/>
    <w:rsid w:val="00B558F0"/>
    <w:rsid w:val="00BD48FE"/>
    <w:rsid w:val="00BD7BD8"/>
    <w:rsid w:val="00BE4ABB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2F7A"/>
    <w:rsid w:val="00D834A0"/>
    <w:rsid w:val="00D83AC1"/>
    <w:rsid w:val="00D83B79"/>
    <w:rsid w:val="00D872DF"/>
    <w:rsid w:val="00D9057A"/>
    <w:rsid w:val="00D91E21"/>
    <w:rsid w:val="00DA7FCD"/>
    <w:rsid w:val="00DE5358"/>
    <w:rsid w:val="00E365E1"/>
    <w:rsid w:val="00E820A4"/>
    <w:rsid w:val="00E9432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3C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61B5F4"/>
  <w15:chartTrackingRefBased/>
  <w15:docId w15:val="{C3E0F32B-4B2D-4D45-B8C4-A04352F12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D83AC1"/>
    <w:pPr>
      <w:keepLines/>
      <w:widowControl/>
      <w:spacing w:line="260" w:lineRule="exact"/>
      <w:ind w:left="425" w:hanging="425"/>
    </w:pPr>
    <w:rPr>
      <w:lang w:val="fr-FR" w:eastAsia="fr-FR"/>
    </w:rPr>
  </w:style>
  <w:style w:type="character" w:customStyle="1" w:styleId="FootnoteTextChar">
    <w:name w:val="Footnote Text Char"/>
    <w:link w:val="FootnoteText"/>
    <w:rsid w:val="00D83AC1"/>
    <w:rPr>
      <w:sz w:val="24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8D1FA7"/>
    <w:rPr>
      <w:b/>
    </w:rPr>
  </w:style>
  <w:style w:type="paragraph" w:customStyle="1" w:styleId="NormalHanging12a">
    <w:name w:val="NormalHanging12a"/>
    <w:basedOn w:val="Normal"/>
    <w:rsid w:val="008D1FA7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8D1FA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8D1FA7"/>
    <w:pPr>
      <w:spacing w:before="480" w:after="240"/>
    </w:pPr>
  </w:style>
  <w:style w:type="paragraph" w:customStyle="1" w:styleId="NormalCenter12a">
    <w:name w:val="NormalCenter12a"/>
    <w:basedOn w:val="Normal"/>
    <w:rsid w:val="008D1FA7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8D1FA7"/>
    <w:pPr>
      <w:spacing w:before="720" w:after="240"/>
      <w:jc w:val="center"/>
    </w:pPr>
  </w:style>
  <w:style w:type="character" w:customStyle="1" w:styleId="NormalBoldChar">
    <w:name w:val="NormalBold Char"/>
    <w:basedOn w:val="DefaultParagraphFont"/>
    <w:link w:val="NormalBold"/>
    <w:rsid w:val="008D1FA7"/>
    <w:rPr>
      <w:b/>
      <w:sz w:val="24"/>
      <w:lang w:val="pt-PT"/>
    </w:rPr>
  </w:style>
  <w:style w:type="paragraph" w:styleId="Revision">
    <w:name w:val="Revision"/>
    <w:hidden/>
    <w:uiPriority w:val="99"/>
    <w:semiHidden/>
    <w:rsid w:val="00793F2D"/>
    <w:rPr>
      <w:sz w:val="24"/>
      <w:lang w:val="pt-PT"/>
    </w:rPr>
  </w:style>
  <w:style w:type="character" w:styleId="CommentReference">
    <w:name w:val="annotation reference"/>
    <w:basedOn w:val="DefaultParagraphFont"/>
    <w:rsid w:val="00DE535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535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535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E53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E5358"/>
    <w:rPr>
      <w:b/>
      <w:bCs/>
      <w:lang w:val="pt-PT"/>
    </w:rPr>
  </w:style>
  <w:style w:type="character" w:styleId="Hyperlink">
    <w:name w:val="Hyperlink"/>
    <w:basedOn w:val="DefaultParagraphFont"/>
    <w:rsid w:val="005C0D9F"/>
    <w:rPr>
      <w:rFonts w:ascii="Times New Roman" w:hAnsi="Times New Roman"/>
      <w:color w:val="0563C1" w:themeColor="hyperlink"/>
      <w:sz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5358"/>
    <w:rPr>
      <w:color w:val="605E5C"/>
      <w:shd w:val="clear" w:color="auto" w:fill="E1DFDD"/>
    </w:rPr>
  </w:style>
  <w:style w:type="paragraph" w:customStyle="1" w:styleId="FootnoteTextForceStyle">
    <w:name w:val="Footnote Text ForceStyle"/>
    <w:rsid w:val="00A311EB"/>
    <w:pPr>
      <w:keepLines/>
      <w:widowControl w:val="0"/>
      <w:spacing w:line="240" w:lineRule="exact"/>
      <w:ind w:left="850" w:hanging="850"/>
    </w:pPr>
    <w:rPr>
      <w:sz w:val="24"/>
      <w:lang w:val="pt-PT" w:eastAsia="en-US"/>
    </w:rPr>
  </w:style>
  <w:style w:type="character" w:customStyle="1" w:styleId="Hyperlink1">
    <w:name w:val="Hyperlink1"/>
    <w:basedOn w:val="DefaultParagraphFont"/>
    <w:uiPriority w:val="99"/>
    <w:rsid w:val="00A311EB"/>
    <w:rPr>
      <w:rFonts w:ascii="Times New Roman" w:hAnsi="Times New Roman"/>
      <w:color w:val="0000FF"/>
      <w:sz w:val="24"/>
      <w:u w:val="single"/>
    </w:rPr>
  </w:style>
  <w:style w:type="character" w:styleId="FollowedHyperlink">
    <w:name w:val="FollowedHyperlink"/>
    <w:basedOn w:val="DefaultParagraphFont"/>
    <w:rsid w:val="004353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9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488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2026-02-03T09:40:00Z</dcterms:created>
  <dcterms:modified xsi:type="dcterms:W3CDTF">2026-02-03T09:40:00Z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