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859A6" w14:paraId="73BABEF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F69ED20" w14:textId="77777777" w:rsidR="00751A4A" w:rsidRPr="004859A6" w:rsidRDefault="00181C8C" w:rsidP="0010095E">
            <w:pPr>
              <w:pStyle w:val="EPName"/>
            </w:pPr>
            <w:r w:rsidRPr="004859A6">
              <w:t>Parlamentul European</w:t>
            </w:r>
          </w:p>
          <w:p w14:paraId="0DBABD58" w14:textId="77777777" w:rsidR="00751A4A" w:rsidRPr="004859A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859A6">
              <w:t>2024</w:t>
            </w:r>
            <w:r w:rsidR="00817416" w:rsidRPr="004859A6">
              <w:t>-202</w:t>
            </w:r>
            <w:r w:rsidRPr="004859A6">
              <w:t>9</w:t>
            </w:r>
          </w:p>
        </w:tc>
        <w:tc>
          <w:tcPr>
            <w:tcW w:w="2268" w:type="dxa"/>
            <w:shd w:val="clear" w:color="auto" w:fill="auto"/>
          </w:tcPr>
          <w:p w14:paraId="4FFE8ED7" w14:textId="77777777" w:rsidR="00751A4A" w:rsidRPr="004859A6" w:rsidRDefault="00187494" w:rsidP="0010095E">
            <w:pPr>
              <w:pStyle w:val="EPLogo"/>
            </w:pPr>
            <w:r w:rsidRPr="004859A6">
              <w:rPr>
                <w:noProof/>
                <w:lang w:eastAsia="ja-JP"/>
              </w:rPr>
              <w:drawing>
                <wp:inline distT="0" distB="0" distL="0" distR="0" wp14:anchorId="366B40C3" wp14:editId="4BA0394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E3C38E2" w14:textId="77777777" w:rsidR="00D058B8" w:rsidRPr="004859A6" w:rsidRDefault="00D058B8" w:rsidP="004C5D52">
      <w:pPr>
        <w:pStyle w:val="LineTop"/>
      </w:pPr>
    </w:p>
    <w:p w14:paraId="475F1064" w14:textId="77777777" w:rsidR="00680577" w:rsidRPr="004859A6" w:rsidRDefault="00181C8C" w:rsidP="00680577">
      <w:pPr>
        <w:pStyle w:val="EPBodyTA1"/>
      </w:pPr>
      <w:r w:rsidRPr="004859A6">
        <w:t>TEXTE ADOPTATE</w:t>
      </w:r>
    </w:p>
    <w:p w14:paraId="2504A173" w14:textId="77777777" w:rsidR="00D058B8" w:rsidRPr="004859A6" w:rsidRDefault="00D058B8" w:rsidP="00D058B8">
      <w:pPr>
        <w:pStyle w:val="LineBottom"/>
      </w:pPr>
    </w:p>
    <w:p w14:paraId="3DB27971" w14:textId="531D0B09" w:rsidR="00181C8C" w:rsidRPr="004859A6" w:rsidRDefault="00181C8C" w:rsidP="00181C8C">
      <w:pPr>
        <w:pStyle w:val="ATHeading1"/>
      </w:pPr>
      <w:bookmarkStart w:id="0" w:name="TANumber"/>
      <w:r w:rsidRPr="004859A6">
        <w:t>P10_TA(2025)0</w:t>
      </w:r>
      <w:bookmarkEnd w:id="0"/>
      <w:r w:rsidR="004859A6" w:rsidRPr="004859A6">
        <w:t>296</w:t>
      </w:r>
    </w:p>
    <w:p w14:paraId="02E9B487" w14:textId="77777777" w:rsidR="00181C8C" w:rsidRPr="004859A6" w:rsidRDefault="00181C8C" w:rsidP="00181C8C">
      <w:pPr>
        <w:pStyle w:val="ATHeading2"/>
      </w:pPr>
      <w:bookmarkStart w:id="1" w:name="title"/>
      <w:r w:rsidRPr="004859A6">
        <w:t xml:space="preserve">Creșterea eficienței garanției UE în temeiul Regulamentului </w:t>
      </w:r>
      <w:proofErr w:type="spellStart"/>
      <w:r w:rsidRPr="004859A6">
        <w:t>InvestEU</w:t>
      </w:r>
      <w:proofErr w:type="spellEnd"/>
      <w:r w:rsidRPr="004859A6">
        <w:t xml:space="preserve"> și simplificarea cerințelor de raportare</w:t>
      </w:r>
      <w:bookmarkEnd w:id="1"/>
    </w:p>
    <w:p w14:paraId="5ABF55AA" w14:textId="77777777" w:rsidR="00181C8C" w:rsidRPr="004859A6" w:rsidRDefault="00181C8C" w:rsidP="00181C8C">
      <w:pPr>
        <w:rPr>
          <w:i/>
          <w:vanish/>
        </w:rPr>
      </w:pPr>
      <w:r w:rsidRPr="004859A6">
        <w:rPr>
          <w:i/>
        </w:rPr>
        <w:fldChar w:fldCharType="begin"/>
      </w:r>
      <w:r w:rsidRPr="004859A6">
        <w:rPr>
          <w:i/>
        </w:rPr>
        <w:instrText xml:space="preserve"> TC"(</w:instrText>
      </w:r>
      <w:bookmarkStart w:id="2" w:name="DocNumber"/>
      <w:r w:rsidRPr="004859A6">
        <w:rPr>
          <w:i/>
        </w:rPr>
        <w:instrText>A10-0117/2025</w:instrText>
      </w:r>
      <w:bookmarkEnd w:id="2"/>
      <w:r w:rsidRPr="004859A6">
        <w:rPr>
          <w:i/>
        </w:rPr>
        <w:instrText xml:space="preserve"> - Raportoare: Aura </w:instrText>
      </w:r>
      <w:proofErr w:type="spellStart"/>
      <w:r w:rsidRPr="004859A6">
        <w:rPr>
          <w:i/>
        </w:rPr>
        <w:instrText>Salla</w:instrText>
      </w:r>
      <w:proofErr w:type="spellEnd"/>
      <w:r w:rsidRPr="004859A6">
        <w:rPr>
          <w:i/>
        </w:rPr>
        <w:instrText xml:space="preserve">, Irene </w:instrText>
      </w:r>
      <w:proofErr w:type="spellStart"/>
      <w:r w:rsidRPr="004859A6">
        <w:rPr>
          <w:i/>
        </w:rPr>
        <w:instrText>Tinagli</w:instrText>
      </w:r>
      <w:proofErr w:type="spellEnd"/>
      <w:r w:rsidRPr="004859A6">
        <w:rPr>
          <w:i/>
        </w:rPr>
        <w:instrText xml:space="preserve">)"\l3 \n&gt; \* MERGEFORMAT </w:instrText>
      </w:r>
      <w:r w:rsidRPr="004859A6">
        <w:rPr>
          <w:i/>
        </w:rPr>
        <w:fldChar w:fldCharType="end"/>
      </w:r>
    </w:p>
    <w:p w14:paraId="7946448E" w14:textId="1C3D4CB6" w:rsidR="00181C8C" w:rsidRPr="004859A6" w:rsidRDefault="00181C8C" w:rsidP="00181C8C">
      <w:pPr>
        <w:rPr>
          <w:vanish/>
        </w:rPr>
      </w:pPr>
      <w:bookmarkStart w:id="3" w:name="Commission"/>
      <w:r w:rsidRPr="004859A6">
        <w:rPr>
          <w:vanish/>
        </w:rPr>
        <w:t>Comisia pentru bugete, Comisia pentru afaceri economice și monetare</w:t>
      </w:r>
      <w:bookmarkEnd w:id="3"/>
    </w:p>
    <w:p w14:paraId="17C0FEB7" w14:textId="77777777" w:rsidR="00181C8C" w:rsidRPr="004859A6" w:rsidRDefault="00181C8C" w:rsidP="00181C8C">
      <w:pPr>
        <w:rPr>
          <w:vanish/>
        </w:rPr>
      </w:pPr>
      <w:bookmarkStart w:id="4" w:name="PE"/>
      <w:r w:rsidRPr="004859A6">
        <w:rPr>
          <w:vanish/>
        </w:rPr>
        <w:t>PE773.087</w:t>
      </w:r>
      <w:bookmarkEnd w:id="4"/>
    </w:p>
    <w:p w14:paraId="61F86129" w14:textId="2CD623E3" w:rsidR="00181C8C" w:rsidRPr="004859A6" w:rsidRDefault="00181C8C" w:rsidP="00181C8C">
      <w:pPr>
        <w:pStyle w:val="ATHeading3"/>
      </w:pPr>
      <w:bookmarkStart w:id="5" w:name="Sujet"/>
      <w:r w:rsidRPr="004859A6">
        <w:t xml:space="preserve">Rezoluția legislativă a Parlamentului European din </w:t>
      </w:r>
      <w:r w:rsidR="002451FE" w:rsidRPr="004859A6">
        <w:t>26</w:t>
      </w:r>
      <w:r w:rsidRPr="004859A6">
        <w:t xml:space="preserve"> noiembrie 2025 referitoare la propunerea de regulament al Parlamentului European și al Consiliului de modificare a Regulamentelor (UE) 2015/1017, (UE) 2021/523, (UE) 2021/695 și (UE) 2021/1153 în ceea ce privește creșterea eficienței garanției UE în temeiul Regulamentului (UE) 2021/523 și simplificarea cerințelor de raportare</w:t>
      </w:r>
      <w:bookmarkEnd w:id="5"/>
      <w:r w:rsidRPr="004859A6">
        <w:t xml:space="preserve"> </w:t>
      </w:r>
      <w:bookmarkStart w:id="6" w:name="References"/>
      <w:r w:rsidRPr="004859A6">
        <w:t>(COM(2025)0084 – C10-0036/2025 – 2025/0040(COD))</w:t>
      </w:r>
      <w:bookmarkEnd w:id="6"/>
    </w:p>
    <w:p w14:paraId="10B441F5" w14:textId="77777777" w:rsidR="00181C8C" w:rsidRPr="004859A6" w:rsidRDefault="00181C8C" w:rsidP="00181C8C"/>
    <w:p w14:paraId="718C6418" w14:textId="77777777" w:rsidR="00AB74C3" w:rsidRPr="004859A6" w:rsidRDefault="00AB74C3" w:rsidP="00AB74C3">
      <w:pPr>
        <w:pStyle w:val="NormalBold"/>
      </w:pPr>
      <w:bookmarkStart w:id="7" w:name="TextBodyBegin"/>
      <w:bookmarkEnd w:id="7"/>
      <w:r w:rsidRPr="004859A6">
        <w:t>(Procedura legislativă ordinară: prima lectură)</w:t>
      </w:r>
    </w:p>
    <w:p w14:paraId="31E8D5D8" w14:textId="77777777" w:rsidR="00AB74C3" w:rsidRPr="004859A6" w:rsidRDefault="00AB74C3" w:rsidP="00AB74C3">
      <w:pPr>
        <w:pStyle w:val="EPComma"/>
      </w:pPr>
      <w:r w:rsidRPr="004859A6">
        <w:rPr>
          <w:i/>
          <w:iCs/>
        </w:rPr>
        <w:t>Parlamentul European</w:t>
      </w:r>
      <w:r w:rsidRPr="004859A6">
        <w:t>,</w:t>
      </w:r>
    </w:p>
    <w:p w14:paraId="4C609350" w14:textId="77777777" w:rsidR="00AB74C3" w:rsidRPr="004859A6" w:rsidRDefault="00AB74C3" w:rsidP="00AB74C3">
      <w:pPr>
        <w:pStyle w:val="NormalHanging12a"/>
      </w:pPr>
      <w:r w:rsidRPr="004859A6">
        <w:t>–</w:t>
      </w:r>
      <w:r w:rsidRPr="004859A6">
        <w:tab/>
        <w:t>având în vedere propunerea Comisiei prezentată Parlamentului European și Consiliului (COM(2025)0084),</w:t>
      </w:r>
    </w:p>
    <w:p w14:paraId="300047B8" w14:textId="2FC2B0DF" w:rsidR="00AB74C3" w:rsidRPr="004859A6" w:rsidRDefault="00AB74C3" w:rsidP="00AB74C3">
      <w:pPr>
        <w:pStyle w:val="NormalHanging12a"/>
      </w:pPr>
      <w:r w:rsidRPr="004859A6">
        <w:t>–</w:t>
      </w:r>
      <w:r w:rsidRPr="004859A6">
        <w:tab/>
        <w:t xml:space="preserve">având în vedere articolul 294 alineatul (2), articolele 172 și 173, articolul 175 al treilea paragraf, articolul 182 alineatul (1), </w:t>
      </w:r>
      <w:r w:rsidR="002451FE" w:rsidRPr="004859A6">
        <w:t xml:space="preserve">articolul 183, </w:t>
      </w:r>
      <w:r w:rsidRPr="004859A6">
        <w:t>articolul 188 al doilea paragraf și articol</w:t>
      </w:r>
      <w:r w:rsidR="002451FE" w:rsidRPr="004859A6">
        <w:t>ul</w:t>
      </w:r>
      <w:r w:rsidRPr="004859A6">
        <w:t xml:space="preserve"> 194 din Tratatul privind funcționarea Uniunii Europene, în temeiul cărora propunerea a fost prezentată de către Comisie (C10</w:t>
      </w:r>
      <w:r w:rsidRPr="004859A6">
        <w:noBreakHyphen/>
        <w:t>0036/2025),</w:t>
      </w:r>
    </w:p>
    <w:p w14:paraId="15CC27A7" w14:textId="77777777" w:rsidR="00AB74C3" w:rsidRPr="004859A6" w:rsidRDefault="00AB74C3" w:rsidP="00AB74C3">
      <w:pPr>
        <w:pStyle w:val="NormalHanging12a"/>
      </w:pPr>
      <w:r w:rsidRPr="004859A6">
        <w:t>–</w:t>
      </w:r>
      <w:r w:rsidRPr="004859A6">
        <w:tab/>
        <w:t>având în vedere articolul 294 alineatul (3) din Tratatul privind funcționarea Uniunii Europene,</w:t>
      </w:r>
    </w:p>
    <w:p w14:paraId="5419E1EC" w14:textId="77777777" w:rsidR="00AB74C3" w:rsidRPr="004859A6" w:rsidRDefault="00AB74C3" w:rsidP="00AB74C3">
      <w:pPr>
        <w:pStyle w:val="NormalHanging12a"/>
      </w:pPr>
      <w:r w:rsidRPr="004859A6">
        <w:t>–</w:t>
      </w:r>
      <w:r w:rsidRPr="004859A6">
        <w:tab/>
        <w:t>având în vedere avizul Comitetului Economic și Social European din 29 aprilie 2025</w:t>
      </w:r>
      <w:r w:rsidRPr="004859A6">
        <w:rPr>
          <w:rStyle w:val="FootnoteReference"/>
        </w:rPr>
        <w:footnoteReference w:id="1"/>
      </w:r>
      <w:r w:rsidRPr="004859A6">
        <w:t>,</w:t>
      </w:r>
    </w:p>
    <w:p w14:paraId="7FFCF3AC" w14:textId="77777777" w:rsidR="00AB74C3" w:rsidRPr="004859A6" w:rsidRDefault="00AB74C3" w:rsidP="00AB74C3">
      <w:pPr>
        <w:pStyle w:val="NormalHanging12a"/>
      </w:pPr>
      <w:r w:rsidRPr="004859A6">
        <w:t>–</w:t>
      </w:r>
      <w:r w:rsidRPr="004859A6">
        <w:tab/>
        <w:t>după consultarea Comitetului Regiunilor,</w:t>
      </w:r>
    </w:p>
    <w:p w14:paraId="4918AE81" w14:textId="728B4E8E" w:rsidR="002451FE" w:rsidRPr="004859A6" w:rsidRDefault="002451FE" w:rsidP="00AB74C3">
      <w:pPr>
        <w:pStyle w:val="NormalHanging12a"/>
      </w:pPr>
      <w:r w:rsidRPr="004859A6">
        <w:t>–</w:t>
      </w:r>
      <w:r w:rsidRPr="004859A6">
        <w:tab/>
        <w:t>având în vedere acordul provizoriu aprobat de comisiile competente în temeiul articolului 75 alineatul (4) din Regulamentul său de procedură și angajamentul reprezentantului Consiliului, exprimat în scrisoarea din 8 octombrie 2025, de a aproba poziția Parlamentului în conformitate cu articolul 294 alineatul (4) din Tratatul privind funcționarea Uniunii Europene,</w:t>
      </w:r>
    </w:p>
    <w:p w14:paraId="261CFEA1" w14:textId="77777777" w:rsidR="00AB74C3" w:rsidRPr="004859A6" w:rsidRDefault="00AB74C3" w:rsidP="00AB74C3">
      <w:pPr>
        <w:pStyle w:val="NormalHanging12a"/>
      </w:pPr>
      <w:r w:rsidRPr="004859A6">
        <w:lastRenderedPageBreak/>
        <w:t>–</w:t>
      </w:r>
      <w:r w:rsidRPr="004859A6">
        <w:tab/>
        <w:t>având în vedere articolul 60 din Regulamentul său de procedură,</w:t>
      </w:r>
    </w:p>
    <w:p w14:paraId="416124C1" w14:textId="77777777" w:rsidR="00AB74C3" w:rsidRPr="004859A6" w:rsidRDefault="00AB74C3" w:rsidP="00AB74C3">
      <w:pPr>
        <w:pStyle w:val="NormalHanging12a"/>
      </w:pPr>
      <w:r w:rsidRPr="004859A6">
        <w:t>–</w:t>
      </w:r>
      <w:r w:rsidRPr="004859A6">
        <w:tab/>
        <w:t>având în vedere deliberările comune ale Comisiei pentru bugete și ale Comisiei pentru afaceri economice și monetare, desfășurate în conformitate cu articolul 59 din Regulamentul de procedură,</w:t>
      </w:r>
    </w:p>
    <w:p w14:paraId="46CBD7C7" w14:textId="77777777" w:rsidR="00AB74C3" w:rsidRPr="004859A6" w:rsidRDefault="00AB74C3" w:rsidP="00AB74C3">
      <w:pPr>
        <w:pStyle w:val="NormalHanging12a"/>
      </w:pPr>
      <w:r w:rsidRPr="004859A6">
        <w:t>–</w:t>
      </w:r>
      <w:r w:rsidRPr="004859A6">
        <w:tab/>
        <w:t>având în vedere avizele Comisiei pentru industrie, cercetare și energie și Comisiei pentru transport și turism,</w:t>
      </w:r>
    </w:p>
    <w:p w14:paraId="1521DB11" w14:textId="77777777" w:rsidR="00AB74C3" w:rsidRPr="004859A6" w:rsidRDefault="00AB74C3" w:rsidP="00AB74C3">
      <w:pPr>
        <w:pStyle w:val="NormalHanging12a"/>
      </w:pPr>
      <w:r w:rsidRPr="004859A6">
        <w:t>–</w:t>
      </w:r>
      <w:r w:rsidRPr="004859A6">
        <w:tab/>
        <w:t>având în vedere raportul Comisiei pentru bugete și Comisiei pentru afaceri economice și monetare (A10-0117/2025),</w:t>
      </w:r>
    </w:p>
    <w:p w14:paraId="4EDDD29F" w14:textId="77777777" w:rsidR="00AB74C3" w:rsidRPr="004859A6" w:rsidRDefault="00AB74C3" w:rsidP="00AB74C3">
      <w:pPr>
        <w:pStyle w:val="NormalHanging12a"/>
      </w:pPr>
      <w:r w:rsidRPr="004859A6">
        <w:t>1.</w:t>
      </w:r>
      <w:r w:rsidRPr="004859A6">
        <w:tab/>
        <w:t>adoptă poziția sa în primă lectură prezentată în continuare;</w:t>
      </w:r>
    </w:p>
    <w:p w14:paraId="2EE6077D" w14:textId="77777777" w:rsidR="00AB74C3" w:rsidRPr="004859A6" w:rsidRDefault="00AB74C3" w:rsidP="00AB74C3">
      <w:pPr>
        <w:pStyle w:val="NormalHanging12a"/>
      </w:pPr>
      <w:r w:rsidRPr="004859A6">
        <w:t>2.</w:t>
      </w:r>
      <w:r w:rsidRPr="004859A6">
        <w:tab/>
        <w:t>solicită Comisiei să îl sesizeze din nou în cazul în care își înlocuiește, își modifică în mod substanțial sau intenționează să-și modifice în mod substanțial propunerea;</w:t>
      </w:r>
    </w:p>
    <w:p w14:paraId="675A83EA" w14:textId="77777777" w:rsidR="0030764B" w:rsidRPr="004859A6" w:rsidRDefault="00AB74C3" w:rsidP="00AB74C3">
      <w:pPr>
        <w:pStyle w:val="NormalHanging12a"/>
        <w:sectPr w:rsidR="0030764B" w:rsidRPr="004859A6" w:rsidSect="00DC59CE">
          <w:footerReference w:type="even" r:id="rId9"/>
          <w:footerReference w:type="first" r:id="rId10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4859A6">
        <w:t>3.</w:t>
      </w:r>
      <w:r w:rsidRPr="004859A6">
        <w:tab/>
        <w:t>încredințează Președintei sarcina de a transmite Consiliului și Comisiei, precum și parlamentelor naționale poziția Parlamentului.</w:t>
      </w:r>
    </w:p>
    <w:p w14:paraId="3930626E" w14:textId="0FAA85CD" w:rsidR="002451FE" w:rsidRPr="004859A6" w:rsidRDefault="002451FE" w:rsidP="002451FE">
      <w:pPr>
        <w:rPr>
          <w:b/>
        </w:rPr>
      </w:pPr>
      <w:r w:rsidRPr="004859A6">
        <w:rPr>
          <w:b/>
        </w:rPr>
        <w:lastRenderedPageBreak/>
        <w:t>P10_TC1-COD(2025)0040</w:t>
      </w:r>
    </w:p>
    <w:p w14:paraId="22B8DD78" w14:textId="120AF95A" w:rsidR="000D1F96" w:rsidRPr="005B1326" w:rsidRDefault="002451FE" w:rsidP="000D1F96">
      <w:pPr>
        <w:pStyle w:val="AmNumberTabs"/>
        <w:keepNext/>
      </w:pPr>
      <w:r w:rsidRPr="005B1326">
        <w:t xml:space="preserve">Poziția Parlamentului European adoptată în primă lectură la 26 noiembrie 2025 în vederea adoptării Regulamentului (UE) 2025/... al Parlamentului European și al Consiliului </w:t>
      </w:r>
      <w:bookmarkStart w:id="8" w:name="_Hlk211335659"/>
      <w:r w:rsidR="000D1F96" w:rsidRPr="005B1326">
        <w:t>de modificare a Regulamentelor (UE) 2015/1017, (UE) 2021/523, (UE) 2021/695 și (UE) 2021/1153 în ceea ce privește creșterea eficienței garanției UE în temeiul Regulamentului (UE) 2021/523 și simplificarea cerințelor de raportare</w:t>
      </w:r>
    </w:p>
    <w:p w14:paraId="1078AB44" w14:textId="56D86E44" w:rsidR="005B1326" w:rsidRPr="005B1326" w:rsidRDefault="005B1326" w:rsidP="005B1326">
      <w:pPr>
        <w:spacing w:before="240"/>
        <w:rPr>
          <w:rStyle w:val="ATHeading3Char"/>
          <w:b w:val="0"/>
          <w:bCs/>
          <w:i/>
        </w:rPr>
      </w:pPr>
      <w:r w:rsidRPr="005B1326">
        <w:rPr>
          <w:rStyle w:val="ATHeading3Char"/>
          <w:b w:val="0"/>
          <w:bCs/>
          <w:i/>
        </w:rPr>
        <w:t>(Întrucât s-a ajuns la un acord între Parlament și Consiliu, poziția Parlamentului corespunde cu actul legislativ final, Regulamentul (UE) 2025/</w:t>
      </w:r>
      <w:r>
        <w:rPr>
          <w:rStyle w:val="ATHeading3Char"/>
          <w:b w:val="0"/>
          <w:bCs/>
          <w:i/>
        </w:rPr>
        <w:t>2005</w:t>
      </w:r>
      <w:r w:rsidRPr="005B1326">
        <w:rPr>
          <w:rStyle w:val="ATHeading3Char"/>
          <w:b w:val="0"/>
          <w:bCs/>
          <w:i/>
        </w:rPr>
        <w:t>.)</w:t>
      </w:r>
    </w:p>
    <w:p w14:paraId="0BAD24BD" w14:textId="77777777" w:rsidR="005B1326" w:rsidRPr="005B1326" w:rsidRDefault="005B1326" w:rsidP="000D1F96">
      <w:pPr>
        <w:pStyle w:val="AmNumberTabs"/>
        <w:keepNext/>
      </w:pPr>
    </w:p>
    <w:bookmarkEnd w:id="8"/>
    <w:sectPr w:rsidR="005B1326" w:rsidRPr="005B1326" w:rsidSect="00DC59C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94153E" w14:textId="77777777" w:rsidR="00181C8C" w:rsidRPr="00DC59CE" w:rsidRDefault="00181C8C">
      <w:r w:rsidRPr="00DC59CE">
        <w:separator/>
      </w:r>
    </w:p>
  </w:endnote>
  <w:endnote w:type="continuationSeparator" w:id="0">
    <w:p w14:paraId="6A59CF0A" w14:textId="77777777" w:rsidR="00181C8C" w:rsidRPr="00DC59CE" w:rsidRDefault="00181C8C">
      <w:r w:rsidRPr="00DC59C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F32FB" w14:textId="77777777" w:rsidR="00AB74C3" w:rsidRPr="00DC59CE" w:rsidRDefault="00AB74C3" w:rsidP="00570004">
    <w:pPr>
      <w:pStyle w:val="EPFooter"/>
    </w:pPr>
    <w:r w:rsidRPr="00DC59CE">
      <w:t>PE</w:t>
    </w:r>
    <w:r w:rsidRPr="00DC59CE">
      <w:rPr>
        <w:rStyle w:val="HideTWBExt"/>
      </w:rPr>
      <w:t>&lt;</w:t>
    </w:r>
    <w:proofErr w:type="spellStart"/>
    <w:r w:rsidRPr="00DC59CE">
      <w:rPr>
        <w:rStyle w:val="HideTWBExt"/>
      </w:rPr>
      <w:t>NoPE</w:t>
    </w:r>
    <w:proofErr w:type="spellEnd"/>
    <w:r w:rsidRPr="00DC59CE">
      <w:rPr>
        <w:rStyle w:val="HideTWBExt"/>
      </w:rPr>
      <w:t>&gt;</w:t>
    </w:r>
    <w:r w:rsidRPr="00DC59CE">
      <w:t>773.087</w:t>
    </w:r>
    <w:r w:rsidRPr="00DC59CE">
      <w:rPr>
        <w:rStyle w:val="HideTWBExt"/>
      </w:rPr>
      <w:t>&lt;/</w:t>
    </w:r>
    <w:proofErr w:type="spellStart"/>
    <w:r w:rsidRPr="00DC59CE">
      <w:rPr>
        <w:rStyle w:val="HideTWBExt"/>
      </w:rPr>
      <w:t>NoPE</w:t>
    </w:r>
    <w:proofErr w:type="spellEnd"/>
    <w:r w:rsidRPr="00DC59CE">
      <w:rPr>
        <w:rStyle w:val="HideTWBExt"/>
      </w:rPr>
      <w:t>&gt;&lt;Version&gt;</w:t>
    </w:r>
    <w:r w:rsidRPr="00DC59CE">
      <w:t>v02-00</w:t>
    </w:r>
    <w:r w:rsidRPr="00DC59CE">
      <w:rPr>
        <w:rStyle w:val="HideTWBExt"/>
      </w:rPr>
      <w:t>&lt;/</w:t>
    </w:r>
    <w:proofErr w:type="spellStart"/>
    <w:r w:rsidRPr="00DC59CE">
      <w:rPr>
        <w:rStyle w:val="HideTWBExt"/>
      </w:rPr>
      <w:t>Version</w:t>
    </w:r>
    <w:proofErr w:type="spellEnd"/>
    <w:r w:rsidRPr="00DC59CE">
      <w:rPr>
        <w:rStyle w:val="HideTWBExt"/>
      </w:rPr>
      <w:t>&gt;</w:t>
    </w:r>
    <w:r w:rsidRPr="00DC59CE">
      <w:tab/>
    </w:r>
    <w:r w:rsidRPr="00DC59CE">
      <w:fldChar w:fldCharType="begin"/>
    </w:r>
    <w:r w:rsidRPr="00DC59CE">
      <w:instrText xml:space="preserve"> PAGE  \* MERGEFORMAT </w:instrText>
    </w:r>
    <w:r w:rsidRPr="00DC59CE">
      <w:fldChar w:fldCharType="separate"/>
    </w:r>
    <w:r w:rsidRPr="00DC59CE">
      <w:rPr>
        <w:noProof/>
      </w:rPr>
      <w:t>30</w:t>
    </w:r>
    <w:r w:rsidRPr="00DC59CE">
      <w:fldChar w:fldCharType="end"/>
    </w:r>
    <w:r w:rsidRPr="00DC59CE">
      <w:t>/</w:t>
    </w:r>
    <w:r w:rsidR="005B1326">
      <w:fldChar w:fldCharType="begin"/>
    </w:r>
    <w:r w:rsidR="005B1326">
      <w:instrText xml:space="preserve"> NUMPAGES  \* MERGEFORMAT </w:instrText>
    </w:r>
    <w:r w:rsidR="005B1326">
      <w:fldChar w:fldCharType="separate"/>
    </w:r>
    <w:r w:rsidRPr="00DC59CE">
      <w:rPr>
        <w:noProof/>
      </w:rPr>
      <w:t>32</w:t>
    </w:r>
    <w:r w:rsidR="005B1326">
      <w:rPr>
        <w:noProof/>
      </w:rPr>
      <w:fldChar w:fldCharType="end"/>
    </w:r>
    <w:r w:rsidRPr="00DC59CE">
      <w:tab/>
    </w:r>
    <w:r w:rsidRPr="00DC59CE">
      <w:rPr>
        <w:rStyle w:val="HideTWBExt"/>
      </w:rPr>
      <w:t>&lt;PathFdR&gt;</w:t>
    </w:r>
    <w:r w:rsidRPr="00DC59CE">
      <w:t>RR\1323942RO.docx</w:t>
    </w:r>
    <w:r w:rsidRPr="00DC59CE">
      <w:rPr>
        <w:rStyle w:val="HideTWBExt"/>
      </w:rPr>
      <w:t>&lt;/</w:t>
    </w:r>
    <w:proofErr w:type="spellStart"/>
    <w:r w:rsidRPr="00DC59CE">
      <w:rPr>
        <w:rStyle w:val="HideTWBExt"/>
      </w:rPr>
      <w:t>PathFdR</w:t>
    </w:r>
    <w:proofErr w:type="spellEnd"/>
    <w:r w:rsidRPr="00DC59CE">
      <w:rPr>
        <w:rStyle w:val="HideTWBExt"/>
      </w:rPr>
      <w:t>&gt;</w:t>
    </w:r>
  </w:p>
  <w:p w14:paraId="7683A4B1" w14:textId="77777777" w:rsidR="00AB74C3" w:rsidRPr="00DC59CE" w:rsidRDefault="00AB74C3" w:rsidP="00570004">
    <w:pPr>
      <w:pStyle w:val="EPFooter2"/>
    </w:pPr>
    <w:r w:rsidRPr="00DC59CE">
      <w:t>RO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6C3971" w14:textId="77777777" w:rsidR="00AB74C3" w:rsidRPr="00DC59CE" w:rsidRDefault="00AB74C3" w:rsidP="00570004">
    <w:pPr>
      <w:pStyle w:val="EPFooter"/>
    </w:pPr>
    <w:r w:rsidRPr="00DC59CE">
      <w:rPr>
        <w:rStyle w:val="HideTWBExt"/>
      </w:rPr>
      <w:t>&lt;PathFdR&gt;</w:t>
    </w:r>
    <w:r w:rsidRPr="00DC59CE">
      <w:t>RR\1323942RO.docx</w:t>
    </w:r>
    <w:r w:rsidRPr="00DC59CE">
      <w:rPr>
        <w:rStyle w:val="HideTWBExt"/>
      </w:rPr>
      <w:t>&lt;/</w:t>
    </w:r>
    <w:proofErr w:type="spellStart"/>
    <w:r w:rsidRPr="00DC59CE">
      <w:rPr>
        <w:rStyle w:val="HideTWBExt"/>
      </w:rPr>
      <w:t>PathFdR</w:t>
    </w:r>
    <w:proofErr w:type="spellEnd"/>
    <w:r w:rsidRPr="00DC59CE">
      <w:rPr>
        <w:rStyle w:val="HideTWBExt"/>
      </w:rPr>
      <w:t>&gt;</w:t>
    </w:r>
    <w:r w:rsidRPr="00DC59CE">
      <w:tab/>
    </w:r>
    <w:r w:rsidRPr="00DC59CE">
      <w:tab/>
      <w:t>PE</w:t>
    </w:r>
    <w:r w:rsidRPr="00DC59CE">
      <w:rPr>
        <w:rStyle w:val="HideTWBExt"/>
      </w:rPr>
      <w:t>&lt;</w:t>
    </w:r>
    <w:proofErr w:type="spellStart"/>
    <w:r w:rsidRPr="00DC59CE">
      <w:rPr>
        <w:rStyle w:val="HideTWBExt"/>
      </w:rPr>
      <w:t>NoPE</w:t>
    </w:r>
    <w:proofErr w:type="spellEnd"/>
    <w:r w:rsidRPr="00DC59CE">
      <w:rPr>
        <w:rStyle w:val="HideTWBExt"/>
      </w:rPr>
      <w:t>&gt;</w:t>
    </w:r>
    <w:r w:rsidRPr="00DC59CE">
      <w:t>773.087</w:t>
    </w:r>
    <w:r w:rsidRPr="00DC59CE">
      <w:rPr>
        <w:rStyle w:val="HideTWBExt"/>
      </w:rPr>
      <w:t>&lt;/</w:t>
    </w:r>
    <w:proofErr w:type="spellStart"/>
    <w:r w:rsidRPr="00DC59CE">
      <w:rPr>
        <w:rStyle w:val="HideTWBExt"/>
      </w:rPr>
      <w:t>NoPE</w:t>
    </w:r>
    <w:proofErr w:type="spellEnd"/>
    <w:r w:rsidRPr="00DC59CE">
      <w:rPr>
        <w:rStyle w:val="HideTWBExt"/>
      </w:rPr>
      <w:t>&gt;&lt;Version&gt;</w:t>
    </w:r>
    <w:r w:rsidRPr="00DC59CE">
      <w:t>v02-00</w:t>
    </w:r>
    <w:r w:rsidRPr="00DC59CE">
      <w:rPr>
        <w:rStyle w:val="HideTWBExt"/>
      </w:rPr>
      <w:t>&lt;/</w:t>
    </w:r>
    <w:proofErr w:type="spellStart"/>
    <w:r w:rsidRPr="00DC59CE">
      <w:rPr>
        <w:rStyle w:val="HideTWBExt"/>
      </w:rPr>
      <w:t>Version</w:t>
    </w:r>
    <w:proofErr w:type="spellEnd"/>
    <w:r w:rsidRPr="00DC59CE">
      <w:rPr>
        <w:rStyle w:val="HideTWBExt"/>
      </w:rPr>
      <w:t>&gt;</w:t>
    </w:r>
  </w:p>
  <w:p w14:paraId="6DE4842E" w14:textId="77777777" w:rsidR="00AB74C3" w:rsidRPr="00DC59CE" w:rsidRDefault="00AB74C3" w:rsidP="00570004">
    <w:pPr>
      <w:pStyle w:val="EPFooter2"/>
    </w:pPr>
    <w:r w:rsidRPr="00DC59CE">
      <w:t>RO</w:t>
    </w:r>
    <w:r w:rsidRPr="00DC59CE">
      <w:tab/>
    </w:r>
    <w:r w:rsidRPr="00DC59CE">
      <w:rPr>
        <w:b w:val="0"/>
        <w:i/>
        <w:color w:val="C0C0C0"/>
        <w:sz w:val="22"/>
      </w:rPr>
      <w:t>Unită în diversitate</w:t>
    </w:r>
    <w:r w:rsidRPr="00DC59CE">
      <w:tab/>
      <w:t>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535333" w14:textId="77777777" w:rsidR="00064002" w:rsidRPr="00DC59CE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C65D6B" w14:textId="77777777" w:rsidR="00064002" w:rsidRPr="00DC59CE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9F24A" w14:textId="77777777" w:rsidR="00064002" w:rsidRPr="00DC59C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53B48F" w14:textId="77777777" w:rsidR="00181C8C" w:rsidRPr="00DC59CE" w:rsidRDefault="00181C8C">
      <w:r w:rsidRPr="00DC59CE">
        <w:separator/>
      </w:r>
    </w:p>
  </w:footnote>
  <w:footnote w:type="continuationSeparator" w:id="0">
    <w:p w14:paraId="153E9EAA" w14:textId="77777777" w:rsidR="00181C8C" w:rsidRPr="00DC59CE" w:rsidRDefault="00181C8C">
      <w:r w:rsidRPr="00DC59CE">
        <w:continuationSeparator/>
      </w:r>
    </w:p>
  </w:footnote>
  <w:footnote w:id="1">
    <w:p w14:paraId="4F03B86B" w14:textId="4FA83D58" w:rsidR="00AB74C3" w:rsidRPr="000D1F96" w:rsidRDefault="00AB74C3" w:rsidP="00DC59CE">
      <w:pPr>
        <w:pStyle w:val="FootnoteText"/>
        <w:ind w:left="567" w:hanging="567"/>
        <w:rPr>
          <w:sz w:val="24"/>
          <w:lang w:val="ro-RO"/>
        </w:rPr>
      </w:pPr>
      <w:r w:rsidRPr="000D1F96">
        <w:rPr>
          <w:rStyle w:val="FootnoteReference"/>
          <w:sz w:val="24"/>
          <w:lang w:val="ro-RO"/>
        </w:rPr>
        <w:footnoteRef/>
      </w:r>
      <w:r w:rsidR="00DC59CE" w:rsidRPr="000D1F96">
        <w:rPr>
          <w:sz w:val="24"/>
          <w:lang w:val="ro-RO"/>
        </w:rPr>
        <w:t xml:space="preserve"> </w:t>
      </w:r>
      <w:r w:rsidR="00DC59CE" w:rsidRPr="000D1F96">
        <w:rPr>
          <w:sz w:val="24"/>
          <w:lang w:val="ro-RO"/>
        </w:rPr>
        <w:tab/>
      </w:r>
      <w:r w:rsidR="002451FE" w:rsidRPr="004859A6">
        <w:rPr>
          <w:sz w:val="24"/>
          <w:lang w:val="ro-RO"/>
        </w:rPr>
        <w:t>J</w:t>
      </w:r>
      <w:r w:rsidR="002451FE" w:rsidRPr="000D1F96">
        <w:rPr>
          <w:sz w:val="24"/>
          <w:lang w:val="ro-RO"/>
        </w:rPr>
        <w:t>O</w:t>
      </w:r>
      <w:r w:rsidR="002451FE" w:rsidRPr="004859A6">
        <w:rPr>
          <w:sz w:val="24"/>
          <w:lang w:val="ro-RO"/>
        </w:rPr>
        <w:t xml:space="preserve"> C, C/2025/3199, 2.7.2025, ELI: </w:t>
      </w:r>
      <w:hyperlink r:id="rId1" w:history="1">
        <w:r w:rsidR="002451FE" w:rsidRPr="004859A6">
          <w:rPr>
            <w:rStyle w:val="Hyperlink"/>
            <w:sz w:val="24"/>
            <w:lang w:val="ro-RO"/>
          </w:rPr>
          <w:t>http://data.europa.eu/eli/C/2025/3199/oj</w:t>
        </w:r>
      </w:hyperlink>
      <w:r w:rsidRPr="000D1F96">
        <w:rPr>
          <w:sz w:val="24"/>
          <w:lang w:val="ro-RO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8AB9F5" w14:textId="77777777" w:rsidR="00064002" w:rsidRPr="00DC59C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67861D" w14:textId="77777777" w:rsidR="00064002" w:rsidRPr="00DC59C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D63D34" w14:textId="77777777" w:rsidR="00064002" w:rsidRPr="00DC59C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FFD57C3"/>
    <w:multiLevelType w:val="hybridMultilevel"/>
    <w:tmpl w:val="1C82EACE"/>
    <w:lvl w:ilvl="0" w:tplc="66F8AF0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59B607C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20F4892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291EAF3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F3A22C4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6FCEBA3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CFB4E06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9132C83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09206B5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5D572E35"/>
    <w:multiLevelType w:val="hybridMultilevel"/>
    <w:tmpl w:val="1294238A"/>
    <w:lvl w:ilvl="0" w:tplc="AA1ED192">
      <w:start w:val="1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780E1A54" w:tentative="1">
      <w:start w:val="1"/>
      <w:numFmt w:val="lowerLetter"/>
      <w:lvlText w:val="%2."/>
      <w:lvlJc w:val="left"/>
      <w:pPr>
        <w:ind w:left="2520" w:hanging="360"/>
      </w:pPr>
    </w:lvl>
    <w:lvl w:ilvl="2" w:tplc="47D072E8" w:tentative="1">
      <w:start w:val="1"/>
      <w:numFmt w:val="lowerRoman"/>
      <w:lvlText w:val="%3."/>
      <w:lvlJc w:val="right"/>
      <w:pPr>
        <w:ind w:left="3240" w:hanging="180"/>
      </w:pPr>
    </w:lvl>
    <w:lvl w:ilvl="3" w:tplc="8D847B38" w:tentative="1">
      <w:start w:val="1"/>
      <w:numFmt w:val="decimal"/>
      <w:lvlText w:val="%4."/>
      <w:lvlJc w:val="left"/>
      <w:pPr>
        <w:ind w:left="3960" w:hanging="360"/>
      </w:pPr>
    </w:lvl>
    <w:lvl w:ilvl="4" w:tplc="B9C2D5F6" w:tentative="1">
      <w:start w:val="1"/>
      <w:numFmt w:val="lowerLetter"/>
      <w:lvlText w:val="%5."/>
      <w:lvlJc w:val="left"/>
      <w:pPr>
        <w:ind w:left="4680" w:hanging="360"/>
      </w:pPr>
    </w:lvl>
    <w:lvl w:ilvl="5" w:tplc="D1BE0BB6" w:tentative="1">
      <w:start w:val="1"/>
      <w:numFmt w:val="lowerRoman"/>
      <w:lvlText w:val="%6."/>
      <w:lvlJc w:val="right"/>
      <w:pPr>
        <w:ind w:left="5400" w:hanging="180"/>
      </w:pPr>
    </w:lvl>
    <w:lvl w:ilvl="6" w:tplc="B086760C" w:tentative="1">
      <w:start w:val="1"/>
      <w:numFmt w:val="decimal"/>
      <w:lvlText w:val="%7."/>
      <w:lvlJc w:val="left"/>
      <w:pPr>
        <w:ind w:left="6120" w:hanging="360"/>
      </w:pPr>
    </w:lvl>
    <w:lvl w:ilvl="7" w:tplc="3BA46B68" w:tentative="1">
      <w:start w:val="1"/>
      <w:numFmt w:val="lowerLetter"/>
      <w:lvlText w:val="%8."/>
      <w:lvlJc w:val="left"/>
      <w:pPr>
        <w:ind w:left="6840" w:hanging="360"/>
      </w:pPr>
    </w:lvl>
    <w:lvl w:ilvl="8" w:tplc="D1A65808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735519714">
    <w:abstractNumId w:val="9"/>
  </w:num>
  <w:num w:numId="2" w16cid:durableId="1303803160">
    <w:abstractNumId w:val="9"/>
  </w:num>
  <w:num w:numId="3" w16cid:durableId="1621180020">
    <w:abstractNumId w:val="7"/>
  </w:num>
  <w:num w:numId="4" w16cid:durableId="1404717261">
    <w:abstractNumId w:val="7"/>
  </w:num>
  <w:num w:numId="5" w16cid:durableId="418337153">
    <w:abstractNumId w:val="6"/>
  </w:num>
  <w:num w:numId="6" w16cid:durableId="380634006">
    <w:abstractNumId w:val="6"/>
  </w:num>
  <w:num w:numId="7" w16cid:durableId="326834915">
    <w:abstractNumId w:val="5"/>
  </w:num>
  <w:num w:numId="8" w16cid:durableId="1642616904">
    <w:abstractNumId w:val="5"/>
  </w:num>
  <w:num w:numId="9" w16cid:durableId="1373579657">
    <w:abstractNumId w:val="4"/>
  </w:num>
  <w:num w:numId="10" w16cid:durableId="1541554528">
    <w:abstractNumId w:val="4"/>
  </w:num>
  <w:num w:numId="11" w16cid:durableId="86967635">
    <w:abstractNumId w:val="8"/>
  </w:num>
  <w:num w:numId="12" w16cid:durableId="2060862631">
    <w:abstractNumId w:val="8"/>
  </w:num>
  <w:num w:numId="13" w16cid:durableId="1071271420">
    <w:abstractNumId w:val="3"/>
  </w:num>
  <w:num w:numId="14" w16cid:durableId="1148475005">
    <w:abstractNumId w:val="3"/>
  </w:num>
  <w:num w:numId="15" w16cid:durableId="1347825611">
    <w:abstractNumId w:val="2"/>
  </w:num>
  <w:num w:numId="16" w16cid:durableId="1968002254">
    <w:abstractNumId w:val="2"/>
  </w:num>
  <w:num w:numId="17" w16cid:durableId="2028097899">
    <w:abstractNumId w:val="1"/>
  </w:num>
  <w:num w:numId="18" w16cid:durableId="581647047">
    <w:abstractNumId w:val="1"/>
  </w:num>
  <w:num w:numId="19" w16cid:durableId="1886213003">
    <w:abstractNumId w:val="0"/>
  </w:num>
  <w:num w:numId="20" w16cid:durableId="911543453">
    <w:abstractNumId w:val="0"/>
  </w:num>
  <w:num w:numId="21" w16cid:durableId="471481532">
    <w:abstractNumId w:val="9"/>
  </w:num>
  <w:num w:numId="22" w16cid:durableId="683244659">
    <w:abstractNumId w:val="7"/>
  </w:num>
  <w:num w:numId="23" w16cid:durableId="2082369026">
    <w:abstractNumId w:val="6"/>
  </w:num>
  <w:num w:numId="24" w16cid:durableId="186333874">
    <w:abstractNumId w:val="5"/>
  </w:num>
  <w:num w:numId="25" w16cid:durableId="1347944523">
    <w:abstractNumId w:val="4"/>
  </w:num>
  <w:num w:numId="26" w16cid:durableId="1691222924">
    <w:abstractNumId w:val="8"/>
  </w:num>
  <w:num w:numId="27" w16cid:durableId="1631474651">
    <w:abstractNumId w:val="3"/>
  </w:num>
  <w:num w:numId="28" w16cid:durableId="1502696609">
    <w:abstractNumId w:val="2"/>
  </w:num>
  <w:num w:numId="29" w16cid:durableId="576325373">
    <w:abstractNumId w:val="1"/>
  </w:num>
  <w:num w:numId="30" w16cid:durableId="446850158">
    <w:abstractNumId w:val="0"/>
  </w:num>
  <w:num w:numId="31" w16cid:durableId="1387949707">
    <w:abstractNumId w:val="9"/>
  </w:num>
  <w:num w:numId="32" w16cid:durableId="733311844">
    <w:abstractNumId w:val="7"/>
  </w:num>
  <w:num w:numId="33" w16cid:durableId="1255943521">
    <w:abstractNumId w:val="6"/>
  </w:num>
  <w:num w:numId="34" w16cid:durableId="304166187">
    <w:abstractNumId w:val="5"/>
  </w:num>
  <w:num w:numId="35" w16cid:durableId="1107699197">
    <w:abstractNumId w:val="4"/>
  </w:num>
  <w:num w:numId="36" w16cid:durableId="1582181273">
    <w:abstractNumId w:val="8"/>
  </w:num>
  <w:num w:numId="37" w16cid:durableId="965234322">
    <w:abstractNumId w:val="3"/>
  </w:num>
  <w:num w:numId="38" w16cid:durableId="346059463">
    <w:abstractNumId w:val="2"/>
  </w:num>
  <w:num w:numId="39" w16cid:durableId="1648439615">
    <w:abstractNumId w:val="1"/>
  </w:num>
  <w:num w:numId="40" w16cid:durableId="940380288">
    <w:abstractNumId w:val="0"/>
  </w:num>
  <w:num w:numId="41" w16cid:durableId="371002390">
    <w:abstractNumId w:val="10"/>
  </w:num>
  <w:num w:numId="42" w16cid:durableId="397946338">
    <w:abstractNumId w:val="10"/>
  </w:num>
  <w:num w:numId="43" w16cid:durableId="1727100467">
    <w:abstractNumId w:val="10"/>
  </w:num>
  <w:num w:numId="44" w16cid:durableId="801465269">
    <w:abstractNumId w:val="12"/>
  </w:num>
  <w:num w:numId="45" w16cid:durableId="1917400959">
    <w:abstractNumId w:val="13"/>
  </w:num>
  <w:num w:numId="46" w16cid:durableId="1778063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17/2025"/>
    <w:docVar w:name="dvlangue" w:val="RO"/>
    <w:docVar w:name="dvnumam" w:val="25"/>
    <w:docVar w:name="dvpe" w:val="773.087"/>
    <w:docVar w:name="dvrapporteur" w:val="Raportoare: "/>
    <w:docVar w:name="dvstar" w:val="***I"/>
    <w:docVar w:name="dvtitre" w:val="Rezoluția legislativă a Parlamentului European din ... noiembrie 2025 referitoare la propunerea de regulament al Parlamentului European și al Consiliului de modificare a Regulamentelor (UE) 2015/1017, (UE) 2021/523, (UE) 2021/695 și (UE) 2021/1153 în ceea ce privește creșterea eficienței garanției UE în temeiul Regulamentului (UE) 2021/523 și simplificarea cerințelor de raportare(COM(2025)0084 – C10-0036/2025 – 2025/0040(COD))"/>
  </w:docVars>
  <w:rsids>
    <w:rsidRoot w:val="00181C8C"/>
    <w:rsid w:val="00002272"/>
    <w:rsid w:val="00064002"/>
    <w:rsid w:val="000677B9"/>
    <w:rsid w:val="000831BA"/>
    <w:rsid w:val="000A42CC"/>
    <w:rsid w:val="000D1F96"/>
    <w:rsid w:val="000E7DD9"/>
    <w:rsid w:val="0010095E"/>
    <w:rsid w:val="00125B37"/>
    <w:rsid w:val="00181C8C"/>
    <w:rsid w:val="00187494"/>
    <w:rsid w:val="001F32AE"/>
    <w:rsid w:val="001F5BF3"/>
    <w:rsid w:val="00205791"/>
    <w:rsid w:val="002451FE"/>
    <w:rsid w:val="002767FF"/>
    <w:rsid w:val="002B18FE"/>
    <w:rsid w:val="002B5493"/>
    <w:rsid w:val="0030764B"/>
    <w:rsid w:val="00343214"/>
    <w:rsid w:val="00361C00"/>
    <w:rsid w:val="00395FA1"/>
    <w:rsid w:val="003E0829"/>
    <w:rsid w:val="003E15D4"/>
    <w:rsid w:val="003E404C"/>
    <w:rsid w:val="00411CCE"/>
    <w:rsid w:val="0041666E"/>
    <w:rsid w:val="00421060"/>
    <w:rsid w:val="00471C19"/>
    <w:rsid w:val="004859A6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7B16"/>
    <w:rsid w:val="005B1326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7CA1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B74C3"/>
    <w:rsid w:val="00AE0928"/>
    <w:rsid w:val="00AF3B82"/>
    <w:rsid w:val="00B12E95"/>
    <w:rsid w:val="00B22876"/>
    <w:rsid w:val="00B558F0"/>
    <w:rsid w:val="00B67143"/>
    <w:rsid w:val="00BD48FE"/>
    <w:rsid w:val="00BD7BD8"/>
    <w:rsid w:val="00BE6ADC"/>
    <w:rsid w:val="00C05BFE"/>
    <w:rsid w:val="00C23CD4"/>
    <w:rsid w:val="00C61C0C"/>
    <w:rsid w:val="00C941CB"/>
    <w:rsid w:val="00CB4CCD"/>
    <w:rsid w:val="00CC2357"/>
    <w:rsid w:val="00CF071A"/>
    <w:rsid w:val="00D058B8"/>
    <w:rsid w:val="00D25CF6"/>
    <w:rsid w:val="00D56C11"/>
    <w:rsid w:val="00D834A0"/>
    <w:rsid w:val="00D872DF"/>
    <w:rsid w:val="00D91E21"/>
    <w:rsid w:val="00DA45E8"/>
    <w:rsid w:val="00DA7FCD"/>
    <w:rsid w:val="00DC59CE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176D6"/>
    <w:rsid w:val="00F5134D"/>
    <w:rsid w:val="00F74202"/>
    <w:rsid w:val="00F87713"/>
    <w:rsid w:val="00FB4360"/>
    <w:rsid w:val="00FD0C70"/>
    <w:rsid w:val="00FF5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74B764"/>
  <w15:chartTrackingRefBased/>
  <w15:docId w15:val="{5C10E405-8AB6-43FC-A8BD-E78AB2170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link w:val="ATHeading3Char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link w:val="FootnotesymbolCarZchn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AB74C3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AB74C3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AB74C3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AB74C3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AB74C3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AB74C3"/>
    <w:rPr>
      <w:i/>
      <w:sz w:val="22"/>
      <w:lang w:val="ro-RO"/>
    </w:rPr>
  </w:style>
  <w:style w:type="character" w:customStyle="1" w:styleId="Heading7Char">
    <w:name w:val="Heading 7 Char"/>
    <w:basedOn w:val="DefaultParagraphFont"/>
    <w:link w:val="Heading7"/>
    <w:semiHidden/>
    <w:rsid w:val="00AB74C3"/>
    <w:rPr>
      <w:rFonts w:ascii="Arial" w:hAnsi="Arial"/>
      <w:sz w:val="24"/>
      <w:lang w:val="ro-RO"/>
    </w:rPr>
  </w:style>
  <w:style w:type="character" w:customStyle="1" w:styleId="Heading8Char">
    <w:name w:val="Heading 8 Char"/>
    <w:basedOn w:val="DefaultParagraphFont"/>
    <w:link w:val="Heading8"/>
    <w:semiHidden/>
    <w:rsid w:val="00AB74C3"/>
    <w:rPr>
      <w:rFonts w:ascii="Arial" w:hAnsi="Arial"/>
      <w:i/>
      <w:sz w:val="24"/>
      <w:lang w:val="ro-RO"/>
    </w:rPr>
  </w:style>
  <w:style w:type="character" w:customStyle="1" w:styleId="Heading9Char">
    <w:name w:val="Heading 9 Char"/>
    <w:basedOn w:val="DefaultParagraphFont"/>
    <w:link w:val="Heading9"/>
    <w:semiHidden/>
    <w:rsid w:val="00AB74C3"/>
    <w:rPr>
      <w:rFonts w:ascii="Arial" w:hAnsi="Arial"/>
      <w:b/>
      <w:i/>
      <w:sz w:val="18"/>
      <w:lang w:val="ro-RO"/>
    </w:rPr>
  </w:style>
  <w:style w:type="paragraph" w:styleId="TOCHeading">
    <w:name w:val="TOC Heading"/>
    <w:basedOn w:val="Normal"/>
    <w:next w:val="Normal"/>
    <w:unhideWhenUsed/>
    <w:qFormat/>
    <w:rsid w:val="00AB74C3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AB74C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AB74C3"/>
    <w:pPr>
      <w:spacing w:before="480" w:after="240"/>
    </w:pPr>
  </w:style>
  <w:style w:type="paragraph" w:customStyle="1" w:styleId="TOCPage">
    <w:name w:val="TOC Page"/>
    <w:basedOn w:val="Normal"/>
    <w:next w:val="TOC1"/>
    <w:rsid w:val="00AB74C3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AB74C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AB74C3"/>
    <w:rPr>
      <w:b/>
    </w:rPr>
  </w:style>
  <w:style w:type="paragraph" w:customStyle="1" w:styleId="NormalBold12a">
    <w:name w:val="NormalBold12a"/>
    <w:basedOn w:val="Normal"/>
    <w:rsid w:val="00AB74C3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AB74C3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AB74C3"/>
    <w:pPr>
      <w:spacing w:after="480"/>
      <w:ind w:left="1417"/>
    </w:pPr>
  </w:style>
  <w:style w:type="paragraph" w:customStyle="1" w:styleId="CoverNormal">
    <w:name w:val="CoverNormal"/>
    <w:basedOn w:val="Normal"/>
    <w:rsid w:val="00AB74C3"/>
    <w:pPr>
      <w:ind w:left="1418"/>
    </w:pPr>
  </w:style>
  <w:style w:type="paragraph" w:customStyle="1" w:styleId="NormalCenter12a">
    <w:name w:val="NormalCenter12a"/>
    <w:basedOn w:val="Normal"/>
    <w:rsid w:val="00AB74C3"/>
    <w:pPr>
      <w:spacing w:after="240"/>
      <w:jc w:val="center"/>
    </w:pPr>
  </w:style>
  <w:style w:type="paragraph" w:customStyle="1" w:styleId="CoverReference">
    <w:name w:val="CoverReference"/>
    <w:basedOn w:val="Normal"/>
    <w:rsid w:val="00AB74C3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AB74C3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AB74C3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AB74C3"/>
    <w:pPr>
      <w:spacing w:before="240" w:after="1200"/>
    </w:pPr>
  </w:style>
  <w:style w:type="paragraph" w:styleId="Header">
    <w:name w:val="header"/>
    <w:basedOn w:val="Normal"/>
    <w:link w:val="HeaderChar"/>
    <w:rsid w:val="00AB74C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B74C3"/>
    <w:rPr>
      <w:sz w:val="24"/>
      <w:lang w:val="ro-RO"/>
    </w:rPr>
  </w:style>
  <w:style w:type="paragraph" w:customStyle="1" w:styleId="AmNumberTabs">
    <w:name w:val="AmNumberTabs"/>
    <w:basedOn w:val="Normal"/>
    <w:rsid w:val="00AB74C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AB74C3"/>
    <w:pPr>
      <w:spacing w:before="720" w:after="240"/>
      <w:jc w:val="center"/>
    </w:pPr>
  </w:style>
  <w:style w:type="paragraph" w:customStyle="1" w:styleId="EPBody">
    <w:name w:val="EPBody"/>
    <w:basedOn w:val="Normal"/>
    <w:rsid w:val="00AB74C3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AB74C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Lgendesigne">
    <w:name w:val="Légende signe"/>
    <w:basedOn w:val="Normal"/>
    <w:rsid w:val="00AB74C3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AB74C3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AB74C3"/>
    <w:rPr>
      <w:sz w:val="18"/>
    </w:rPr>
  </w:style>
  <w:style w:type="paragraph" w:styleId="BalloonText">
    <w:name w:val="Balloon Text"/>
    <w:basedOn w:val="Normal"/>
    <w:link w:val="BalloonTextChar"/>
    <w:unhideWhenUsed/>
    <w:rsid w:val="00AB74C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B74C3"/>
    <w:rPr>
      <w:rFonts w:ascii="Segoe UI" w:hAnsi="Segoe UI" w:cs="Segoe UI"/>
      <w:sz w:val="18"/>
      <w:szCs w:val="18"/>
      <w:lang w:val="ro-RO"/>
    </w:rPr>
  </w:style>
  <w:style w:type="paragraph" w:customStyle="1" w:styleId="Normal6a">
    <w:name w:val="Normal6a"/>
    <w:basedOn w:val="Normal"/>
    <w:rsid w:val="00AB74C3"/>
    <w:pPr>
      <w:spacing w:after="120"/>
    </w:pPr>
  </w:style>
  <w:style w:type="paragraph" w:customStyle="1" w:styleId="AmCrossRef">
    <w:name w:val="AmCrossRef"/>
    <w:basedOn w:val="Normal"/>
    <w:rsid w:val="00AB74C3"/>
    <w:pPr>
      <w:spacing w:before="240" w:after="240"/>
      <w:jc w:val="center"/>
    </w:pPr>
    <w:rPr>
      <w:i/>
    </w:rPr>
  </w:style>
  <w:style w:type="paragraph" w:styleId="EndnoteText">
    <w:name w:val="endnote text"/>
    <w:basedOn w:val="Normal"/>
    <w:link w:val="EndnoteTextChar"/>
    <w:rsid w:val="00AB74C3"/>
    <w:rPr>
      <w:sz w:val="20"/>
    </w:rPr>
  </w:style>
  <w:style w:type="character" w:customStyle="1" w:styleId="EndnoteTextChar">
    <w:name w:val="Endnote Text Char"/>
    <w:basedOn w:val="DefaultParagraphFont"/>
    <w:link w:val="EndnoteText"/>
    <w:rsid w:val="00AB74C3"/>
    <w:rPr>
      <w:lang w:val="ro-RO"/>
    </w:rPr>
  </w:style>
  <w:style w:type="character" w:styleId="EndnoteReference">
    <w:name w:val="endnote reference"/>
    <w:basedOn w:val="DefaultParagraphFont"/>
    <w:rsid w:val="00AB74C3"/>
    <w:rPr>
      <w:vertAlign w:val="superscript"/>
    </w:rPr>
  </w:style>
  <w:style w:type="paragraph" w:customStyle="1" w:styleId="Normal24a">
    <w:name w:val="Normal24a"/>
    <w:basedOn w:val="Normal"/>
    <w:rsid w:val="00AB74C3"/>
    <w:pPr>
      <w:spacing w:after="480"/>
    </w:pPr>
  </w:style>
  <w:style w:type="paragraph" w:customStyle="1" w:styleId="NormalBoldCenter">
    <w:name w:val="NormalBoldCenter"/>
    <w:basedOn w:val="Normal"/>
    <w:rsid w:val="00AB74C3"/>
    <w:pPr>
      <w:jc w:val="center"/>
    </w:pPr>
    <w:rPr>
      <w:b/>
    </w:rPr>
  </w:style>
  <w:style w:type="paragraph" w:customStyle="1" w:styleId="Footprint12b">
    <w:name w:val="Footprint12b"/>
    <w:basedOn w:val="Normal"/>
    <w:rsid w:val="00AB74C3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AB74C3"/>
    <w:rPr>
      <w:szCs w:val="24"/>
    </w:rPr>
  </w:style>
  <w:style w:type="character" w:styleId="Hyperlink">
    <w:name w:val="Hyperlink"/>
    <w:basedOn w:val="DefaultParagraphFont"/>
    <w:uiPriority w:val="99"/>
    <w:rsid w:val="00AB74C3"/>
    <w:rPr>
      <w:color w:val="0563C1" w:themeColor="hyperlink"/>
      <w:u w:val="single"/>
    </w:rPr>
  </w:style>
  <w:style w:type="paragraph" w:customStyle="1" w:styleId="Normal12a">
    <w:name w:val="Normal12a"/>
    <w:basedOn w:val="Normal"/>
    <w:rsid w:val="00AB74C3"/>
    <w:pPr>
      <w:spacing w:after="240"/>
    </w:pPr>
  </w:style>
  <w:style w:type="paragraph" w:customStyle="1" w:styleId="PageHeadingNotTOC">
    <w:name w:val="PageHeadingNotTOC"/>
    <w:basedOn w:val="Normal"/>
    <w:rsid w:val="00AB74C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AB74C3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Normal6">
    <w:name w:val="Normal6"/>
    <w:basedOn w:val="Normal"/>
    <w:link w:val="Normal6Char"/>
    <w:rsid w:val="00AB74C3"/>
    <w:pPr>
      <w:spacing w:after="120"/>
    </w:pPr>
  </w:style>
  <w:style w:type="character" w:customStyle="1" w:styleId="NormalBoldChar">
    <w:name w:val="NormalBold Char"/>
    <w:basedOn w:val="DefaultParagraphFont"/>
    <w:link w:val="NormalBold"/>
    <w:rsid w:val="00AB74C3"/>
    <w:rPr>
      <w:b/>
      <w:sz w:val="24"/>
      <w:lang w:val="ro-RO"/>
    </w:rPr>
  </w:style>
  <w:style w:type="character" w:customStyle="1" w:styleId="Normal6Char">
    <w:name w:val="Normal6 Char"/>
    <w:basedOn w:val="DefaultParagraphFont"/>
    <w:link w:val="Normal6"/>
    <w:rsid w:val="00AB74C3"/>
    <w:rPr>
      <w:sz w:val="24"/>
      <w:lang w:val="ro-RO"/>
    </w:rPr>
  </w:style>
  <w:style w:type="paragraph" w:customStyle="1" w:styleId="ColumnHeading">
    <w:name w:val="ColumnHeading"/>
    <w:basedOn w:val="Normal"/>
    <w:rsid w:val="00AB74C3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AB74C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RollCallSymbols14pt">
    <w:name w:val="RollCallSymbols14pt"/>
    <w:basedOn w:val="Normal"/>
    <w:rsid w:val="00AB74C3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AB74C3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AB74C3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AB74C3"/>
    <w:pPr>
      <w:spacing w:before="120" w:after="120"/>
    </w:pPr>
    <w:rPr>
      <w:snapToGrid w:val="0"/>
      <w:sz w:val="16"/>
      <w:lang w:eastAsia="en-US"/>
    </w:rPr>
  </w:style>
  <w:style w:type="paragraph" w:customStyle="1" w:styleId="AmColumnHeading">
    <w:name w:val="AmColumnHeading"/>
    <w:basedOn w:val="Normal"/>
    <w:rsid w:val="00AB74C3"/>
    <w:pPr>
      <w:spacing w:after="240"/>
      <w:jc w:val="center"/>
    </w:pPr>
    <w:rPr>
      <w:i/>
    </w:rPr>
  </w:style>
  <w:style w:type="paragraph" w:customStyle="1" w:styleId="NormalBold12b">
    <w:name w:val="NormalBold12b"/>
    <w:basedOn w:val="Normal"/>
    <w:rsid w:val="00AB74C3"/>
    <w:pPr>
      <w:spacing w:before="240"/>
    </w:pPr>
    <w:rPr>
      <w:b/>
    </w:rPr>
  </w:style>
  <w:style w:type="paragraph" w:customStyle="1" w:styleId="CrossRef">
    <w:name w:val="CrossRef"/>
    <w:basedOn w:val="Normal"/>
    <w:rsid w:val="00AB74C3"/>
    <w:pPr>
      <w:spacing w:before="240"/>
      <w:jc w:val="center"/>
    </w:pPr>
    <w:rPr>
      <w:i/>
    </w:rPr>
  </w:style>
  <w:style w:type="paragraph" w:styleId="Footer">
    <w:name w:val="footer"/>
    <w:basedOn w:val="Normal"/>
    <w:link w:val="FooterChar"/>
    <w:rsid w:val="00AB74C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AB74C3"/>
    <w:rPr>
      <w:sz w:val="24"/>
      <w:lang w:val="ro-RO"/>
    </w:rPr>
  </w:style>
  <w:style w:type="paragraph" w:styleId="Revision">
    <w:name w:val="Revision"/>
    <w:hidden/>
    <w:uiPriority w:val="99"/>
    <w:semiHidden/>
    <w:rsid w:val="00AB74C3"/>
    <w:rPr>
      <w:sz w:val="24"/>
      <w:lang w:val="ro-RO"/>
    </w:rPr>
  </w:style>
  <w:style w:type="paragraph" w:customStyle="1" w:styleId="AmOrLang">
    <w:name w:val="AmOrLang"/>
    <w:basedOn w:val="Normal"/>
    <w:rsid w:val="000D1F96"/>
    <w:pPr>
      <w:spacing w:before="240" w:after="240"/>
      <w:jc w:val="right"/>
    </w:pPr>
  </w:style>
  <w:style w:type="paragraph" w:customStyle="1" w:styleId="Institutionquiagit">
    <w:name w:val="Institution qui agit"/>
    <w:basedOn w:val="Normal"/>
    <w:next w:val="Normal"/>
    <w:rsid w:val="000D1F96"/>
    <w:pPr>
      <w:keepNext/>
      <w:spacing w:before="600" w:after="120" w:line="360" w:lineRule="auto"/>
    </w:pPr>
    <w:rPr>
      <w:szCs w:val="24"/>
      <w:lang w:eastAsia="en-US"/>
    </w:rPr>
  </w:style>
  <w:style w:type="paragraph" w:customStyle="1" w:styleId="Typedudocument">
    <w:name w:val="Type du document"/>
    <w:basedOn w:val="Normal"/>
    <w:next w:val="Normal"/>
    <w:rsid w:val="000D1F96"/>
    <w:pPr>
      <w:widowControl/>
      <w:spacing w:before="360" w:line="360" w:lineRule="auto"/>
      <w:jc w:val="center"/>
    </w:pPr>
    <w:rPr>
      <w:b/>
      <w:szCs w:val="24"/>
      <w:lang w:eastAsia="en-US"/>
    </w:rPr>
  </w:style>
  <w:style w:type="paragraph" w:customStyle="1" w:styleId="Titreobjet">
    <w:name w:val="Titre objet"/>
    <w:basedOn w:val="Normal"/>
    <w:next w:val="Normal"/>
    <w:rsid w:val="000D1F96"/>
    <w:pPr>
      <w:widowControl/>
      <w:spacing w:before="360" w:after="360" w:line="360" w:lineRule="auto"/>
      <w:jc w:val="center"/>
    </w:pPr>
    <w:rPr>
      <w:b/>
      <w:szCs w:val="24"/>
      <w:lang w:eastAsia="en-US"/>
    </w:rPr>
  </w:style>
  <w:style w:type="paragraph" w:customStyle="1" w:styleId="FootnoteTextForceStyle">
    <w:name w:val="Footnote Text ForceStyle"/>
    <w:rsid w:val="000D1F96"/>
    <w:pPr>
      <w:keepLines/>
      <w:widowControl w:val="0"/>
      <w:spacing w:line="240" w:lineRule="exact"/>
      <w:ind w:left="850" w:hanging="850"/>
    </w:pPr>
    <w:rPr>
      <w:sz w:val="24"/>
      <w:lang w:eastAsia="en-US"/>
    </w:rPr>
  </w:style>
  <w:style w:type="paragraph" w:customStyle="1" w:styleId="Considrant">
    <w:name w:val="Considérant"/>
    <w:basedOn w:val="Normal"/>
    <w:rsid w:val="000D1F96"/>
    <w:pPr>
      <w:spacing w:before="120" w:after="120" w:line="360" w:lineRule="auto"/>
      <w:ind w:left="850" w:hanging="850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0D1F96"/>
    <w:pPr>
      <w:keepNext/>
      <w:widowControl/>
      <w:tabs>
        <w:tab w:val="left" w:pos="4252"/>
      </w:tabs>
      <w:spacing w:before="720"/>
      <w:jc w:val="both"/>
    </w:pPr>
    <w:rPr>
      <w:i/>
      <w:szCs w:val="24"/>
      <w:lang w:eastAsia="en-US"/>
    </w:rPr>
  </w:style>
  <w:style w:type="paragraph" w:customStyle="1" w:styleId="SignaturePersonne">
    <w:name w:val="Signature Personne"/>
    <w:basedOn w:val="Normal"/>
    <w:rsid w:val="000D1F96"/>
    <w:pPr>
      <w:widowControl/>
      <w:tabs>
        <w:tab w:val="left" w:pos="4252"/>
      </w:tabs>
      <w:spacing w:line="360" w:lineRule="auto"/>
    </w:pPr>
    <w:rPr>
      <w:i/>
      <w:szCs w:val="24"/>
      <w:lang w:eastAsia="en-US"/>
    </w:rPr>
  </w:style>
  <w:style w:type="paragraph" w:customStyle="1" w:styleId="Fait">
    <w:name w:val="Fait à"/>
    <w:basedOn w:val="Normal"/>
    <w:rsid w:val="000D1F96"/>
    <w:pPr>
      <w:keepNext/>
      <w:widowControl/>
      <w:spacing w:before="120" w:line="360" w:lineRule="auto"/>
    </w:pPr>
    <w:rPr>
      <w:szCs w:val="24"/>
      <w:lang w:eastAsia="en-US"/>
    </w:rPr>
  </w:style>
  <w:style w:type="paragraph" w:customStyle="1" w:styleId="Applicationdirecte">
    <w:name w:val="Application directe"/>
    <w:basedOn w:val="Normal"/>
    <w:next w:val="Normal"/>
    <w:rsid w:val="000D1F96"/>
    <w:pPr>
      <w:spacing w:before="120" w:after="120" w:line="360" w:lineRule="auto"/>
    </w:pPr>
    <w:rPr>
      <w:szCs w:val="24"/>
      <w:lang w:eastAsia="en-US"/>
    </w:rPr>
  </w:style>
  <w:style w:type="paragraph" w:customStyle="1" w:styleId="Normale">
    <w:name w:val="Normale"/>
    <w:rsid w:val="000D1F96"/>
    <w:pPr>
      <w:widowControl w:val="0"/>
      <w:spacing w:before="120" w:after="120" w:line="360" w:lineRule="auto"/>
    </w:pPr>
    <w:rPr>
      <w:sz w:val="24"/>
      <w:lang w:eastAsia="en-US"/>
    </w:rPr>
  </w:style>
  <w:style w:type="paragraph" w:customStyle="1" w:styleId="FootnotesymbolCarZchn">
    <w:name w:val="Footnote symbol Car Zchn"/>
    <w:aliases w:val="Footnote Car Zchn,Times 10 Point Car Zchn,Exposant 3 Point Car Zchn,Footnote Reference Superscript Car Zchn,Char Char Char Char Char Car Zchn,BVI fnr Car Zchn,SUPERS Car Zchn"/>
    <w:basedOn w:val="Normal"/>
    <w:link w:val="FootnoteReference"/>
    <w:uiPriority w:val="99"/>
    <w:qFormat/>
    <w:rsid w:val="000D1F96"/>
    <w:pPr>
      <w:widowControl/>
      <w:spacing w:after="160" w:line="240" w:lineRule="exact"/>
      <w:jc w:val="both"/>
    </w:pPr>
    <w:rPr>
      <w:sz w:val="20"/>
      <w:vertAlign w:val="superscript"/>
      <w:lang w:val="en-GB"/>
    </w:rPr>
  </w:style>
  <w:style w:type="character" w:styleId="FollowedHyperlink">
    <w:name w:val="FollowedHyperlink"/>
    <w:basedOn w:val="DefaultParagraphFont"/>
    <w:rsid w:val="007A7CA1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rsid w:val="007A7CA1"/>
    <w:rPr>
      <w:sz w:val="16"/>
      <w:szCs w:val="16"/>
    </w:rPr>
  </w:style>
  <w:style w:type="paragraph" w:styleId="CommentText">
    <w:name w:val="annotation text"/>
    <w:basedOn w:val="Normal"/>
    <w:link w:val="CommentTextChar"/>
    <w:rsid w:val="007A7CA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A7CA1"/>
    <w:rPr>
      <w:lang w:val="ro-RO"/>
    </w:rPr>
  </w:style>
  <w:style w:type="paragraph" w:styleId="CommentSubject">
    <w:name w:val="annotation subject"/>
    <w:basedOn w:val="CommentText"/>
    <w:next w:val="CommentText"/>
    <w:link w:val="CommentSubjectChar"/>
    <w:rsid w:val="007A7C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A7CA1"/>
    <w:rPr>
      <w:b/>
      <w:bCs/>
      <w:lang w:val="ro-RO"/>
    </w:rPr>
  </w:style>
  <w:style w:type="character" w:styleId="UnresolvedMention">
    <w:name w:val="Unresolved Mention"/>
    <w:basedOn w:val="DefaultParagraphFont"/>
    <w:uiPriority w:val="99"/>
    <w:semiHidden/>
    <w:unhideWhenUsed/>
    <w:rsid w:val="007A7CA1"/>
    <w:rPr>
      <w:color w:val="605E5C"/>
      <w:shd w:val="clear" w:color="auto" w:fill="E1DFDD"/>
    </w:rPr>
  </w:style>
  <w:style w:type="character" w:customStyle="1" w:styleId="ATHeading3Char">
    <w:name w:val="AT Heading 3 Char"/>
    <w:link w:val="ATHeading3"/>
    <w:locked/>
    <w:rsid w:val="005B1326"/>
    <w:rPr>
      <w:b/>
      <w:sz w:val="24"/>
      <w:lang w:val="ro-RO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319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414</Words>
  <Characters>2898</Characters>
  <Application>Microsoft Office Word</Application>
  <DocSecurity>0</DocSecurity>
  <Lines>103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GHERMAN Laura-Mirona</dc:creator>
  <cp:keywords/>
  <cp:lastModifiedBy>GHERMAN Laura-Mirona</cp:lastModifiedBy>
  <cp:revision>2</cp:revision>
  <cp:lastPrinted>2004-11-19T15:42:00Z</cp:lastPrinted>
  <dcterms:created xsi:type="dcterms:W3CDTF">2026-02-06T15:32:00Z</dcterms:created>
  <dcterms:modified xsi:type="dcterms:W3CDTF">2026-02-06T15:32:00Z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P10_TA(2025)0296_</vt:lpwstr>
  </property>
  <property fmtid="{D5CDD505-2E9C-101B-9397-08002B2CF9AE}" pid="4" name="&lt;Type&gt;">
    <vt:lpwstr>RR</vt:lpwstr>
  </property>
</Properties>
</file>