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C1581" w14:paraId="7929BA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73E38F" w14:textId="2962106D" w:rsidR="00751A4A" w:rsidRPr="002C1581" w:rsidRDefault="002C4B14" w:rsidP="0010095E">
            <w:pPr>
              <w:pStyle w:val="EPName"/>
            </w:pPr>
            <w:r w:rsidRPr="002C1581">
              <w:t>Europaparlamentet</w:t>
            </w:r>
          </w:p>
          <w:p w14:paraId="1BEDF364" w14:textId="77777777" w:rsidR="00751A4A" w:rsidRPr="002C158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C1581">
              <w:t>2024</w:t>
            </w:r>
            <w:r w:rsidR="00817416" w:rsidRPr="002C1581">
              <w:t>-202</w:t>
            </w:r>
            <w:r w:rsidRPr="002C1581">
              <w:t>9</w:t>
            </w:r>
          </w:p>
        </w:tc>
        <w:tc>
          <w:tcPr>
            <w:tcW w:w="2268" w:type="dxa"/>
            <w:shd w:val="clear" w:color="auto" w:fill="auto"/>
          </w:tcPr>
          <w:p w14:paraId="129F0259" w14:textId="77777777" w:rsidR="00751A4A" w:rsidRPr="002C1581" w:rsidRDefault="00187494" w:rsidP="0010095E">
            <w:pPr>
              <w:pStyle w:val="EPLogo"/>
            </w:pPr>
            <w:r w:rsidRPr="002C1581">
              <w:rPr>
                <w:noProof/>
                <w:lang w:eastAsia="ja-JP"/>
              </w:rPr>
              <w:drawing>
                <wp:inline distT="0" distB="0" distL="0" distR="0" wp14:anchorId="2A656050" wp14:editId="0E2CB7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E81DC7" w14:textId="77777777" w:rsidR="00D058B8" w:rsidRPr="002C1581" w:rsidRDefault="00D058B8" w:rsidP="004C5D52">
      <w:pPr>
        <w:pStyle w:val="LineTop"/>
      </w:pPr>
    </w:p>
    <w:p w14:paraId="73CB3CEC" w14:textId="1ACE5C66" w:rsidR="00680577" w:rsidRPr="002C1581" w:rsidRDefault="002C4B14" w:rsidP="00680577">
      <w:pPr>
        <w:pStyle w:val="EPBodyTA1"/>
      </w:pPr>
      <w:r w:rsidRPr="002C1581">
        <w:t>ANTAGNA TEXTER</w:t>
      </w:r>
    </w:p>
    <w:p w14:paraId="56ED1D93" w14:textId="77777777" w:rsidR="00D058B8" w:rsidRPr="002C1581" w:rsidRDefault="00D058B8" w:rsidP="00D058B8">
      <w:pPr>
        <w:pStyle w:val="LineBottom"/>
      </w:pPr>
    </w:p>
    <w:p w14:paraId="788421E8" w14:textId="793E7D33" w:rsidR="002C4B14" w:rsidRPr="002C1581" w:rsidRDefault="002C4B14" w:rsidP="002C4B14">
      <w:pPr>
        <w:pStyle w:val="ATHeading1"/>
      </w:pPr>
      <w:bookmarkStart w:id="0" w:name="TANumber"/>
      <w:r w:rsidRPr="002C1581">
        <w:t>P10_TA(2025)0</w:t>
      </w:r>
      <w:bookmarkEnd w:id="0"/>
      <w:r w:rsidR="00893962">
        <w:t>296</w:t>
      </w:r>
    </w:p>
    <w:p w14:paraId="5877D538" w14:textId="72E73143" w:rsidR="002C4B14" w:rsidRPr="002C1581" w:rsidRDefault="002C4B14" w:rsidP="002C4B14">
      <w:pPr>
        <w:pStyle w:val="ATHeading2"/>
      </w:pPr>
      <w:bookmarkStart w:id="1" w:name="title"/>
      <w:r w:rsidRPr="002C1581">
        <w:t xml:space="preserve">Effektivisera EU-garantin enligt förordningen om </w:t>
      </w:r>
      <w:proofErr w:type="spellStart"/>
      <w:r w:rsidRPr="002C1581">
        <w:t>InvestEU</w:t>
      </w:r>
      <w:proofErr w:type="spellEnd"/>
      <w:r w:rsidRPr="002C1581">
        <w:t>-programmet och förenkla rapporteringskraven</w:t>
      </w:r>
      <w:bookmarkEnd w:id="1"/>
    </w:p>
    <w:p w14:paraId="1FE7AA46" w14:textId="77777777" w:rsidR="002C4B14" w:rsidRPr="002C1581" w:rsidRDefault="002C4B14" w:rsidP="002C4B14">
      <w:pPr>
        <w:rPr>
          <w:i/>
          <w:vanish/>
        </w:rPr>
      </w:pPr>
      <w:r w:rsidRPr="002C1581">
        <w:rPr>
          <w:i/>
        </w:rPr>
        <w:fldChar w:fldCharType="begin"/>
      </w:r>
      <w:r w:rsidRPr="002C1581">
        <w:rPr>
          <w:i/>
        </w:rPr>
        <w:instrText xml:space="preserve"> TC"(</w:instrText>
      </w:r>
      <w:bookmarkStart w:id="2" w:name="DocNumber"/>
      <w:r w:rsidRPr="002C1581">
        <w:rPr>
          <w:i/>
        </w:rPr>
        <w:instrText>A10-0117/2025</w:instrText>
      </w:r>
      <w:bookmarkEnd w:id="2"/>
      <w:r w:rsidRPr="002C1581">
        <w:rPr>
          <w:i/>
        </w:rPr>
        <w:instrText xml:space="preserve"> - Föredragande: Aura Salla, Irene Tinagli)"\l3 \n&gt; \* MERGEFORMAT </w:instrText>
      </w:r>
      <w:r w:rsidRPr="002C1581">
        <w:rPr>
          <w:i/>
        </w:rPr>
        <w:fldChar w:fldCharType="end"/>
      </w:r>
    </w:p>
    <w:p w14:paraId="47B81E67" w14:textId="77777777" w:rsidR="002C4B14" w:rsidRPr="002C1581" w:rsidRDefault="002C4B14" w:rsidP="002C4B14">
      <w:pPr>
        <w:rPr>
          <w:vanish/>
        </w:rPr>
      </w:pPr>
      <w:bookmarkStart w:id="3" w:name="Commission"/>
      <w:r w:rsidRPr="002C1581">
        <w:rPr>
          <w:vanish/>
        </w:rPr>
        <w:t>Budgetutskottet, Utskottet för ekonomi och valutafrågor</w:t>
      </w:r>
      <w:bookmarkEnd w:id="3"/>
    </w:p>
    <w:p w14:paraId="06FFC399" w14:textId="77777777" w:rsidR="002C4B14" w:rsidRPr="002C1581" w:rsidRDefault="002C4B14" w:rsidP="002C4B14">
      <w:pPr>
        <w:rPr>
          <w:vanish/>
        </w:rPr>
      </w:pPr>
      <w:bookmarkStart w:id="4" w:name="PE"/>
      <w:r w:rsidRPr="002C1581">
        <w:rPr>
          <w:vanish/>
        </w:rPr>
        <w:t>PE773.087</w:t>
      </w:r>
      <w:bookmarkEnd w:id="4"/>
    </w:p>
    <w:p w14:paraId="5FAB3058" w14:textId="0A6FEB49" w:rsidR="002C4B14" w:rsidRPr="002C1581" w:rsidRDefault="002C4B14" w:rsidP="002C4B14">
      <w:pPr>
        <w:pStyle w:val="ATHeading3"/>
      </w:pPr>
      <w:bookmarkStart w:id="5" w:name="Sujet"/>
      <w:r w:rsidRPr="002C1581">
        <w:t xml:space="preserve">Europaparlamentets lagstiftningsresolution av den </w:t>
      </w:r>
      <w:r w:rsidR="00E437AD" w:rsidRPr="002C1581">
        <w:t xml:space="preserve">26 </w:t>
      </w:r>
      <w:r w:rsidR="00876994" w:rsidRPr="002C1581">
        <w:t xml:space="preserve">november </w:t>
      </w:r>
      <w:r w:rsidRPr="002C1581">
        <w:t>2025 om förslaget till Europaparlamentets och rådets förordning om ändring av förordningarna (EU) 2015/1017, (EU) 2021/523, (EU) 2021/695 och (EU) 2021/1153 vad gäller att effektivisera EU-garantin enligt förordning (EU) 2021/523 och förenkla rapporteringskraven</w:t>
      </w:r>
      <w:bookmarkEnd w:id="5"/>
      <w:r w:rsidRPr="002C1581">
        <w:t xml:space="preserve"> </w:t>
      </w:r>
      <w:bookmarkStart w:id="6" w:name="References"/>
      <w:r w:rsidRPr="002C1581">
        <w:t>(COM(2025)0084 – C10-0036/2025 – 2025/0040(COD))</w:t>
      </w:r>
      <w:bookmarkEnd w:id="6"/>
    </w:p>
    <w:p w14:paraId="58CA4A09" w14:textId="77777777" w:rsidR="0077290D" w:rsidRPr="002C1581" w:rsidRDefault="0077290D" w:rsidP="0077290D">
      <w:pPr>
        <w:pStyle w:val="NormalBold"/>
      </w:pPr>
      <w:r w:rsidRPr="002C1581">
        <w:t>Ordinarie lagstiftningsförfarande (första behandlingen)</w:t>
      </w:r>
    </w:p>
    <w:p w14:paraId="63872DC2" w14:textId="77777777" w:rsidR="0077290D" w:rsidRPr="002C1581" w:rsidRDefault="0077290D" w:rsidP="0077290D">
      <w:pPr>
        <w:pStyle w:val="EPComma"/>
      </w:pPr>
      <w:r w:rsidRPr="002C1581">
        <w:rPr>
          <w:i/>
        </w:rPr>
        <w:t>Europaparlamentet utfärdar denna resolution</w:t>
      </w:r>
    </w:p>
    <w:p w14:paraId="53F35A4B" w14:textId="77777777" w:rsidR="0077290D" w:rsidRPr="002C1581" w:rsidRDefault="0077290D" w:rsidP="0077290D">
      <w:pPr>
        <w:pStyle w:val="NormalHanging12a"/>
      </w:pPr>
      <w:r w:rsidRPr="002C1581">
        <w:t>–</w:t>
      </w:r>
      <w:r w:rsidRPr="002C1581">
        <w:tab/>
        <w:t>med beaktande av kommissionens förslag till Europaparlamentet och rådet (COM(2025)0084),</w:t>
      </w:r>
    </w:p>
    <w:p w14:paraId="39DBE1E3" w14:textId="787432E6" w:rsidR="0077290D" w:rsidRPr="002C1581" w:rsidRDefault="0077290D" w:rsidP="0077290D">
      <w:pPr>
        <w:pStyle w:val="NormalHanging12a"/>
      </w:pPr>
      <w:r w:rsidRPr="002C1581">
        <w:t>–</w:t>
      </w:r>
      <w:r w:rsidRPr="002C1581">
        <w:tab/>
        <w:t xml:space="preserve">med beaktande av artikel 294.2 och artiklarna 172 och 173, artikel 175 tredje stycket och artikel 182.1, </w:t>
      </w:r>
      <w:r w:rsidR="00A97978" w:rsidRPr="002C1581">
        <w:t xml:space="preserve">artikel 183, </w:t>
      </w:r>
      <w:r w:rsidRPr="002C1581">
        <w:t xml:space="preserve">artikel 188 andra stycket, samt </w:t>
      </w:r>
      <w:r w:rsidR="00A97978" w:rsidRPr="002C1581">
        <w:t xml:space="preserve">artikel </w:t>
      </w:r>
      <w:r w:rsidRPr="002C1581">
        <w:t>194 i föredraget om Europeiska unionens funktionssätt, i enlighet med vilka kommissionen har lagt fram sitt förslag för parlamentet (C10</w:t>
      </w:r>
      <w:r w:rsidRPr="002C1581">
        <w:noBreakHyphen/>
        <w:t>0036/2025),</w:t>
      </w:r>
    </w:p>
    <w:p w14:paraId="437597DB" w14:textId="77777777" w:rsidR="0077290D" w:rsidRPr="002C1581" w:rsidRDefault="0077290D" w:rsidP="0077290D">
      <w:pPr>
        <w:pStyle w:val="NormalHanging12a"/>
      </w:pPr>
      <w:r w:rsidRPr="002C1581">
        <w:t>–</w:t>
      </w:r>
      <w:r w:rsidRPr="002C1581">
        <w:tab/>
        <w:t>med beaktande av artikel 294.3 i fördraget om Europeiska unionens funktionssätt,</w:t>
      </w:r>
    </w:p>
    <w:p w14:paraId="114F96F6" w14:textId="77777777" w:rsidR="0077290D" w:rsidRPr="002C1581" w:rsidRDefault="0077290D" w:rsidP="0077290D">
      <w:pPr>
        <w:pStyle w:val="NormalHanging12a"/>
      </w:pPr>
      <w:r w:rsidRPr="002C1581">
        <w:t>–</w:t>
      </w:r>
      <w:r w:rsidRPr="002C1581">
        <w:tab/>
        <w:t>med beaktande av Europeiska ekonomiska och sociala kommitténs yttrande av den 29 april 2025</w:t>
      </w:r>
      <w:r w:rsidRPr="002C1581">
        <w:rPr>
          <w:rStyle w:val="FootnoteReference"/>
        </w:rPr>
        <w:footnoteReference w:id="1"/>
      </w:r>
      <w:r w:rsidRPr="002C1581">
        <w:t>,</w:t>
      </w:r>
    </w:p>
    <w:p w14:paraId="355F0C26" w14:textId="77777777" w:rsidR="0077290D" w:rsidRPr="002C1581" w:rsidRDefault="0077290D" w:rsidP="0077290D">
      <w:pPr>
        <w:pStyle w:val="NormalHanging12a"/>
      </w:pPr>
      <w:r w:rsidRPr="002C1581">
        <w:t>–</w:t>
      </w:r>
      <w:r w:rsidRPr="002C1581">
        <w:tab/>
        <w:t>efter att ha hört Regionkommittén,</w:t>
      </w:r>
    </w:p>
    <w:p w14:paraId="465CC312" w14:textId="5DC7A6F0" w:rsidR="00A97978" w:rsidRPr="002C1581" w:rsidRDefault="00A97978" w:rsidP="0077290D">
      <w:pPr>
        <w:pStyle w:val="NormalHanging12a"/>
      </w:pPr>
      <w:r w:rsidRPr="002C1581">
        <w:t>–</w:t>
      </w:r>
      <w:r w:rsidRPr="002C1581">
        <w:tab/>
        <w:t>med beaktande av den preliminära överenskommelse som godkänts av de ansvariga utskotten enligt artikel 75.4 i arbetsordningen och det skriftliga åtagandet från rådets företrädare av den 8 oktober 2025 att godkänna parlamentets ståndpunkt i enlighet med artikel 294.4 i fördraget om Europeiska unionens funktionssätt,</w:t>
      </w:r>
    </w:p>
    <w:p w14:paraId="1A61CACD" w14:textId="77777777" w:rsidR="0077290D" w:rsidRPr="002C1581" w:rsidDel="00173770" w:rsidRDefault="0077290D" w:rsidP="0077290D">
      <w:pPr>
        <w:pStyle w:val="NormalHanging12a"/>
      </w:pPr>
      <w:r w:rsidRPr="002C1581">
        <w:t>–</w:t>
      </w:r>
      <w:r w:rsidRPr="002C1581">
        <w:tab/>
        <w:t>med beaktande av artikel 60 i arbetsordningen,</w:t>
      </w:r>
    </w:p>
    <w:p w14:paraId="34ADC868" w14:textId="77777777" w:rsidR="0077290D" w:rsidRPr="002C1581" w:rsidRDefault="0077290D" w:rsidP="0077290D">
      <w:pPr>
        <w:pStyle w:val="NormalHanging12a"/>
      </w:pPr>
      <w:r w:rsidRPr="002C1581">
        <w:lastRenderedPageBreak/>
        <w:t>–</w:t>
      </w:r>
      <w:r w:rsidRPr="002C1581">
        <w:tab/>
        <w:t>med beaktande av den gemensamma behandlingen av ärendet i budgetutskottet och utskottet för ekonomi och valutafrågor, i enlighet med artikel 59 i arbetsordningen,</w:t>
      </w:r>
    </w:p>
    <w:p w14:paraId="09EDFE86" w14:textId="77777777" w:rsidR="0077290D" w:rsidRPr="002C1581" w:rsidRDefault="0077290D" w:rsidP="0077290D">
      <w:pPr>
        <w:pStyle w:val="NormalHanging12a"/>
      </w:pPr>
      <w:r w:rsidRPr="002C1581">
        <w:t>–</w:t>
      </w:r>
      <w:r w:rsidRPr="002C1581">
        <w:tab/>
        <w:t>med beaktande av yttrandena från utskottet för industrifrågor, forskning och energi och utskottet för transport och turism,</w:t>
      </w:r>
    </w:p>
    <w:p w14:paraId="0A4A0BC3" w14:textId="77777777" w:rsidR="0077290D" w:rsidRPr="002C1581" w:rsidRDefault="0077290D" w:rsidP="0077290D">
      <w:pPr>
        <w:pStyle w:val="NormalHanging12a"/>
      </w:pPr>
      <w:r w:rsidRPr="002C1581">
        <w:t>–</w:t>
      </w:r>
      <w:r w:rsidRPr="002C1581">
        <w:tab/>
        <w:t>med beaktande av betänkandet från budgetutskottet och utskottet för ekonomi och valutafrågor (A10-0117/2025).</w:t>
      </w:r>
    </w:p>
    <w:p w14:paraId="55B1EA57" w14:textId="77777777" w:rsidR="0077290D" w:rsidRPr="002C1581" w:rsidRDefault="0077290D" w:rsidP="0077290D">
      <w:pPr>
        <w:pStyle w:val="NormalHanging12a"/>
      </w:pPr>
      <w:r w:rsidRPr="002C1581">
        <w:t>1.</w:t>
      </w:r>
      <w:r w:rsidRPr="002C1581">
        <w:tab/>
        <w:t>Europaparlamentet antar nedanstående ståndpunkt vid första behandlingen.</w:t>
      </w:r>
    </w:p>
    <w:p w14:paraId="2577F5C8" w14:textId="77777777" w:rsidR="0077290D" w:rsidRPr="002C1581" w:rsidRDefault="0077290D" w:rsidP="0077290D">
      <w:pPr>
        <w:pStyle w:val="NormalHanging12a"/>
      </w:pPr>
      <w:r w:rsidRPr="002C1581">
        <w:t>2.</w:t>
      </w:r>
      <w:r w:rsidRPr="002C1581">
        <w:tab/>
        <w:t>Europaparlamentet uppmanar kommissionen att på nytt lägga fram ärendet för parlamentet om den ersätter, väsentligt ändrar eller har för avsikt att väsentligt ändra sitt förslag.</w:t>
      </w:r>
    </w:p>
    <w:p w14:paraId="26B2BAFE" w14:textId="77777777" w:rsidR="004A53F6" w:rsidRPr="002C1581" w:rsidRDefault="0077290D" w:rsidP="0077290D">
      <w:pPr>
        <w:pStyle w:val="NormalHanging12a"/>
      </w:pPr>
      <w:r w:rsidRPr="002C1581">
        <w:t>3.</w:t>
      </w:r>
      <w:r w:rsidRPr="002C1581">
        <w:tab/>
        <w:t>Europaparlamentet uppdrar åt talmannen att översända parlamentets ståndpunkt till rådet, kommissionen och de nationella parlamenten.</w:t>
      </w:r>
    </w:p>
    <w:p w14:paraId="50AEABA5" w14:textId="77777777" w:rsidR="004A53F6" w:rsidRPr="002C1581" w:rsidRDefault="004A53F6" w:rsidP="0077290D">
      <w:pPr>
        <w:pStyle w:val="NormalHanging12a"/>
        <w:sectPr w:rsidR="004A53F6" w:rsidRPr="002C1581" w:rsidSect="00192BEF">
          <w:footerReference w:type="even" r:id="rId9"/>
          <w:footerReference w:type="first" r:id="rId10"/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A7DAAF3" w14:textId="12AFA721" w:rsidR="005825D0" w:rsidRPr="002C1581" w:rsidRDefault="005825D0" w:rsidP="005825D0">
      <w:pPr>
        <w:pStyle w:val="Typedudocument"/>
        <w:spacing w:before="0" w:after="240"/>
        <w:jc w:val="left"/>
      </w:pPr>
      <w:r w:rsidRPr="002C1581">
        <w:lastRenderedPageBreak/>
        <w:t>P10_TC1-COD(2025)0040</w:t>
      </w:r>
    </w:p>
    <w:p w14:paraId="097F2F4E" w14:textId="6E6E89B7" w:rsidR="005825D0" w:rsidRDefault="005825D0" w:rsidP="00880DCF">
      <w:pPr>
        <w:pStyle w:val="Typedudocument"/>
        <w:spacing w:before="120" w:after="240"/>
        <w:jc w:val="left"/>
        <w:rPr>
          <w:szCs w:val="24"/>
          <w:lang w:eastAsia="en-US"/>
        </w:rPr>
      </w:pPr>
      <w:r w:rsidRPr="002C1581">
        <w:rPr>
          <w:bCs/>
        </w:rPr>
        <w:t>Europaparlamentets ståndpunkt fastställd vid första behandlingen den 2</w:t>
      </w:r>
      <w:r w:rsidR="00E437AD" w:rsidRPr="002C1581">
        <w:rPr>
          <w:bCs/>
        </w:rPr>
        <w:t>6</w:t>
      </w:r>
      <w:r w:rsidRPr="002C1581">
        <w:rPr>
          <w:bCs/>
        </w:rPr>
        <w:t xml:space="preserve"> november 2025 inför antagandet av Europaparlamentets och rådets förordning (EU) 2025/… om</w:t>
      </w:r>
      <w:r w:rsidRPr="002C1581">
        <w:rPr>
          <w:szCs w:val="24"/>
          <w:lang w:eastAsia="en-US"/>
        </w:rPr>
        <w:t xml:space="preserve"> ändring av förordningarna (EU) 2015/1017, (EU) 2021/523, (EU) 2021/695 och (EU) 2021/1153 vad gäller att effektivisera EU-garantin enligt förordning (EU) 2021/523 och förenkla rapporteringskraven</w:t>
      </w:r>
    </w:p>
    <w:p w14:paraId="006B10DA" w14:textId="4DBC08B8" w:rsidR="00880DCF" w:rsidRPr="00880DCF" w:rsidRDefault="00880DCF" w:rsidP="00880DCF">
      <w:pPr>
        <w:widowControl/>
        <w:rPr>
          <w:szCs w:val="24"/>
        </w:rPr>
      </w:pPr>
      <w:r w:rsidRPr="00880DCF">
        <w:rPr>
          <w:i/>
          <w:szCs w:val="24"/>
          <w:lang w:eastAsia="en-US"/>
        </w:rPr>
        <w:t>(Eftersom det nåddes en överenskommelse mellan parlamentet och rådet, motsvarar parlamentets ståndpunkt den slutliga rättsakten, förordning</w:t>
      </w:r>
      <w:r w:rsidRPr="00880DCF">
        <w:rPr>
          <w:i/>
          <w:szCs w:val="24"/>
          <w:lang w:eastAsia="en-US"/>
        </w:rPr>
        <w:t xml:space="preserve"> </w:t>
      </w:r>
      <w:r w:rsidRPr="00880DCF">
        <w:rPr>
          <w:i/>
          <w:szCs w:val="24"/>
          <w:lang w:eastAsia="en-US"/>
        </w:rPr>
        <w:t>(EU) 202</w:t>
      </w:r>
      <w:r w:rsidRPr="00880DCF">
        <w:rPr>
          <w:i/>
          <w:szCs w:val="24"/>
          <w:lang w:eastAsia="en-US"/>
        </w:rPr>
        <w:t>5</w:t>
      </w:r>
      <w:r w:rsidRPr="00880DCF">
        <w:rPr>
          <w:i/>
          <w:szCs w:val="24"/>
          <w:lang w:eastAsia="en-US"/>
        </w:rPr>
        <w:t>/</w:t>
      </w:r>
      <w:r w:rsidRPr="00880DCF">
        <w:rPr>
          <w:i/>
          <w:szCs w:val="24"/>
          <w:lang w:eastAsia="en-US"/>
        </w:rPr>
        <w:t>2005</w:t>
      </w:r>
      <w:r w:rsidRPr="00880DCF">
        <w:rPr>
          <w:i/>
          <w:szCs w:val="24"/>
          <w:lang w:eastAsia="en-US"/>
        </w:rPr>
        <w:t>.)</w:t>
      </w:r>
    </w:p>
    <w:p w14:paraId="6910B758" w14:textId="77777777" w:rsidR="00880DCF" w:rsidRPr="00880DCF" w:rsidRDefault="00880DCF" w:rsidP="00880DCF">
      <w:pPr>
        <w:rPr>
          <w:lang w:eastAsia="en-US"/>
        </w:rPr>
      </w:pPr>
    </w:p>
    <w:sectPr w:rsidR="00880DCF" w:rsidRPr="00880DCF" w:rsidSect="005825D0">
      <w:footerReference w:type="even" r:id="rId11"/>
      <w:footerReference w:type="default" r:id="rId12"/>
      <w:footerReference w:type="first" r:id="rId13"/>
      <w:footnotePr>
        <w:numRestart w:val="eachSect"/>
      </w:footnotePr>
      <w:pgSz w:w="11909" w:h="16834"/>
      <w:pgMar w:top="1134" w:right="1134" w:bottom="1134" w:left="1134" w:header="1134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C15BB" w14:textId="77777777" w:rsidR="002C4B14" w:rsidRPr="00192BEF" w:rsidRDefault="002C4B14">
      <w:r w:rsidRPr="00192BEF">
        <w:separator/>
      </w:r>
    </w:p>
  </w:endnote>
  <w:endnote w:type="continuationSeparator" w:id="0">
    <w:p w14:paraId="33FBF65C" w14:textId="77777777" w:rsidR="002C4B14" w:rsidRPr="00192BEF" w:rsidRDefault="002C4B14">
      <w:r w:rsidRPr="00192BE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0547C" w14:textId="77777777" w:rsidR="0077290D" w:rsidRPr="00192BEF" w:rsidRDefault="0077290D" w:rsidP="00A11919">
    <w:pPr>
      <w:pStyle w:val="EPFooter"/>
    </w:pPr>
    <w:r w:rsidRPr="00192BEF">
      <w:t>PE</w:t>
    </w:r>
    <w:r w:rsidRPr="00192BEF">
      <w:rPr>
        <w:rStyle w:val="HideTWBExt"/>
      </w:rPr>
      <w:t>&lt;</w:t>
    </w:r>
    <w:proofErr w:type="spellStart"/>
    <w:r w:rsidRPr="00192BEF">
      <w:rPr>
        <w:rStyle w:val="HideTWBExt"/>
      </w:rPr>
      <w:t>NoPE</w:t>
    </w:r>
    <w:proofErr w:type="spellEnd"/>
    <w:r w:rsidRPr="00192BEF">
      <w:rPr>
        <w:rStyle w:val="HideTWBExt"/>
      </w:rPr>
      <w:t>&gt;</w:t>
    </w:r>
    <w:r w:rsidRPr="00192BEF">
      <w:t>773.087</w:t>
    </w:r>
    <w:r w:rsidRPr="00192BEF">
      <w:rPr>
        <w:rStyle w:val="HideTWBExt"/>
      </w:rPr>
      <w:t>&lt;/</w:t>
    </w:r>
    <w:proofErr w:type="spellStart"/>
    <w:r w:rsidRPr="00192BEF">
      <w:rPr>
        <w:rStyle w:val="HideTWBExt"/>
      </w:rPr>
      <w:t>NoPE</w:t>
    </w:r>
    <w:proofErr w:type="spellEnd"/>
    <w:r w:rsidRPr="00192BEF">
      <w:rPr>
        <w:rStyle w:val="HideTWBExt"/>
      </w:rPr>
      <w:t>&gt;&lt;Version&gt;</w:t>
    </w:r>
    <w:r w:rsidRPr="00192BEF">
      <w:t>v02-00</w:t>
    </w:r>
    <w:r w:rsidRPr="00192BEF">
      <w:rPr>
        <w:rStyle w:val="HideTWBExt"/>
      </w:rPr>
      <w:t>&lt;/Version&gt;</w:t>
    </w:r>
    <w:r w:rsidRPr="00192BEF">
      <w:tab/>
    </w:r>
    <w:r w:rsidRPr="00192BEF">
      <w:fldChar w:fldCharType="begin"/>
    </w:r>
    <w:r w:rsidRPr="00192BEF">
      <w:instrText xml:space="preserve"> PAGE  \* MERGEFORMAT </w:instrText>
    </w:r>
    <w:r w:rsidRPr="00192BEF">
      <w:fldChar w:fldCharType="separate"/>
    </w:r>
    <w:r w:rsidRPr="00192BEF">
      <w:rPr>
        <w:noProof/>
      </w:rPr>
      <w:t>1</w:t>
    </w:r>
    <w:r w:rsidRPr="00192BEF">
      <w:fldChar w:fldCharType="end"/>
    </w:r>
    <w:r w:rsidRPr="00192BEF">
      <w:t>/</w:t>
    </w:r>
    <w:fldSimple w:instr=" NUMPAGES  \* MERGEFORMAT ">
      <w:r w:rsidRPr="00192BEF">
        <w:rPr>
          <w:noProof/>
        </w:rPr>
        <w:t>1</w:t>
      </w:r>
    </w:fldSimple>
    <w:r w:rsidRPr="00192BEF">
      <w:tab/>
    </w:r>
    <w:r w:rsidRPr="00192BEF">
      <w:rPr>
        <w:rStyle w:val="HideTWBExt"/>
      </w:rPr>
      <w:t>&lt;PathFdR&gt;</w:t>
    </w:r>
    <w:r w:rsidRPr="00192BEF">
      <w:t>RR\1323942SV.docx</w:t>
    </w:r>
    <w:r w:rsidRPr="00192BEF">
      <w:rPr>
        <w:rStyle w:val="HideTWBExt"/>
      </w:rPr>
      <w:t>&lt;/</w:t>
    </w:r>
    <w:proofErr w:type="spellStart"/>
    <w:r w:rsidRPr="00192BEF">
      <w:rPr>
        <w:rStyle w:val="HideTWBExt"/>
      </w:rPr>
      <w:t>PathFdR</w:t>
    </w:r>
    <w:proofErr w:type="spellEnd"/>
    <w:r w:rsidRPr="00192BEF">
      <w:rPr>
        <w:rStyle w:val="HideTWBExt"/>
      </w:rPr>
      <w:t>&gt;</w:t>
    </w:r>
  </w:p>
  <w:p w14:paraId="5485FF79" w14:textId="77777777" w:rsidR="0077290D" w:rsidRPr="00192BEF" w:rsidRDefault="0077290D" w:rsidP="00A11919">
    <w:pPr>
      <w:pStyle w:val="EPFooter2"/>
    </w:pPr>
    <w:r w:rsidRPr="00192BEF">
      <w:t>SV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24223" w14:textId="77777777" w:rsidR="0077290D" w:rsidRPr="00192BEF" w:rsidRDefault="0077290D" w:rsidP="00A11919">
    <w:pPr>
      <w:pStyle w:val="EPFooter"/>
    </w:pPr>
    <w:r w:rsidRPr="00192BEF">
      <w:rPr>
        <w:rStyle w:val="HideTWBExt"/>
      </w:rPr>
      <w:t>&lt;PathFdR&gt;</w:t>
    </w:r>
    <w:r w:rsidRPr="00192BEF">
      <w:t>RR\1323942SV.docx</w:t>
    </w:r>
    <w:r w:rsidRPr="00192BEF">
      <w:rPr>
        <w:rStyle w:val="HideTWBExt"/>
      </w:rPr>
      <w:t>&lt;/</w:t>
    </w:r>
    <w:proofErr w:type="spellStart"/>
    <w:r w:rsidRPr="00192BEF">
      <w:rPr>
        <w:rStyle w:val="HideTWBExt"/>
      </w:rPr>
      <w:t>PathFdR</w:t>
    </w:r>
    <w:proofErr w:type="spellEnd"/>
    <w:r w:rsidRPr="00192BEF">
      <w:rPr>
        <w:rStyle w:val="HideTWBExt"/>
      </w:rPr>
      <w:t>&gt;</w:t>
    </w:r>
    <w:r w:rsidRPr="00192BEF">
      <w:tab/>
    </w:r>
    <w:r w:rsidRPr="00192BEF">
      <w:tab/>
      <w:t>PE</w:t>
    </w:r>
    <w:r w:rsidRPr="00192BEF">
      <w:rPr>
        <w:rStyle w:val="HideTWBExt"/>
      </w:rPr>
      <w:t>&lt;</w:t>
    </w:r>
    <w:proofErr w:type="spellStart"/>
    <w:r w:rsidRPr="00192BEF">
      <w:rPr>
        <w:rStyle w:val="HideTWBExt"/>
      </w:rPr>
      <w:t>NoPE</w:t>
    </w:r>
    <w:proofErr w:type="spellEnd"/>
    <w:r w:rsidRPr="00192BEF">
      <w:rPr>
        <w:rStyle w:val="HideTWBExt"/>
      </w:rPr>
      <w:t>&gt;</w:t>
    </w:r>
    <w:r w:rsidRPr="00192BEF">
      <w:t>773.087</w:t>
    </w:r>
    <w:r w:rsidRPr="00192BEF">
      <w:rPr>
        <w:rStyle w:val="HideTWBExt"/>
      </w:rPr>
      <w:t>&lt;/</w:t>
    </w:r>
    <w:proofErr w:type="spellStart"/>
    <w:r w:rsidRPr="00192BEF">
      <w:rPr>
        <w:rStyle w:val="HideTWBExt"/>
      </w:rPr>
      <w:t>NoPE</w:t>
    </w:r>
    <w:proofErr w:type="spellEnd"/>
    <w:r w:rsidRPr="00192BEF">
      <w:rPr>
        <w:rStyle w:val="HideTWBExt"/>
      </w:rPr>
      <w:t>&gt;&lt;Version&gt;</w:t>
    </w:r>
    <w:r w:rsidRPr="00192BEF">
      <w:t>v02-00</w:t>
    </w:r>
    <w:r w:rsidRPr="00192BEF">
      <w:rPr>
        <w:rStyle w:val="HideTWBExt"/>
      </w:rPr>
      <w:t>&lt;/Version&gt;</w:t>
    </w:r>
  </w:p>
  <w:p w14:paraId="3F6FF209" w14:textId="77777777" w:rsidR="0077290D" w:rsidRPr="00192BEF" w:rsidRDefault="0077290D" w:rsidP="00A11919">
    <w:pPr>
      <w:pStyle w:val="EPFooter2"/>
    </w:pPr>
    <w:r w:rsidRPr="00192BEF">
      <w:t>SV</w:t>
    </w:r>
    <w:r w:rsidRPr="00192BEF">
      <w:tab/>
    </w:r>
    <w:r w:rsidRPr="00192BEF">
      <w:rPr>
        <w:b w:val="0"/>
        <w:i/>
        <w:color w:val="C0C0C0"/>
        <w:sz w:val="22"/>
      </w:rPr>
      <w:t>Förenade i mångfalden</w:t>
    </w:r>
    <w:r w:rsidRPr="00192BEF">
      <w:tab/>
      <w:t>SV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500EC" w14:textId="77777777" w:rsidR="0067074B" w:rsidRPr="00C55896" w:rsidRDefault="0067074B">
    <w:pPr>
      <w:pStyle w:val="Footer1"/>
    </w:pPr>
    <w:r w:rsidRPr="00C55896">
      <w:rPr>
        <w:rStyle w:val="Footer2"/>
      </w:rPr>
      <w:t>EN</w:t>
    </w:r>
    <w:r w:rsidRPr="00C55896">
      <w:tab/>
    </w:r>
    <w:r w:rsidRPr="00C55896">
      <w:fldChar w:fldCharType="begin"/>
    </w:r>
    <w:r w:rsidRPr="00C55896">
      <w:instrText xml:space="preserve"> PAGE </w:instrText>
    </w:r>
    <w:r w:rsidRPr="00C55896">
      <w:fldChar w:fldCharType="separate"/>
    </w:r>
    <w:r w:rsidRPr="00C55896">
      <w:rPr>
        <w:noProof/>
      </w:rPr>
      <w:t>1</w:t>
    </w:r>
    <w:r w:rsidRPr="00C55896">
      <w:fldChar w:fldCharType="end"/>
    </w:r>
    <w:r w:rsidRPr="00C55896">
      <w:tab/>
    </w:r>
    <w:r w:rsidRPr="00C55896">
      <w:rPr>
        <w:rStyle w:val="Footer2"/>
      </w:rPr>
      <w:t>EN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EDE2" w14:textId="77777777" w:rsidR="0067074B" w:rsidRPr="00BB438E" w:rsidRDefault="0067074B" w:rsidP="00D47BAF">
    <w:pPr>
      <w:pStyle w:val="Footer"/>
      <w:tabs>
        <w:tab w:val="clear" w:pos="4513"/>
        <w:tab w:val="clear" w:pos="9026"/>
        <w:tab w:val="center" w:pos="4253"/>
        <w:tab w:val="center" w:pos="7088"/>
        <w:tab w:val="right" w:pos="9498"/>
      </w:tabs>
      <w:rPr>
        <w:lang w:val="en-GB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71ED5" w14:textId="77777777" w:rsidR="0067074B" w:rsidRPr="00C55896" w:rsidRDefault="0067074B">
    <w:pPr>
      <w:pStyle w:val="Footer1"/>
    </w:pPr>
    <w:r w:rsidRPr="00C55896">
      <w:rPr>
        <w:rStyle w:val="Footer2"/>
      </w:rPr>
      <w:t>EN</w:t>
    </w:r>
    <w:r w:rsidRPr="00C55896">
      <w:tab/>
    </w:r>
    <w:r w:rsidRPr="00C55896">
      <w:fldChar w:fldCharType="begin"/>
    </w:r>
    <w:r w:rsidRPr="00C55896">
      <w:instrText xml:space="preserve"> PAGE </w:instrText>
    </w:r>
    <w:r w:rsidRPr="00C55896">
      <w:fldChar w:fldCharType="separate"/>
    </w:r>
    <w:r w:rsidRPr="00C55896">
      <w:rPr>
        <w:noProof/>
      </w:rPr>
      <w:t>1</w:t>
    </w:r>
    <w:r w:rsidRPr="00C55896">
      <w:fldChar w:fldCharType="end"/>
    </w:r>
    <w:r w:rsidRPr="00C55896">
      <w:tab/>
    </w:r>
    <w:r w:rsidRPr="00C55896">
      <w:rPr>
        <w:rStyle w:val="Footer2"/>
      </w:rPr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82E98" w14:textId="77777777" w:rsidR="002C4B14" w:rsidRPr="00192BEF" w:rsidRDefault="002C4B14">
      <w:r w:rsidRPr="00192BEF">
        <w:separator/>
      </w:r>
    </w:p>
  </w:footnote>
  <w:footnote w:type="continuationSeparator" w:id="0">
    <w:p w14:paraId="50919E80" w14:textId="77777777" w:rsidR="002C4B14" w:rsidRPr="00192BEF" w:rsidRDefault="002C4B14">
      <w:r w:rsidRPr="00192BEF">
        <w:continuationSeparator/>
      </w:r>
    </w:p>
  </w:footnote>
  <w:footnote w:id="1">
    <w:p w14:paraId="35520038" w14:textId="7C73CDC7" w:rsidR="0077290D" w:rsidRPr="002C1581" w:rsidRDefault="0077290D" w:rsidP="00192BEF">
      <w:pPr>
        <w:pStyle w:val="FootnoteText"/>
        <w:ind w:left="567" w:hanging="567"/>
        <w:rPr>
          <w:sz w:val="24"/>
          <w:szCs w:val="24"/>
          <w:lang w:val="fi-FI"/>
        </w:rPr>
      </w:pPr>
      <w:r w:rsidRPr="002C1581">
        <w:rPr>
          <w:rStyle w:val="FootnoteReference"/>
          <w:sz w:val="24"/>
          <w:szCs w:val="24"/>
          <w:lang w:val="sv-SE"/>
        </w:rPr>
        <w:footnoteRef/>
      </w:r>
      <w:r w:rsidR="00192BEF" w:rsidRPr="002C1581">
        <w:rPr>
          <w:sz w:val="24"/>
          <w:szCs w:val="24"/>
          <w:lang w:val="fi-FI"/>
        </w:rPr>
        <w:t xml:space="preserve"> </w:t>
      </w:r>
      <w:r w:rsidR="00192BEF" w:rsidRPr="002C1581">
        <w:rPr>
          <w:sz w:val="24"/>
          <w:szCs w:val="24"/>
          <w:lang w:val="fi-FI"/>
        </w:rPr>
        <w:tab/>
      </w:r>
      <w:r w:rsidR="00A97978" w:rsidRPr="002C1581">
        <w:rPr>
          <w:sz w:val="24"/>
          <w:szCs w:val="24"/>
          <w:lang w:val="fi-FI"/>
        </w:rPr>
        <w:t xml:space="preserve">EUT C, C/2025/3199, 2.7.2025, ELI: </w:t>
      </w:r>
      <w:hyperlink r:id="rId1" w:history="1">
        <w:r w:rsidR="00A97978" w:rsidRPr="002C1581">
          <w:rPr>
            <w:rStyle w:val="Hyperlink"/>
            <w:sz w:val="24"/>
            <w:szCs w:val="24"/>
            <w:lang w:val="fi-FI"/>
          </w:rPr>
          <w:t>http://data.europa.eu/eli/C/2025/3199/oj</w:t>
        </w:r>
      </w:hyperlink>
      <w:r w:rsidR="00A97978" w:rsidRPr="002C1581">
        <w:rPr>
          <w:sz w:val="24"/>
          <w:szCs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85570246">
    <w:abstractNumId w:val="9"/>
  </w:num>
  <w:num w:numId="2" w16cid:durableId="670835469">
    <w:abstractNumId w:val="9"/>
  </w:num>
  <w:num w:numId="3" w16cid:durableId="1551722089">
    <w:abstractNumId w:val="7"/>
  </w:num>
  <w:num w:numId="4" w16cid:durableId="22872179">
    <w:abstractNumId w:val="7"/>
  </w:num>
  <w:num w:numId="5" w16cid:durableId="949512154">
    <w:abstractNumId w:val="6"/>
  </w:num>
  <w:num w:numId="6" w16cid:durableId="702558594">
    <w:abstractNumId w:val="6"/>
  </w:num>
  <w:num w:numId="7" w16cid:durableId="1343363472">
    <w:abstractNumId w:val="5"/>
  </w:num>
  <w:num w:numId="8" w16cid:durableId="537620020">
    <w:abstractNumId w:val="5"/>
  </w:num>
  <w:num w:numId="9" w16cid:durableId="1627613572">
    <w:abstractNumId w:val="4"/>
  </w:num>
  <w:num w:numId="10" w16cid:durableId="681051731">
    <w:abstractNumId w:val="4"/>
  </w:num>
  <w:num w:numId="11" w16cid:durableId="1708678946">
    <w:abstractNumId w:val="8"/>
  </w:num>
  <w:num w:numId="12" w16cid:durableId="1075737148">
    <w:abstractNumId w:val="8"/>
  </w:num>
  <w:num w:numId="13" w16cid:durableId="150223308">
    <w:abstractNumId w:val="3"/>
  </w:num>
  <w:num w:numId="14" w16cid:durableId="2056198617">
    <w:abstractNumId w:val="3"/>
  </w:num>
  <w:num w:numId="15" w16cid:durableId="1585258150">
    <w:abstractNumId w:val="2"/>
  </w:num>
  <w:num w:numId="16" w16cid:durableId="347023421">
    <w:abstractNumId w:val="2"/>
  </w:num>
  <w:num w:numId="17" w16cid:durableId="1025256456">
    <w:abstractNumId w:val="1"/>
  </w:num>
  <w:num w:numId="18" w16cid:durableId="2117095761">
    <w:abstractNumId w:val="1"/>
  </w:num>
  <w:num w:numId="19" w16cid:durableId="1705326993">
    <w:abstractNumId w:val="0"/>
  </w:num>
  <w:num w:numId="20" w16cid:durableId="2030331347">
    <w:abstractNumId w:val="0"/>
  </w:num>
  <w:num w:numId="21" w16cid:durableId="385836998">
    <w:abstractNumId w:val="9"/>
  </w:num>
  <w:num w:numId="22" w16cid:durableId="250503567">
    <w:abstractNumId w:val="7"/>
  </w:num>
  <w:num w:numId="23" w16cid:durableId="719406972">
    <w:abstractNumId w:val="6"/>
  </w:num>
  <w:num w:numId="24" w16cid:durableId="1002585726">
    <w:abstractNumId w:val="5"/>
  </w:num>
  <w:num w:numId="25" w16cid:durableId="195195559">
    <w:abstractNumId w:val="4"/>
  </w:num>
  <w:num w:numId="26" w16cid:durableId="91556499">
    <w:abstractNumId w:val="8"/>
  </w:num>
  <w:num w:numId="27" w16cid:durableId="1652905826">
    <w:abstractNumId w:val="3"/>
  </w:num>
  <w:num w:numId="28" w16cid:durableId="1187715145">
    <w:abstractNumId w:val="2"/>
  </w:num>
  <w:num w:numId="29" w16cid:durableId="182520435">
    <w:abstractNumId w:val="1"/>
  </w:num>
  <w:num w:numId="30" w16cid:durableId="16320829">
    <w:abstractNumId w:val="0"/>
  </w:num>
  <w:num w:numId="31" w16cid:durableId="1557470166">
    <w:abstractNumId w:val="9"/>
  </w:num>
  <w:num w:numId="32" w16cid:durableId="950434280">
    <w:abstractNumId w:val="7"/>
  </w:num>
  <w:num w:numId="33" w16cid:durableId="356585546">
    <w:abstractNumId w:val="6"/>
  </w:num>
  <w:num w:numId="34" w16cid:durableId="1959870756">
    <w:abstractNumId w:val="5"/>
  </w:num>
  <w:num w:numId="35" w16cid:durableId="757022747">
    <w:abstractNumId w:val="4"/>
  </w:num>
  <w:num w:numId="36" w16cid:durableId="1193809969">
    <w:abstractNumId w:val="8"/>
  </w:num>
  <w:num w:numId="37" w16cid:durableId="1960254415">
    <w:abstractNumId w:val="3"/>
  </w:num>
  <w:num w:numId="38" w16cid:durableId="917832283">
    <w:abstractNumId w:val="2"/>
  </w:num>
  <w:num w:numId="39" w16cid:durableId="885143770">
    <w:abstractNumId w:val="1"/>
  </w:num>
  <w:num w:numId="40" w16cid:durableId="862086298">
    <w:abstractNumId w:val="0"/>
  </w:num>
  <w:num w:numId="41" w16cid:durableId="1781953357">
    <w:abstractNumId w:val="10"/>
  </w:num>
  <w:num w:numId="42" w16cid:durableId="1975871140">
    <w:abstractNumId w:val="10"/>
  </w:num>
  <w:num w:numId="43" w16cid:durableId="1340278434">
    <w:abstractNumId w:val="10"/>
  </w:num>
  <w:num w:numId="44" w16cid:durableId="138379399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SV"/>
    <w:docVar w:name="dvnumam" w:val="0"/>
    <w:docVar w:name="dvpe" w:val="773.087"/>
    <w:docVar w:name="dvrapporteur" w:val="Föredragande: "/>
    <w:docVar w:name="dvstar" w:val="***I"/>
    <w:docVar w:name="dvtitre" w:val="Europaparlamentets lagstiftningsresolution av den xx xx 2025 om förslaget till Europaparlamentets och rådets förordning om ändring av förordningarna (EU) 2015/1017, (EU) 2021/523, (EU) 2021/695 och (EU) 2021/1153 vad gäller att effektivisera EU-garantin enligt förordning (EU) 2021/523 och förenkla rapporteringskraven(COM(2025)0084 – C10-0036/2025 – 2025/0040(COD))"/>
  </w:docVars>
  <w:rsids>
    <w:rsidRoot w:val="002C4B14"/>
    <w:rsid w:val="00002272"/>
    <w:rsid w:val="00064002"/>
    <w:rsid w:val="000677B9"/>
    <w:rsid w:val="000831BA"/>
    <w:rsid w:val="000A3F70"/>
    <w:rsid w:val="000A42CC"/>
    <w:rsid w:val="000E7DD9"/>
    <w:rsid w:val="0010095E"/>
    <w:rsid w:val="00125B37"/>
    <w:rsid w:val="00144F34"/>
    <w:rsid w:val="00187494"/>
    <w:rsid w:val="00192BEF"/>
    <w:rsid w:val="001F32AE"/>
    <w:rsid w:val="002767FF"/>
    <w:rsid w:val="002B18FE"/>
    <w:rsid w:val="002B5493"/>
    <w:rsid w:val="002C1581"/>
    <w:rsid w:val="002C4B14"/>
    <w:rsid w:val="003240A9"/>
    <w:rsid w:val="00343214"/>
    <w:rsid w:val="00361C00"/>
    <w:rsid w:val="00377F37"/>
    <w:rsid w:val="00395FA1"/>
    <w:rsid w:val="003A75B6"/>
    <w:rsid w:val="003E15D4"/>
    <w:rsid w:val="00411CCE"/>
    <w:rsid w:val="0041666E"/>
    <w:rsid w:val="00421060"/>
    <w:rsid w:val="00451911"/>
    <w:rsid w:val="00471C19"/>
    <w:rsid w:val="004867E3"/>
    <w:rsid w:val="00494A28"/>
    <w:rsid w:val="004A53F6"/>
    <w:rsid w:val="004C0004"/>
    <w:rsid w:val="004C5D52"/>
    <w:rsid w:val="0050519A"/>
    <w:rsid w:val="005072A1"/>
    <w:rsid w:val="00514517"/>
    <w:rsid w:val="00545827"/>
    <w:rsid w:val="00560270"/>
    <w:rsid w:val="00562F7C"/>
    <w:rsid w:val="005825D0"/>
    <w:rsid w:val="005A632E"/>
    <w:rsid w:val="005C2568"/>
    <w:rsid w:val="005F1B17"/>
    <w:rsid w:val="006037C0"/>
    <w:rsid w:val="006631B6"/>
    <w:rsid w:val="0067074B"/>
    <w:rsid w:val="006737D2"/>
    <w:rsid w:val="00680577"/>
    <w:rsid w:val="006F74FA"/>
    <w:rsid w:val="00731ADD"/>
    <w:rsid w:val="00734777"/>
    <w:rsid w:val="00747932"/>
    <w:rsid w:val="00751A4A"/>
    <w:rsid w:val="00756632"/>
    <w:rsid w:val="00762C74"/>
    <w:rsid w:val="0077290D"/>
    <w:rsid w:val="00786EC0"/>
    <w:rsid w:val="007D1690"/>
    <w:rsid w:val="007D7D48"/>
    <w:rsid w:val="007E22AD"/>
    <w:rsid w:val="00817416"/>
    <w:rsid w:val="00823723"/>
    <w:rsid w:val="00842779"/>
    <w:rsid w:val="00865F67"/>
    <w:rsid w:val="00876994"/>
    <w:rsid w:val="00880DCF"/>
    <w:rsid w:val="00881A7B"/>
    <w:rsid w:val="008840E5"/>
    <w:rsid w:val="00887B3E"/>
    <w:rsid w:val="00893962"/>
    <w:rsid w:val="008C2AC6"/>
    <w:rsid w:val="0092650A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7978"/>
    <w:rsid w:val="00AB441E"/>
    <w:rsid w:val="00AB6293"/>
    <w:rsid w:val="00AE0928"/>
    <w:rsid w:val="00AF3B82"/>
    <w:rsid w:val="00B12E95"/>
    <w:rsid w:val="00B22876"/>
    <w:rsid w:val="00B40B26"/>
    <w:rsid w:val="00B558F0"/>
    <w:rsid w:val="00BD48FE"/>
    <w:rsid w:val="00BD7BD8"/>
    <w:rsid w:val="00BE6ADC"/>
    <w:rsid w:val="00C05BFE"/>
    <w:rsid w:val="00C2294C"/>
    <w:rsid w:val="00C23CD4"/>
    <w:rsid w:val="00C61C0C"/>
    <w:rsid w:val="00C941CB"/>
    <w:rsid w:val="00CB767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37AD"/>
    <w:rsid w:val="00E5418C"/>
    <w:rsid w:val="00E75DEA"/>
    <w:rsid w:val="00E820A4"/>
    <w:rsid w:val="00EB006A"/>
    <w:rsid w:val="00EB4772"/>
    <w:rsid w:val="00ED169E"/>
    <w:rsid w:val="00ED4235"/>
    <w:rsid w:val="00F04346"/>
    <w:rsid w:val="00F075DC"/>
    <w:rsid w:val="00F149E9"/>
    <w:rsid w:val="00F41F00"/>
    <w:rsid w:val="00F5134D"/>
    <w:rsid w:val="00F70136"/>
    <w:rsid w:val="00F74202"/>
    <w:rsid w:val="00F87713"/>
    <w:rsid w:val="00FB4360"/>
    <w:rsid w:val="00FD0C70"/>
    <w:rsid w:val="00FE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6D3163"/>
  <w15:chartTrackingRefBased/>
  <w15:docId w15:val="{9F12A741-90B8-421B-B451-800A805F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77290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77290D"/>
    <w:pPr>
      <w:spacing w:before="480" w:after="240"/>
    </w:pPr>
  </w:style>
  <w:style w:type="paragraph" w:customStyle="1" w:styleId="PageHeading">
    <w:name w:val="PageHeading"/>
    <w:basedOn w:val="Normal"/>
    <w:rsid w:val="0077290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7290D"/>
    <w:rPr>
      <w:b/>
    </w:rPr>
  </w:style>
  <w:style w:type="paragraph" w:customStyle="1" w:styleId="NormalHanging12a">
    <w:name w:val="NormalHanging12a"/>
    <w:basedOn w:val="Normal"/>
    <w:rsid w:val="0077290D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7290D"/>
    <w:pPr>
      <w:spacing w:after="240"/>
      <w:jc w:val="center"/>
    </w:pPr>
  </w:style>
  <w:style w:type="paragraph" w:styleId="Header">
    <w:name w:val="header"/>
    <w:basedOn w:val="Normal"/>
    <w:link w:val="HeaderChar"/>
    <w:rsid w:val="0077290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7290D"/>
    <w:rPr>
      <w:sz w:val="24"/>
      <w:lang w:val="sv-SE"/>
    </w:rPr>
  </w:style>
  <w:style w:type="paragraph" w:customStyle="1" w:styleId="AmNumberTabs">
    <w:name w:val="AmNumberTabs"/>
    <w:basedOn w:val="Normal"/>
    <w:rsid w:val="0077290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7290D"/>
    <w:pPr>
      <w:spacing w:before="720" w:after="240"/>
      <w:jc w:val="center"/>
    </w:pPr>
  </w:style>
  <w:style w:type="paragraph" w:customStyle="1" w:styleId="EPFooter">
    <w:name w:val="EPFooter"/>
    <w:basedOn w:val="Normal"/>
    <w:rsid w:val="0077290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Normal24a">
    <w:name w:val="Normal24a"/>
    <w:basedOn w:val="Normal"/>
    <w:rsid w:val="0077290D"/>
    <w:pPr>
      <w:spacing w:after="480"/>
    </w:pPr>
  </w:style>
  <w:style w:type="paragraph" w:customStyle="1" w:styleId="NormalBoldCenter">
    <w:name w:val="NormalBoldCenter"/>
    <w:basedOn w:val="Normal"/>
    <w:rsid w:val="0077290D"/>
    <w:pPr>
      <w:jc w:val="center"/>
    </w:pPr>
    <w:rPr>
      <w:b/>
    </w:rPr>
  </w:style>
  <w:style w:type="paragraph" w:customStyle="1" w:styleId="Footprint12b">
    <w:name w:val="Footprint12b"/>
    <w:basedOn w:val="Normal"/>
    <w:rsid w:val="0077290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7290D"/>
    <w:rPr>
      <w:szCs w:val="24"/>
    </w:rPr>
  </w:style>
  <w:style w:type="character" w:styleId="Hyperlink">
    <w:name w:val="Hyperlink"/>
    <w:basedOn w:val="DefaultParagraphFont"/>
    <w:uiPriority w:val="99"/>
    <w:rsid w:val="0077290D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77290D"/>
    <w:pPr>
      <w:spacing w:after="240"/>
    </w:pPr>
  </w:style>
  <w:style w:type="character" w:customStyle="1" w:styleId="NormalBoldChar">
    <w:name w:val="NormalBold Char"/>
    <w:basedOn w:val="DefaultParagraphFont"/>
    <w:link w:val="NormalBold"/>
    <w:rsid w:val="0077290D"/>
    <w:rPr>
      <w:b/>
      <w:sz w:val="24"/>
      <w:lang w:val="sv-SE"/>
    </w:rPr>
  </w:style>
  <w:style w:type="paragraph" w:styleId="Revision">
    <w:name w:val="Revision"/>
    <w:hidden/>
    <w:uiPriority w:val="99"/>
    <w:semiHidden/>
    <w:rsid w:val="00876994"/>
    <w:rPr>
      <w:sz w:val="24"/>
      <w:lang w:val="sv-SE"/>
    </w:rPr>
  </w:style>
  <w:style w:type="character" w:styleId="CommentReference">
    <w:name w:val="annotation reference"/>
    <w:basedOn w:val="DefaultParagraphFont"/>
    <w:rsid w:val="00B40B2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0B2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40B26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B40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40B26"/>
    <w:rPr>
      <w:b/>
      <w:bCs/>
      <w:lang w:val="sv-SE"/>
    </w:rPr>
  </w:style>
  <w:style w:type="paragraph" w:customStyle="1" w:styleId="FootnoteTextForceStyle">
    <w:name w:val="Footnote Text ForceStyle"/>
    <w:rsid w:val="005825D0"/>
    <w:pPr>
      <w:keepLines/>
      <w:widowControl w:val="0"/>
      <w:spacing w:line="240" w:lineRule="exact"/>
      <w:ind w:left="850" w:hanging="850"/>
    </w:pPr>
    <w:rPr>
      <w:sz w:val="24"/>
      <w:lang w:val="sv-SE" w:eastAsia="en-US"/>
    </w:rPr>
  </w:style>
  <w:style w:type="character" w:customStyle="1" w:styleId="Footer2">
    <w:name w:val="Footer2"/>
    <w:rsid w:val="005825D0"/>
    <w:rPr>
      <w:rFonts w:ascii="Arial" w:hAnsi="Arial"/>
      <w:b/>
      <w:sz w:val="48"/>
    </w:rPr>
  </w:style>
  <w:style w:type="paragraph" w:customStyle="1" w:styleId="Footer1">
    <w:name w:val="Footer1"/>
    <w:basedOn w:val="Normal"/>
    <w:rsid w:val="005825D0"/>
    <w:pPr>
      <w:tabs>
        <w:tab w:val="center" w:pos="4534"/>
        <w:tab w:val="right" w:pos="9638"/>
        <w:tab w:val="right" w:pos="10772"/>
      </w:tabs>
      <w:spacing w:before="360" w:line="360" w:lineRule="auto"/>
      <w:ind w:left="-840" w:right="-840"/>
    </w:pPr>
    <w:rPr>
      <w:szCs w:val="24"/>
      <w:lang w:eastAsia="en-US"/>
    </w:rPr>
  </w:style>
  <w:style w:type="paragraph" w:styleId="Footer">
    <w:name w:val="footer"/>
    <w:basedOn w:val="Normal"/>
    <w:link w:val="FooterChar1"/>
    <w:uiPriority w:val="99"/>
    <w:rsid w:val="005825D0"/>
    <w:pPr>
      <w:tabs>
        <w:tab w:val="center" w:pos="4513"/>
        <w:tab w:val="right" w:pos="9026"/>
      </w:tabs>
    </w:pPr>
    <w:rPr>
      <w:szCs w:val="24"/>
      <w:lang w:eastAsia="en-US"/>
    </w:rPr>
  </w:style>
  <w:style w:type="character" w:customStyle="1" w:styleId="FooterChar">
    <w:name w:val="Footer Char"/>
    <w:basedOn w:val="DefaultParagraphFont"/>
    <w:rsid w:val="005825D0"/>
    <w:rPr>
      <w:sz w:val="24"/>
      <w:lang w:val="sv-SE"/>
    </w:rPr>
  </w:style>
  <w:style w:type="character" w:customStyle="1" w:styleId="FooterChar1">
    <w:name w:val="Footer Char1"/>
    <w:basedOn w:val="DefaultParagraphFont"/>
    <w:link w:val="Footer"/>
    <w:uiPriority w:val="99"/>
    <w:rsid w:val="005825D0"/>
    <w:rPr>
      <w:sz w:val="24"/>
      <w:szCs w:val="24"/>
      <w:lang w:val="sv-SE" w:eastAsia="en-US"/>
    </w:rPr>
  </w:style>
  <w:style w:type="paragraph" w:customStyle="1" w:styleId="Typedudocument">
    <w:name w:val="Type du document"/>
    <w:basedOn w:val="Normal"/>
    <w:next w:val="Normal"/>
    <w:rsid w:val="005825D0"/>
    <w:pPr>
      <w:widowControl/>
      <w:spacing w:before="360"/>
      <w:jc w:val="center"/>
    </w:pPr>
    <w:rPr>
      <w:b/>
      <w:snapToGrid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E75DE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75D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2026-01-27T15:52:00Z</dcterms:created>
  <dcterms:modified xsi:type="dcterms:W3CDTF">2026-01-27T15:52:00Z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P10_TA(2025)0296_</vt:lpwstr>
  </property>
  <property fmtid="{D5CDD505-2E9C-101B-9397-08002B2CF9AE}" pid="4" name="&lt;Type&gt;">
    <vt:lpwstr>RR</vt:lpwstr>
  </property>
</Properties>
</file>