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29E9" w14:paraId="0888E66C" w14:textId="77777777" w:rsidTr="0010095E">
        <w:trPr>
          <w:trHeight w:hRule="exact" w:val="1418"/>
        </w:trPr>
        <w:tc>
          <w:tcPr>
            <w:tcW w:w="6804" w:type="dxa"/>
            <w:shd w:val="clear" w:color="auto" w:fill="auto"/>
            <w:vAlign w:val="center"/>
          </w:tcPr>
          <w:p w14:paraId="793C9744" w14:textId="77777777" w:rsidR="00751A4A" w:rsidRPr="009B29E9" w:rsidRDefault="000E4660" w:rsidP="0010095E">
            <w:pPr>
              <w:pStyle w:val="EPName"/>
            </w:pPr>
            <w:r w:rsidRPr="009B29E9">
              <w:t>Europa-Parlamentet</w:t>
            </w:r>
          </w:p>
          <w:p w14:paraId="2483F2E2" w14:textId="77777777" w:rsidR="00751A4A" w:rsidRPr="009B29E9" w:rsidRDefault="005F1B17" w:rsidP="005F1B17">
            <w:pPr>
              <w:pStyle w:val="EPTerm"/>
              <w:rPr>
                <w:rStyle w:val="HideTWBExt"/>
                <w:noProof w:val="0"/>
                <w:vanish w:val="0"/>
                <w:color w:val="auto"/>
              </w:rPr>
            </w:pPr>
            <w:r w:rsidRPr="009B29E9">
              <w:t>2024</w:t>
            </w:r>
            <w:r w:rsidR="00817416" w:rsidRPr="009B29E9">
              <w:t>-202</w:t>
            </w:r>
            <w:r w:rsidRPr="009B29E9">
              <w:t>9</w:t>
            </w:r>
          </w:p>
        </w:tc>
        <w:tc>
          <w:tcPr>
            <w:tcW w:w="2268" w:type="dxa"/>
            <w:shd w:val="clear" w:color="auto" w:fill="auto"/>
          </w:tcPr>
          <w:p w14:paraId="75098038" w14:textId="77777777" w:rsidR="00751A4A" w:rsidRPr="009B29E9" w:rsidRDefault="00187494" w:rsidP="0010095E">
            <w:pPr>
              <w:pStyle w:val="EPLogo"/>
            </w:pPr>
            <w:r w:rsidRPr="009B29E9">
              <w:rPr>
                <w:noProof/>
                <w:lang w:eastAsia="ja-JP"/>
              </w:rPr>
              <w:drawing>
                <wp:inline distT="0" distB="0" distL="0" distR="0" wp14:anchorId="29B44D53" wp14:editId="050728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FC7D4D" w14:textId="77777777" w:rsidR="00D058B8" w:rsidRPr="009B29E9" w:rsidRDefault="00D058B8" w:rsidP="004C5D52">
      <w:pPr>
        <w:pStyle w:val="LineTop"/>
      </w:pPr>
    </w:p>
    <w:p w14:paraId="1F5FB211" w14:textId="77777777" w:rsidR="00680577" w:rsidRPr="009B29E9" w:rsidRDefault="000E4660" w:rsidP="00680577">
      <w:pPr>
        <w:pStyle w:val="EPBodyTA1"/>
      </w:pPr>
      <w:r w:rsidRPr="009B29E9">
        <w:t>VEDTAGNE TEKSTER</w:t>
      </w:r>
    </w:p>
    <w:p w14:paraId="353EE768" w14:textId="77777777" w:rsidR="00D058B8" w:rsidRPr="009B29E9" w:rsidRDefault="00D058B8" w:rsidP="00D058B8">
      <w:pPr>
        <w:pStyle w:val="LineBottom"/>
      </w:pPr>
    </w:p>
    <w:p w14:paraId="49404138" w14:textId="4CA5C694" w:rsidR="000E4660" w:rsidRPr="009B29E9" w:rsidRDefault="000E4660" w:rsidP="000E4660">
      <w:pPr>
        <w:pStyle w:val="ATHeading1"/>
      </w:pPr>
      <w:bookmarkStart w:id="0" w:name="TANumber"/>
      <w:r w:rsidRPr="009B29E9">
        <w:t>P10_</w:t>
      </w:r>
      <w:proofErr w:type="gramStart"/>
      <w:r w:rsidRPr="009B29E9">
        <w:t>TA(</w:t>
      </w:r>
      <w:proofErr w:type="gramEnd"/>
      <w:r w:rsidRPr="009B29E9">
        <w:t>2025)0</w:t>
      </w:r>
      <w:bookmarkEnd w:id="0"/>
      <w:r w:rsidR="009079C9">
        <w:t>297</w:t>
      </w:r>
    </w:p>
    <w:p w14:paraId="4112E346" w14:textId="24F84E97" w:rsidR="000E4660" w:rsidRPr="003D35BB" w:rsidRDefault="003D35BB" w:rsidP="000E4660">
      <w:pPr>
        <w:pStyle w:val="ATHeading2"/>
      </w:pPr>
      <w:r w:rsidRPr="00F61681">
        <w:rPr>
          <w:bCs/>
        </w:rPr>
        <w:t>Den Europæiske Centralbanks indsamling af statistisk information</w:t>
      </w:r>
    </w:p>
    <w:p w14:paraId="0CA5DDC8" w14:textId="77777777" w:rsidR="000E4660" w:rsidRPr="009B29E9" w:rsidRDefault="000E4660" w:rsidP="000E4660">
      <w:pPr>
        <w:rPr>
          <w:i/>
          <w:vanish/>
        </w:rPr>
      </w:pPr>
      <w:r w:rsidRPr="009B29E9">
        <w:rPr>
          <w:i/>
        </w:rPr>
        <w:fldChar w:fldCharType="begin"/>
      </w:r>
      <w:r w:rsidRPr="009B29E9">
        <w:rPr>
          <w:i/>
        </w:rPr>
        <w:instrText xml:space="preserve"> TC"(</w:instrText>
      </w:r>
      <w:bookmarkStart w:id="1" w:name="DocNumber"/>
      <w:r w:rsidRPr="009B29E9">
        <w:rPr>
          <w:i/>
        </w:rPr>
        <w:instrText>A10-0222/2025</w:instrText>
      </w:r>
      <w:bookmarkEnd w:id="1"/>
      <w:r w:rsidRPr="009B29E9">
        <w:rPr>
          <w:i/>
        </w:rPr>
        <w:instrText xml:space="preserve"> - Ordfører: Aurore Lalucq)"\l3 \n&gt; \* MERGEFORMAT </w:instrText>
      </w:r>
      <w:r w:rsidRPr="009B29E9">
        <w:rPr>
          <w:i/>
        </w:rPr>
        <w:fldChar w:fldCharType="end"/>
      </w:r>
    </w:p>
    <w:p w14:paraId="523A03F8" w14:textId="77777777" w:rsidR="000E4660" w:rsidRPr="009B29E9" w:rsidRDefault="000E4660" w:rsidP="000E4660">
      <w:pPr>
        <w:rPr>
          <w:vanish/>
        </w:rPr>
      </w:pPr>
      <w:bookmarkStart w:id="2" w:name="Commission"/>
      <w:r w:rsidRPr="009B29E9">
        <w:rPr>
          <w:vanish/>
        </w:rPr>
        <w:t>Økonomi- og Valutaudvalget</w:t>
      </w:r>
      <w:bookmarkEnd w:id="2"/>
    </w:p>
    <w:p w14:paraId="16B7116B" w14:textId="77777777" w:rsidR="000E4660" w:rsidRPr="009B29E9" w:rsidRDefault="000E4660" w:rsidP="000E4660">
      <w:pPr>
        <w:rPr>
          <w:vanish/>
        </w:rPr>
      </w:pPr>
      <w:bookmarkStart w:id="3" w:name="PE"/>
      <w:r w:rsidRPr="009B29E9">
        <w:rPr>
          <w:vanish/>
        </w:rPr>
        <w:t>PE777.060</w:t>
      </w:r>
      <w:bookmarkEnd w:id="3"/>
    </w:p>
    <w:p w14:paraId="082404ED" w14:textId="0D4051EC" w:rsidR="000E4660" w:rsidRPr="009B29E9" w:rsidRDefault="000E4660" w:rsidP="000E4660">
      <w:pPr>
        <w:pStyle w:val="ATHeading3"/>
      </w:pPr>
      <w:bookmarkStart w:id="4" w:name="Sujet"/>
      <w:r w:rsidRPr="009B29E9">
        <w:t xml:space="preserve">Europa-Parlamentets lovgivningsmæssige beslutning af </w:t>
      </w:r>
      <w:r w:rsidR="003D35BB">
        <w:t>26. november</w:t>
      </w:r>
      <w:r w:rsidRPr="009B29E9">
        <w:t xml:space="preserve"> 2025 om udkast til Rådets forordning om ændring af forordning (EF) nr. 2533/98 om Den Europæiske Centralbanks indsamling af statistisk information </w:t>
      </w:r>
      <w:bookmarkStart w:id="5" w:name="References"/>
      <w:bookmarkEnd w:id="4"/>
      <w:r w:rsidRPr="009B29E9">
        <w:t>(09737/2025 – C10-0118/2025 – 2025/0806(CNS))</w:t>
      </w:r>
      <w:bookmarkEnd w:id="5"/>
    </w:p>
    <w:p w14:paraId="7B706D8D" w14:textId="10054378" w:rsidR="00EC4EFF" w:rsidRPr="009B29E9" w:rsidRDefault="00EC4EFF" w:rsidP="00EC4EFF">
      <w:pPr>
        <w:pStyle w:val="NormalBold"/>
      </w:pPr>
      <w:r w:rsidRPr="009B29E9">
        <w:t>(</w:t>
      </w:r>
      <w:r w:rsidR="003D35BB">
        <w:t>H</w:t>
      </w:r>
      <w:r w:rsidRPr="009B29E9">
        <w:t>øring)</w:t>
      </w:r>
    </w:p>
    <w:p w14:paraId="2327AF30" w14:textId="77777777" w:rsidR="00EC4EFF" w:rsidRPr="009B29E9" w:rsidRDefault="00EC4EFF" w:rsidP="00EC4EFF">
      <w:pPr>
        <w:pStyle w:val="EPComma"/>
      </w:pPr>
      <w:r w:rsidRPr="009B29E9">
        <w:rPr>
          <w:i/>
        </w:rPr>
        <w:t>Europa-Parlamentet,</w:t>
      </w:r>
    </w:p>
    <w:p w14:paraId="44788CBE" w14:textId="77777777" w:rsidR="00EC4EFF" w:rsidRPr="009B29E9" w:rsidRDefault="00EC4EFF" w:rsidP="00EC4EFF">
      <w:pPr>
        <w:pStyle w:val="NormalHanging12a"/>
      </w:pPr>
      <w:r w:rsidRPr="009B29E9">
        <w:t>–</w:t>
      </w:r>
      <w:r w:rsidRPr="009B29E9">
        <w:tab/>
        <w:t>der henviser til Den Europæiske Centralbanks henstilling (09737/2025 – ECB/2025/17),</w:t>
      </w:r>
    </w:p>
    <w:p w14:paraId="5FBC39BA" w14:textId="77777777" w:rsidR="00EC4EFF" w:rsidRPr="009B29E9" w:rsidRDefault="00EC4EFF" w:rsidP="00EC4EFF">
      <w:pPr>
        <w:pStyle w:val="NormalHanging12a"/>
      </w:pPr>
      <w:r w:rsidRPr="009B29E9">
        <w:t>–</w:t>
      </w:r>
      <w:r w:rsidRPr="009B29E9">
        <w:tab/>
        <w:t>der henviser til artikel 129, stk. 4, i traktaten om Den Europæiske Unions funktionsmåde, og artikel 5, stk. 4, samt artikel 41 i statutten for Det Europæiske System af Centralbanker og Den Europæiske Centralbank, der danner grundlag for Rådets høring af Parlamentet (C10</w:t>
      </w:r>
      <w:r w:rsidRPr="009B29E9">
        <w:noBreakHyphen/>
        <w:t>0118/2025),</w:t>
      </w:r>
    </w:p>
    <w:p w14:paraId="52FF7334" w14:textId="77777777" w:rsidR="00EC4EFF" w:rsidRPr="009B29E9" w:rsidRDefault="00EC4EFF" w:rsidP="00EC4EFF">
      <w:pPr>
        <w:pStyle w:val="NormalHanging12a"/>
      </w:pPr>
      <w:r w:rsidRPr="009B29E9">
        <w:t>–</w:t>
      </w:r>
      <w:r w:rsidRPr="009B29E9">
        <w:tab/>
        <w:t>der henviser til forretningsordenens artikel 84,</w:t>
      </w:r>
    </w:p>
    <w:p w14:paraId="2CF37B8A" w14:textId="77777777" w:rsidR="00EC4EFF" w:rsidRPr="009B29E9" w:rsidRDefault="00EC4EFF" w:rsidP="00EC4EFF">
      <w:pPr>
        <w:pStyle w:val="NormalHanging12a"/>
      </w:pPr>
      <w:r w:rsidRPr="009B29E9">
        <w:t>–</w:t>
      </w:r>
      <w:r w:rsidRPr="009B29E9">
        <w:tab/>
        <w:t>der henviser til betænkning fra Økonomi- og Valutaudvalget (A10-0222/2025),</w:t>
      </w:r>
    </w:p>
    <w:p w14:paraId="13D73B52" w14:textId="77777777" w:rsidR="00EC4EFF" w:rsidRPr="009B29E9" w:rsidRDefault="00EC4EFF" w:rsidP="00EC4EFF">
      <w:pPr>
        <w:pStyle w:val="NormalHanging12a"/>
      </w:pPr>
      <w:r w:rsidRPr="009B29E9">
        <w:t>1.</w:t>
      </w:r>
      <w:r w:rsidRPr="009B29E9">
        <w:tab/>
        <w:t>godkender udkastet i Den Europæiske Centralbanks henstilling som ændret;</w:t>
      </w:r>
    </w:p>
    <w:p w14:paraId="430B78A1" w14:textId="77777777" w:rsidR="00EC4EFF" w:rsidRPr="009B29E9" w:rsidRDefault="00EC4EFF" w:rsidP="00EC4EFF">
      <w:pPr>
        <w:pStyle w:val="NormalHanging12a"/>
      </w:pPr>
      <w:r w:rsidRPr="009B29E9">
        <w:t>2.</w:t>
      </w:r>
      <w:r w:rsidRPr="009B29E9">
        <w:tab/>
        <w:t>opfordrer Rådet til at underrette Parlamentet, hvis det ikke agter at følge den tekst, Parlamentet har godkendt;</w:t>
      </w:r>
    </w:p>
    <w:p w14:paraId="2A1F890A" w14:textId="77777777" w:rsidR="00EC4EFF" w:rsidRPr="009B29E9" w:rsidRDefault="00EC4EFF" w:rsidP="00EC4EFF">
      <w:pPr>
        <w:pStyle w:val="NormalHanging12a"/>
      </w:pPr>
      <w:r w:rsidRPr="009B29E9">
        <w:t>3.</w:t>
      </w:r>
      <w:r w:rsidRPr="009B29E9">
        <w:tab/>
        <w:t>anmoder Rådet om fornyet høring, hvis det agter at ændre udkastet i Den Europæiske Centralbanks henstilling i væsentlig grad;</w:t>
      </w:r>
    </w:p>
    <w:p w14:paraId="16D9023A" w14:textId="34FA1C79" w:rsidR="00EC4EFF" w:rsidRPr="009B29E9" w:rsidRDefault="00EC4EFF" w:rsidP="00EC4EFF">
      <w:pPr>
        <w:pStyle w:val="NormalHanging12a"/>
      </w:pPr>
      <w:r w:rsidRPr="009B29E9">
        <w:t>4.</w:t>
      </w:r>
      <w:r w:rsidRPr="009B29E9">
        <w:tab/>
        <w:t>pålægger sin formand at sende Parlamentets holdning til Rådet</w:t>
      </w:r>
      <w:r w:rsidR="00076453">
        <w:t>, Den Europæiske Centralbank</w:t>
      </w:r>
      <w:r w:rsidRPr="009B29E9">
        <w:t xml:space="preserve"> og Kommissionen.</w:t>
      </w:r>
    </w:p>
    <w:p w14:paraId="1E372A63" w14:textId="77777777" w:rsidR="00EC4EFF" w:rsidRPr="009B29E9" w:rsidRDefault="00EC4EFF" w:rsidP="00EC4EFF">
      <w:pPr>
        <w:widowControl/>
      </w:pPr>
    </w:p>
    <w:p w14:paraId="4561DE19" w14:textId="1B135843" w:rsidR="00EC4EFF" w:rsidRPr="009B29E9" w:rsidRDefault="007327C8" w:rsidP="00EC4EFF">
      <w:pPr>
        <w:pStyle w:val="AmNumberTabs"/>
        <w:keepNext/>
      </w:pPr>
      <w:r>
        <w:lastRenderedPageBreak/>
        <w:t>Ændring</w:t>
      </w:r>
      <w:r w:rsidR="00EC4EFF" w:rsidRPr="009B29E9">
        <w:tab/>
      </w:r>
      <w:r w:rsidR="00EC4EFF" w:rsidRPr="009B29E9">
        <w:tab/>
        <w:t>1</w:t>
      </w:r>
    </w:p>
    <w:p w14:paraId="56923F85" w14:textId="77777777" w:rsidR="00EC4EFF" w:rsidRPr="009B29E9" w:rsidRDefault="00EC4EFF" w:rsidP="00EC4EFF">
      <w:pPr>
        <w:pStyle w:val="NormalBold12b"/>
        <w:keepNext/>
      </w:pPr>
      <w:r w:rsidRPr="009B29E9">
        <w:t>Udkast til forordning</w:t>
      </w:r>
    </w:p>
    <w:p w14:paraId="439BB45F" w14:textId="77777777" w:rsidR="00EC4EFF" w:rsidRPr="009B29E9" w:rsidRDefault="00EC4EFF" w:rsidP="00EC4EFF">
      <w:pPr>
        <w:pStyle w:val="NormalBold"/>
        <w:keepNext/>
      </w:pPr>
      <w:r w:rsidRPr="009B29E9">
        <w:t>Betragtning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C4EFF" w:rsidRPr="009B29E9" w14:paraId="4F1757D5" w14:textId="77777777" w:rsidTr="00835D3A">
        <w:trPr>
          <w:jc w:val="center"/>
        </w:trPr>
        <w:tc>
          <w:tcPr>
            <w:tcW w:w="9752" w:type="dxa"/>
            <w:gridSpan w:val="2"/>
          </w:tcPr>
          <w:p w14:paraId="47637F4C" w14:textId="77777777" w:rsidR="00EC4EFF" w:rsidRPr="009B29E9" w:rsidRDefault="00EC4EFF" w:rsidP="00835D3A">
            <w:pPr>
              <w:keepNext/>
            </w:pPr>
          </w:p>
        </w:tc>
      </w:tr>
      <w:tr w:rsidR="00EC4EFF" w:rsidRPr="009B29E9" w14:paraId="0C7CEE88" w14:textId="77777777" w:rsidTr="00835D3A">
        <w:trPr>
          <w:jc w:val="center"/>
        </w:trPr>
        <w:tc>
          <w:tcPr>
            <w:tcW w:w="4876" w:type="dxa"/>
          </w:tcPr>
          <w:p w14:paraId="4D915C52" w14:textId="77777777" w:rsidR="00EC4EFF" w:rsidRPr="009B29E9" w:rsidRDefault="00EC4EFF" w:rsidP="00835D3A">
            <w:pPr>
              <w:pStyle w:val="AmColumnHeading"/>
              <w:keepNext/>
            </w:pPr>
            <w:r w:rsidRPr="009B29E9">
              <w:t>Udkast fra Den Europæiske Centralbank</w:t>
            </w:r>
          </w:p>
        </w:tc>
        <w:tc>
          <w:tcPr>
            <w:tcW w:w="4876" w:type="dxa"/>
          </w:tcPr>
          <w:p w14:paraId="5C8F9CBD" w14:textId="05851A84" w:rsidR="00EC4EFF" w:rsidRPr="009B29E9" w:rsidRDefault="007327C8" w:rsidP="00835D3A">
            <w:pPr>
              <w:pStyle w:val="AmColumnHeading"/>
              <w:keepNext/>
            </w:pPr>
            <w:r>
              <w:t>Ændring</w:t>
            </w:r>
          </w:p>
        </w:tc>
      </w:tr>
      <w:tr w:rsidR="00EC4EFF" w:rsidRPr="009B29E9" w14:paraId="58E591B6" w14:textId="77777777" w:rsidTr="00835D3A">
        <w:trPr>
          <w:jc w:val="center"/>
        </w:trPr>
        <w:tc>
          <w:tcPr>
            <w:tcW w:w="4876" w:type="dxa"/>
          </w:tcPr>
          <w:p w14:paraId="2FD79227" w14:textId="77777777" w:rsidR="00EC4EFF" w:rsidRPr="009B29E9" w:rsidRDefault="00EC4EFF" w:rsidP="00835D3A">
            <w:pPr>
              <w:pStyle w:val="Normal6a"/>
            </w:pPr>
            <w:r w:rsidRPr="009B29E9">
              <w:t>(1)</w:t>
            </w:r>
            <w:r w:rsidRPr="009B29E9">
              <w:tab/>
              <w:t>Rådets forordning (EF) nr. 2533/98</w:t>
            </w:r>
            <w:r w:rsidRPr="009B29E9">
              <w:rPr>
                <w:vertAlign w:val="superscript"/>
              </w:rPr>
              <w:t>1</w:t>
            </w:r>
            <w:r w:rsidRPr="009B29E9">
              <w:t xml:space="preserve"> er et centralt element i den retlige ramme til støtte for Den Europæiske Centralbanks (</w:t>
            </w:r>
            <w:proofErr w:type="spellStart"/>
            <w:r w:rsidRPr="009B29E9">
              <w:t>ECB's</w:t>
            </w:r>
            <w:proofErr w:type="spellEnd"/>
            <w:r w:rsidRPr="009B29E9">
              <w:t xml:space="preserve">) statistiske indsamlingsopgaver bistået af de nationale centralbanker. </w:t>
            </w:r>
            <w:r w:rsidRPr="009B29E9">
              <w:rPr>
                <w:b/>
                <w:i/>
              </w:rPr>
              <w:t>ECB</w:t>
            </w:r>
            <w:r w:rsidRPr="009B29E9">
              <w:t xml:space="preserve"> har konsekvent baseret sig på denne forordning </w:t>
            </w:r>
            <w:r w:rsidRPr="009B29E9">
              <w:rPr>
                <w:b/>
                <w:i/>
              </w:rPr>
              <w:t>til</w:t>
            </w:r>
            <w:r w:rsidRPr="009B29E9">
              <w:t xml:space="preserve"> at </w:t>
            </w:r>
            <w:r w:rsidRPr="009B29E9">
              <w:rPr>
                <w:b/>
                <w:i/>
              </w:rPr>
              <w:t>udføre</w:t>
            </w:r>
            <w:r w:rsidRPr="009B29E9">
              <w:t xml:space="preserve"> og </w:t>
            </w:r>
            <w:r w:rsidRPr="009B29E9">
              <w:rPr>
                <w:b/>
                <w:i/>
              </w:rPr>
              <w:t>overvåge den koordinerede indsamling af statistisk information, der er nødvendig</w:t>
            </w:r>
            <w:r w:rsidRPr="009B29E9">
              <w:t xml:space="preserve"> for at </w:t>
            </w:r>
            <w:r w:rsidRPr="009B29E9">
              <w:rPr>
                <w:b/>
                <w:i/>
              </w:rPr>
              <w:t>udføre Det Europæiske System af Centralbankers (ESCB) opgaver</w:t>
            </w:r>
            <w:r w:rsidRPr="009B29E9">
              <w:t>.</w:t>
            </w:r>
          </w:p>
        </w:tc>
        <w:tc>
          <w:tcPr>
            <w:tcW w:w="4876" w:type="dxa"/>
          </w:tcPr>
          <w:p w14:paraId="7C0EA53A" w14:textId="77777777" w:rsidR="00EC4EFF" w:rsidRPr="009B29E9" w:rsidRDefault="00EC4EFF" w:rsidP="00835D3A">
            <w:pPr>
              <w:pStyle w:val="Normal6a"/>
              <w:rPr>
                <w:szCs w:val="24"/>
              </w:rPr>
            </w:pPr>
            <w:r w:rsidRPr="009B29E9">
              <w:t>(1)</w:t>
            </w:r>
            <w:r w:rsidRPr="009B29E9">
              <w:tab/>
              <w:t>Rådets forordning (EF) nr. 2533/98</w:t>
            </w:r>
            <w:r w:rsidRPr="009B29E9">
              <w:rPr>
                <w:vertAlign w:val="superscript"/>
              </w:rPr>
              <w:t>1</w:t>
            </w:r>
            <w:r w:rsidRPr="009B29E9">
              <w:t xml:space="preserve"> er et centralt element i den retlige ramme til støtte for Den Europæiske Centralbanks (</w:t>
            </w:r>
            <w:proofErr w:type="spellStart"/>
            <w:r w:rsidRPr="009B29E9">
              <w:t>ECB's</w:t>
            </w:r>
            <w:proofErr w:type="spellEnd"/>
            <w:r w:rsidRPr="009B29E9">
              <w:t xml:space="preserve">) statistiske indsamlingsopgaver bistået af de nationale centralbanker. </w:t>
            </w:r>
            <w:r w:rsidRPr="009B29E9">
              <w:rPr>
                <w:b/>
                <w:i/>
              </w:rPr>
              <w:t>I forbindelse med udførelsen og overvågningen af den koordinerede indsamling af nødvendig statistisk information</w:t>
            </w:r>
            <w:r w:rsidRPr="009B29E9">
              <w:t xml:space="preserve"> har</w:t>
            </w:r>
            <w:r w:rsidRPr="009B29E9">
              <w:rPr>
                <w:b/>
                <w:i/>
              </w:rPr>
              <w:t xml:space="preserve"> ECB</w:t>
            </w:r>
            <w:r w:rsidRPr="009B29E9">
              <w:t xml:space="preserve"> konsekvent baseret sig på denne forordning </w:t>
            </w:r>
            <w:r w:rsidRPr="009B29E9">
              <w:rPr>
                <w:b/>
                <w:i/>
              </w:rPr>
              <w:t>for mere effektivt</w:t>
            </w:r>
            <w:r w:rsidRPr="009B29E9">
              <w:t xml:space="preserve"> at </w:t>
            </w:r>
            <w:r w:rsidRPr="009B29E9">
              <w:rPr>
                <w:b/>
                <w:i/>
              </w:rPr>
              <w:t>opfylde sine mål</w:t>
            </w:r>
            <w:r w:rsidRPr="009B29E9">
              <w:t xml:space="preserve"> og </w:t>
            </w:r>
            <w:r w:rsidRPr="009B29E9">
              <w:rPr>
                <w:b/>
                <w:i/>
              </w:rPr>
              <w:t>udføre sine opgaver som fastsat i statuttens artikel 2 og</w:t>
            </w:r>
            <w:r w:rsidRPr="009B29E9">
              <w:t xml:space="preserve"> for</w:t>
            </w:r>
            <w:r w:rsidRPr="009B29E9">
              <w:rPr>
                <w:b/>
                <w:i/>
              </w:rPr>
              <w:t xml:space="preserve"> bedre</w:t>
            </w:r>
            <w:r w:rsidRPr="009B29E9">
              <w:t xml:space="preserve"> at </w:t>
            </w:r>
            <w:r w:rsidRPr="009B29E9">
              <w:rPr>
                <w:b/>
                <w:i/>
              </w:rPr>
              <w:t>kunne imødegå de akutte og kommende udfordringer</w:t>
            </w:r>
            <w:r w:rsidRPr="009B29E9">
              <w:t>.</w:t>
            </w:r>
          </w:p>
        </w:tc>
      </w:tr>
      <w:tr w:rsidR="00EC4EFF" w:rsidRPr="009B29E9" w14:paraId="04CDAE17" w14:textId="77777777" w:rsidTr="00835D3A">
        <w:trPr>
          <w:jc w:val="center"/>
        </w:trPr>
        <w:tc>
          <w:tcPr>
            <w:tcW w:w="4876" w:type="dxa"/>
          </w:tcPr>
          <w:p w14:paraId="7A13E5D4" w14:textId="77777777" w:rsidR="00EC4EFF" w:rsidRPr="009B29E9" w:rsidRDefault="00EC4EFF" w:rsidP="00835D3A">
            <w:pPr>
              <w:pStyle w:val="Normal6a"/>
            </w:pPr>
            <w:r w:rsidRPr="009B29E9">
              <w:t>__________________</w:t>
            </w:r>
          </w:p>
        </w:tc>
        <w:tc>
          <w:tcPr>
            <w:tcW w:w="4876" w:type="dxa"/>
          </w:tcPr>
          <w:p w14:paraId="6864F9BD" w14:textId="77777777" w:rsidR="00EC4EFF" w:rsidRPr="009B29E9" w:rsidRDefault="00EC4EFF" w:rsidP="00835D3A">
            <w:pPr>
              <w:pStyle w:val="Normal6a"/>
            </w:pPr>
            <w:r w:rsidRPr="009B29E9">
              <w:t>__________________</w:t>
            </w:r>
          </w:p>
        </w:tc>
      </w:tr>
      <w:tr w:rsidR="00EC4EFF" w:rsidRPr="009B29E9" w14:paraId="5AF2052A" w14:textId="77777777" w:rsidTr="00835D3A">
        <w:trPr>
          <w:jc w:val="center"/>
        </w:trPr>
        <w:tc>
          <w:tcPr>
            <w:tcW w:w="4876" w:type="dxa"/>
          </w:tcPr>
          <w:p w14:paraId="619C6772" w14:textId="77777777" w:rsidR="00EC4EFF" w:rsidRPr="009B29E9" w:rsidRDefault="00EC4EFF" w:rsidP="00835D3A">
            <w:pPr>
              <w:pStyle w:val="Normal6a"/>
            </w:pPr>
            <w:r w:rsidRPr="009B29E9">
              <w:rPr>
                <w:vertAlign w:val="superscript"/>
              </w:rPr>
              <w:t>1</w:t>
            </w:r>
            <w:r w:rsidRPr="009B29E9">
              <w:t xml:space="preserve"> Rådets forordning (EF) nr. 2533/98 af 23. november 1998 om Den Europæiske Centralbanks indsamling af statistisk information (EFT L 318 af 27.11.1998, s. 8, ELI: http://data.europa.eu/eli/reg/1998/2533/oj).</w:t>
            </w:r>
          </w:p>
        </w:tc>
        <w:tc>
          <w:tcPr>
            <w:tcW w:w="4876" w:type="dxa"/>
          </w:tcPr>
          <w:p w14:paraId="48395801" w14:textId="77777777" w:rsidR="00EC4EFF" w:rsidRPr="009B29E9" w:rsidRDefault="00EC4EFF" w:rsidP="00835D3A">
            <w:pPr>
              <w:pStyle w:val="Normal6a"/>
            </w:pPr>
            <w:r w:rsidRPr="009B29E9">
              <w:rPr>
                <w:vertAlign w:val="superscript"/>
              </w:rPr>
              <w:t>1</w:t>
            </w:r>
            <w:r w:rsidRPr="009B29E9">
              <w:t xml:space="preserve"> Rådets forordning (EF) nr. 2533/98 af 23. november 1998 om Den Europæiske Centralbanks indsamling af statistisk information (EFT L 318 af 27.11.1998, s. 8, ELI: http://data.europa.eu/eli/reg/1998/2533/oj).</w:t>
            </w:r>
          </w:p>
        </w:tc>
      </w:tr>
    </w:tbl>
    <w:p w14:paraId="11BCFE31" w14:textId="77777777" w:rsidR="00EC4EFF" w:rsidRPr="009B29E9" w:rsidRDefault="00EC4EFF" w:rsidP="00EC4EFF"/>
    <w:p w14:paraId="1A7060CA" w14:textId="45A0807F" w:rsidR="00EC4EFF" w:rsidRPr="009B29E9" w:rsidRDefault="007327C8" w:rsidP="00EC4EFF">
      <w:pPr>
        <w:pStyle w:val="AmNumberTabs"/>
        <w:keepNext/>
      </w:pPr>
      <w:r>
        <w:t>Ændring</w:t>
      </w:r>
      <w:r w:rsidR="00EC4EFF" w:rsidRPr="009B29E9">
        <w:tab/>
      </w:r>
      <w:r w:rsidR="00EC4EFF" w:rsidRPr="009B29E9">
        <w:tab/>
        <w:t>2</w:t>
      </w:r>
    </w:p>
    <w:p w14:paraId="643DE7B1" w14:textId="77777777" w:rsidR="00EC4EFF" w:rsidRPr="009B29E9" w:rsidRDefault="00EC4EFF" w:rsidP="00EC4EFF">
      <w:pPr>
        <w:pStyle w:val="NormalBold12b"/>
        <w:keepNext/>
      </w:pPr>
      <w:r w:rsidRPr="009B29E9">
        <w:t>Udkast til forordning</w:t>
      </w:r>
    </w:p>
    <w:p w14:paraId="35EE67FD" w14:textId="77777777" w:rsidR="00EC4EFF" w:rsidRPr="009B29E9" w:rsidRDefault="00EC4EFF" w:rsidP="00EC4EFF">
      <w:pPr>
        <w:pStyle w:val="NormalBold"/>
        <w:keepNext/>
      </w:pPr>
      <w:r w:rsidRPr="009B29E9">
        <w:t>Betragtning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C4EFF" w:rsidRPr="009B29E9" w14:paraId="3728600C" w14:textId="77777777" w:rsidTr="00835D3A">
        <w:trPr>
          <w:jc w:val="center"/>
        </w:trPr>
        <w:tc>
          <w:tcPr>
            <w:tcW w:w="9752" w:type="dxa"/>
            <w:gridSpan w:val="2"/>
          </w:tcPr>
          <w:p w14:paraId="161823F6" w14:textId="77777777" w:rsidR="00EC4EFF" w:rsidRPr="009B29E9" w:rsidRDefault="00EC4EFF" w:rsidP="00835D3A">
            <w:pPr>
              <w:keepNext/>
            </w:pPr>
          </w:p>
        </w:tc>
      </w:tr>
      <w:tr w:rsidR="00EC4EFF" w:rsidRPr="009B29E9" w14:paraId="62689450" w14:textId="77777777" w:rsidTr="00835D3A">
        <w:trPr>
          <w:jc w:val="center"/>
        </w:trPr>
        <w:tc>
          <w:tcPr>
            <w:tcW w:w="4876" w:type="dxa"/>
          </w:tcPr>
          <w:p w14:paraId="22F9715F" w14:textId="77777777" w:rsidR="00EC4EFF" w:rsidRPr="009B29E9" w:rsidRDefault="00EC4EFF" w:rsidP="00835D3A">
            <w:pPr>
              <w:pStyle w:val="AmColumnHeading"/>
              <w:keepNext/>
            </w:pPr>
            <w:r w:rsidRPr="009B29E9">
              <w:t>Udkast fra Den Europæiske Centralbank</w:t>
            </w:r>
          </w:p>
        </w:tc>
        <w:tc>
          <w:tcPr>
            <w:tcW w:w="4876" w:type="dxa"/>
          </w:tcPr>
          <w:p w14:paraId="567F0827" w14:textId="5D692632" w:rsidR="00EC4EFF" w:rsidRPr="009B29E9" w:rsidRDefault="007327C8" w:rsidP="00835D3A">
            <w:pPr>
              <w:pStyle w:val="AmColumnHeading"/>
              <w:keepNext/>
            </w:pPr>
            <w:r>
              <w:t>Ændring</w:t>
            </w:r>
          </w:p>
        </w:tc>
      </w:tr>
      <w:tr w:rsidR="00EC4EFF" w:rsidRPr="009B29E9" w14:paraId="0787FE3C" w14:textId="77777777" w:rsidTr="00835D3A">
        <w:trPr>
          <w:jc w:val="center"/>
        </w:trPr>
        <w:tc>
          <w:tcPr>
            <w:tcW w:w="4876" w:type="dxa"/>
          </w:tcPr>
          <w:p w14:paraId="610E9A3A" w14:textId="77777777" w:rsidR="00EC4EFF" w:rsidRPr="009B29E9" w:rsidRDefault="00EC4EFF" w:rsidP="00835D3A">
            <w:pPr>
              <w:pStyle w:val="Normal6a"/>
            </w:pPr>
            <w:r w:rsidRPr="009B29E9">
              <w:t>(3)</w:t>
            </w:r>
            <w:r w:rsidRPr="009B29E9">
              <w:tab/>
              <w:t xml:space="preserve">Den digitale omstilling har skabt radikale og nye muligheder for at integrere digitale teknologier, ikke kun i virksomhederne, men også i leveringen af offentlige tjenester. Den har skabt et hidtil uset miljø med nye behov for statistikker til udførelse af </w:t>
            </w:r>
            <w:proofErr w:type="spellStart"/>
            <w:r w:rsidRPr="009B29E9">
              <w:t>ESCB's</w:t>
            </w:r>
            <w:proofErr w:type="spellEnd"/>
            <w:r w:rsidRPr="009B29E9">
              <w:t xml:space="preserve"> opgaver og nye muligheder for en mere effektiv indsamling af detaljerede data. Desuden har den seneste økonomiske og finansielle udvikling såsom klimakrisen, covid-19-pandemien og energi- og leveomkostningskrisen, der blev udløst af Ruslands angrebskrig mod Ukraine, øget </w:t>
            </w:r>
            <w:r w:rsidRPr="009B29E9">
              <w:lastRenderedPageBreak/>
              <w:t xml:space="preserve">efterspørgslen efter og forventningerne til mere rettidige, hyppigere og mere detaljerede statistikker, der er nødvendige for at understøtte udførelsen af </w:t>
            </w:r>
            <w:proofErr w:type="spellStart"/>
            <w:r w:rsidRPr="009B29E9">
              <w:t>ESCB's</w:t>
            </w:r>
            <w:proofErr w:type="spellEnd"/>
            <w:r w:rsidRPr="009B29E9">
              <w:t xml:space="preserve"> opgaver. Samtidig er det vigtigt at afbalancere disse krav og forventninger med behovet for at holde byrden for rapporteringsenhederne på et minimum, da konkurrenceevne og produktivitet er afgørende forudsætninger for, at virksomhederne kan trives. Derfor er det vigtigt at tilpasse den retlige ramme for at støtte engangsprincippet i forbindelse med statistisk og lovgivningsmæssig rapportering, hvor det er muligt, for at sikre, at rapporteringsenhederne ikke behøver at indberette de samme data mere end én gang. Disse tilpasninger bør tage hensyn til </w:t>
            </w:r>
            <w:proofErr w:type="spellStart"/>
            <w:r w:rsidRPr="009B29E9">
              <w:t>ECB's</w:t>
            </w:r>
            <w:proofErr w:type="spellEnd"/>
            <w:r w:rsidRPr="009B29E9">
              <w:t xml:space="preserve"> uafhængighed og de statistiske principper, der er fastsat i forordning (EF) nr. 2533/98</w:t>
            </w:r>
          </w:p>
        </w:tc>
        <w:tc>
          <w:tcPr>
            <w:tcW w:w="4876" w:type="dxa"/>
          </w:tcPr>
          <w:p w14:paraId="083F82C2" w14:textId="77777777" w:rsidR="00EC4EFF" w:rsidRPr="009B29E9" w:rsidRDefault="00EC4EFF" w:rsidP="00835D3A">
            <w:pPr>
              <w:pStyle w:val="Normal6a"/>
              <w:rPr>
                <w:szCs w:val="24"/>
              </w:rPr>
            </w:pPr>
            <w:r w:rsidRPr="009B29E9">
              <w:lastRenderedPageBreak/>
              <w:t>(3)</w:t>
            </w:r>
            <w:r w:rsidRPr="009B29E9">
              <w:tab/>
              <w:t xml:space="preserve">Den digitale omstilling har skabt radikale og nye muligheder for at integrere digitale teknologier, ikke kun i virksomhederne, men også i leveringen af offentlige tjenester. Den har skabt et hidtil uset miljø med nye behov for statistikker til udførelse af </w:t>
            </w:r>
            <w:proofErr w:type="spellStart"/>
            <w:r w:rsidRPr="009B29E9">
              <w:t>ESCB's</w:t>
            </w:r>
            <w:proofErr w:type="spellEnd"/>
            <w:r w:rsidRPr="009B29E9">
              <w:t xml:space="preserve"> opgaver og nye muligheder for en mere effektiv indsamling af detaljerede data. Desuden har den seneste økonomiske og finansielle udvikling såsom klimakrisen, covid-19-pandemien og energi- og leveomkostningskrisen, der blev udløst af Ruslands angrebskrig mod Ukraine, øget </w:t>
            </w:r>
            <w:r w:rsidRPr="009B29E9">
              <w:lastRenderedPageBreak/>
              <w:t xml:space="preserve">efterspørgslen efter og forventningerne til mere rettidige, hyppigere og mere detaljerede statistikker, der er nødvendige for at understøtte udførelsen af </w:t>
            </w:r>
            <w:proofErr w:type="spellStart"/>
            <w:r w:rsidRPr="009B29E9">
              <w:t>ESCB's</w:t>
            </w:r>
            <w:proofErr w:type="spellEnd"/>
            <w:r w:rsidRPr="009B29E9">
              <w:t xml:space="preserve"> opgaver. Samtidig er det vigtigt at afbalancere disse krav og forventninger med behovet for at holde byrden for rapporteringsenhederne på et minimum, da konkurrenceevne og produktivitet er afgørende forudsætninger for, at virksomhederne kan trives. Derfor er det vigtigt at tilpasse den retlige ramme for at støtte engangsprincippet i forbindelse med statistisk og lovgivningsmæssig rapportering, hvor det er muligt, for at sikre, at rapporteringsenhederne ikke behøver at indberette de samme data mere end én gang. </w:t>
            </w:r>
            <w:r w:rsidRPr="009B29E9">
              <w:rPr>
                <w:b/>
                <w:i/>
              </w:rPr>
              <w:t>I den forbindelse og i betragtning af digitaliseringens potentiale bør ECB yderligere undersøge værktøjer, der udnytter digitaliseringen til at strømline dataindsamlingsprocesserne og lette byrden af de opgaver, der udføres af ESCB og rapporteringsenhederne. ECB bør fortsat vurdere de muligheder og udfordringer, som anvendelsen af de nye digitale teknologier til indsamling af statistisk information medfører, og bør fremsætte en ny henstilling om at ændre denne forordning i overensstemmelse hermed, hvis den i sin vurdering konkluderer, at dette er nødvendigt.</w:t>
            </w:r>
            <w:r w:rsidRPr="009B29E9">
              <w:t xml:space="preserve"> Disse tilpasninger bør tage hensyn til </w:t>
            </w:r>
            <w:proofErr w:type="spellStart"/>
            <w:r w:rsidRPr="009B29E9">
              <w:t>ECB's</w:t>
            </w:r>
            <w:proofErr w:type="spellEnd"/>
            <w:r w:rsidRPr="009B29E9">
              <w:t xml:space="preserve"> uafhængighed og de statistiske principper, der er fastsat i forordning (EF) nr. 2533/98</w:t>
            </w:r>
            <w:r w:rsidRPr="009B29E9">
              <w:rPr>
                <w:b/>
                <w:i/>
              </w:rPr>
              <w:t>.</w:t>
            </w:r>
          </w:p>
        </w:tc>
      </w:tr>
    </w:tbl>
    <w:p w14:paraId="0730E84A" w14:textId="77777777" w:rsidR="00EC4EFF" w:rsidRPr="009B29E9" w:rsidRDefault="00EC4EFF" w:rsidP="00EC4EFF"/>
    <w:p w14:paraId="7A4C23F7" w14:textId="4912468D" w:rsidR="00EC4EFF" w:rsidRPr="009B29E9" w:rsidRDefault="007327C8" w:rsidP="00EC4EFF">
      <w:pPr>
        <w:pStyle w:val="AmNumberTabs"/>
        <w:keepNext/>
      </w:pPr>
      <w:r>
        <w:t>Ændring</w:t>
      </w:r>
      <w:r w:rsidR="00EC4EFF" w:rsidRPr="009B29E9">
        <w:tab/>
      </w:r>
      <w:r w:rsidR="00EC4EFF" w:rsidRPr="009B29E9">
        <w:tab/>
        <w:t>3</w:t>
      </w:r>
    </w:p>
    <w:p w14:paraId="560CA6B3" w14:textId="77777777" w:rsidR="00EC4EFF" w:rsidRPr="009B29E9" w:rsidRDefault="00EC4EFF" w:rsidP="00EC4EFF">
      <w:pPr>
        <w:pStyle w:val="NormalBold12b"/>
        <w:keepNext/>
      </w:pPr>
      <w:r w:rsidRPr="009B29E9">
        <w:t>Udkast til forordning</w:t>
      </w:r>
    </w:p>
    <w:p w14:paraId="3E64177D" w14:textId="77777777" w:rsidR="00EC4EFF" w:rsidRPr="009B29E9" w:rsidRDefault="00EC4EFF" w:rsidP="00EC4EFF">
      <w:pPr>
        <w:pStyle w:val="NormalBold"/>
        <w:keepNext/>
      </w:pPr>
      <w:r w:rsidRPr="009B29E9">
        <w:t>Betragtning 3 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C4EFF" w:rsidRPr="009B29E9" w14:paraId="313E6D6A" w14:textId="77777777" w:rsidTr="00835D3A">
        <w:trPr>
          <w:jc w:val="center"/>
        </w:trPr>
        <w:tc>
          <w:tcPr>
            <w:tcW w:w="9752" w:type="dxa"/>
            <w:gridSpan w:val="2"/>
          </w:tcPr>
          <w:p w14:paraId="20E5F6EC" w14:textId="77777777" w:rsidR="00EC4EFF" w:rsidRPr="009B29E9" w:rsidRDefault="00EC4EFF" w:rsidP="00835D3A">
            <w:pPr>
              <w:keepNext/>
            </w:pPr>
          </w:p>
        </w:tc>
      </w:tr>
      <w:tr w:rsidR="00EC4EFF" w:rsidRPr="009B29E9" w14:paraId="75A212C9" w14:textId="77777777" w:rsidTr="00835D3A">
        <w:trPr>
          <w:jc w:val="center"/>
        </w:trPr>
        <w:tc>
          <w:tcPr>
            <w:tcW w:w="4876" w:type="dxa"/>
          </w:tcPr>
          <w:p w14:paraId="42F83F65" w14:textId="77777777" w:rsidR="00EC4EFF" w:rsidRPr="009B29E9" w:rsidRDefault="00EC4EFF" w:rsidP="00835D3A">
            <w:pPr>
              <w:pStyle w:val="AmColumnHeading"/>
              <w:keepNext/>
            </w:pPr>
            <w:r w:rsidRPr="009B29E9">
              <w:t>Udkast fra Den Europæiske Centralbank</w:t>
            </w:r>
          </w:p>
        </w:tc>
        <w:tc>
          <w:tcPr>
            <w:tcW w:w="4876" w:type="dxa"/>
          </w:tcPr>
          <w:p w14:paraId="48A4CEE5" w14:textId="1B1780D0" w:rsidR="00EC4EFF" w:rsidRPr="009B29E9" w:rsidRDefault="007327C8" w:rsidP="00835D3A">
            <w:pPr>
              <w:pStyle w:val="AmColumnHeading"/>
              <w:keepNext/>
            </w:pPr>
            <w:r>
              <w:t>Ændring</w:t>
            </w:r>
          </w:p>
        </w:tc>
      </w:tr>
      <w:tr w:rsidR="00EC4EFF" w:rsidRPr="009B29E9" w14:paraId="7A66A0AE" w14:textId="77777777" w:rsidTr="00835D3A">
        <w:trPr>
          <w:jc w:val="center"/>
        </w:trPr>
        <w:tc>
          <w:tcPr>
            <w:tcW w:w="4876" w:type="dxa"/>
          </w:tcPr>
          <w:p w14:paraId="65B7A2ED" w14:textId="77777777" w:rsidR="00EC4EFF" w:rsidRPr="009B29E9" w:rsidRDefault="00EC4EFF" w:rsidP="00835D3A">
            <w:pPr>
              <w:pStyle w:val="Normal6a"/>
            </w:pPr>
          </w:p>
        </w:tc>
        <w:tc>
          <w:tcPr>
            <w:tcW w:w="4876" w:type="dxa"/>
          </w:tcPr>
          <w:p w14:paraId="50F24C51" w14:textId="77777777" w:rsidR="00EC4EFF" w:rsidRPr="009B29E9" w:rsidRDefault="00EC4EFF" w:rsidP="00835D3A">
            <w:pPr>
              <w:pStyle w:val="Normal6a"/>
              <w:rPr>
                <w:szCs w:val="24"/>
              </w:rPr>
            </w:pPr>
            <w:r w:rsidRPr="009B29E9">
              <w:rPr>
                <w:b/>
                <w:i/>
              </w:rPr>
              <w:t>(3a)</w:t>
            </w:r>
            <w:r w:rsidRPr="009B29E9">
              <w:rPr>
                <w:b/>
                <w:i/>
              </w:rPr>
              <w:tab/>
              <w:t xml:space="preserve">For at sikre, at </w:t>
            </w:r>
            <w:proofErr w:type="spellStart"/>
            <w:r w:rsidRPr="009B29E9">
              <w:rPr>
                <w:b/>
                <w:i/>
              </w:rPr>
              <w:t>ECB's</w:t>
            </w:r>
            <w:proofErr w:type="spellEnd"/>
            <w:r w:rsidRPr="009B29E9">
              <w:rPr>
                <w:b/>
                <w:i/>
              </w:rPr>
              <w:t xml:space="preserve"> analyseværktøjer er robuste og relevante, og i overensstemmelse med dens primære mandat om prisstabilitet, suppleret med dens sekundære mål om at støtte de generelle økonomiske politikker i Unionen, herunder dem, der vedrører </w:t>
            </w:r>
            <w:r w:rsidRPr="009B29E9">
              <w:rPr>
                <w:b/>
                <w:i/>
              </w:rPr>
              <w:lastRenderedPageBreak/>
              <w:t>miljø- og bæredygtighedshensyn, bør ECB fortsætte med at forbedre sin statistiske ramme for at afspejle udviklingen i de økonomiske og strukturelle udfordringer.</w:t>
            </w:r>
          </w:p>
        </w:tc>
      </w:tr>
    </w:tbl>
    <w:p w14:paraId="4E2F2A92" w14:textId="77777777" w:rsidR="00EC4EFF" w:rsidRPr="009B29E9" w:rsidRDefault="00EC4EFF" w:rsidP="00EC4EFF"/>
    <w:p w14:paraId="02810A85" w14:textId="1C0BD44F" w:rsidR="00EC4EFF" w:rsidRPr="009B29E9" w:rsidRDefault="007327C8" w:rsidP="00EC4EFF">
      <w:pPr>
        <w:pStyle w:val="AmNumberTabs"/>
        <w:keepNext/>
      </w:pPr>
      <w:r>
        <w:t>Ændring</w:t>
      </w:r>
      <w:r w:rsidR="00EC4EFF" w:rsidRPr="009B29E9">
        <w:tab/>
      </w:r>
      <w:r w:rsidR="00EC4EFF" w:rsidRPr="009B29E9">
        <w:tab/>
        <w:t>4</w:t>
      </w:r>
    </w:p>
    <w:p w14:paraId="2B7D3DE0" w14:textId="77777777" w:rsidR="00EC4EFF" w:rsidRPr="009B29E9" w:rsidRDefault="00EC4EFF" w:rsidP="00EC4EFF">
      <w:pPr>
        <w:pStyle w:val="NormalBold12b"/>
        <w:keepNext/>
      </w:pPr>
      <w:r w:rsidRPr="009B29E9">
        <w:t>Udkast til forordning</w:t>
      </w:r>
    </w:p>
    <w:p w14:paraId="7EBB7EA2" w14:textId="77777777" w:rsidR="00EC4EFF" w:rsidRPr="009B29E9" w:rsidRDefault="00EC4EFF" w:rsidP="00EC4EFF">
      <w:pPr>
        <w:pStyle w:val="NormalBold"/>
        <w:keepNext/>
      </w:pPr>
      <w:r w:rsidRPr="009B29E9">
        <w:t>Betragtning 3 b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C4EFF" w:rsidRPr="009B29E9" w14:paraId="6FCCDEEA" w14:textId="77777777" w:rsidTr="00835D3A">
        <w:trPr>
          <w:jc w:val="center"/>
        </w:trPr>
        <w:tc>
          <w:tcPr>
            <w:tcW w:w="9752" w:type="dxa"/>
            <w:gridSpan w:val="2"/>
          </w:tcPr>
          <w:p w14:paraId="79F60FE6" w14:textId="77777777" w:rsidR="00EC4EFF" w:rsidRPr="009B29E9" w:rsidRDefault="00EC4EFF" w:rsidP="00835D3A">
            <w:pPr>
              <w:keepNext/>
            </w:pPr>
          </w:p>
        </w:tc>
      </w:tr>
      <w:tr w:rsidR="00EC4EFF" w:rsidRPr="009B29E9" w14:paraId="17AB2B1E" w14:textId="77777777" w:rsidTr="00835D3A">
        <w:trPr>
          <w:jc w:val="center"/>
        </w:trPr>
        <w:tc>
          <w:tcPr>
            <w:tcW w:w="4876" w:type="dxa"/>
          </w:tcPr>
          <w:p w14:paraId="2190BAA9" w14:textId="77777777" w:rsidR="00EC4EFF" w:rsidRPr="009B29E9" w:rsidRDefault="00EC4EFF" w:rsidP="00835D3A">
            <w:pPr>
              <w:pStyle w:val="AmColumnHeading"/>
              <w:keepNext/>
            </w:pPr>
            <w:r w:rsidRPr="009B29E9">
              <w:t>Udkast fra Den Europæiske Centralbank</w:t>
            </w:r>
          </w:p>
        </w:tc>
        <w:tc>
          <w:tcPr>
            <w:tcW w:w="4876" w:type="dxa"/>
          </w:tcPr>
          <w:p w14:paraId="48559E6A" w14:textId="043BA68A" w:rsidR="00EC4EFF" w:rsidRPr="009B29E9" w:rsidRDefault="007327C8" w:rsidP="00835D3A">
            <w:pPr>
              <w:pStyle w:val="AmColumnHeading"/>
              <w:keepNext/>
            </w:pPr>
            <w:r>
              <w:t>Ændring</w:t>
            </w:r>
          </w:p>
        </w:tc>
      </w:tr>
      <w:tr w:rsidR="00EC4EFF" w:rsidRPr="009B29E9" w14:paraId="7C96170F" w14:textId="77777777" w:rsidTr="00835D3A">
        <w:trPr>
          <w:jc w:val="center"/>
        </w:trPr>
        <w:tc>
          <w:tcPr>
            <w:tcW w:w="4876" w:type="dxa"/>
          </w:tcPr>
          <w:p w14:paraId="1CA1D2E0" w14:textId="77777777" w:rsidR="00EC4EFF" w:rsidRPr="009B29E9" w:rsidRDefault="00EC4EFF" w:rsidP="00835D3A">
            <w:pPr>
              <w:pStyle w:val="Normal6a"/>
            </w:pPr>
          </w:p>
        </w:tc>
        <w:tc>
          <w:tcPr>
            <w:tcW w:w="4876" w:type="dxa"/>
          </w:tcPr>
          <w:p w14:paraId="07239EF7" w14:textId="77777777" w:rsidR="00EC4EFF" w:rsidRPr="009B29E9" w:rsidRDefault="00EC4EFF" w:rsidP="00835D3A">
            <w:pPr>
              <w:pStyle w:val="Normal6a"/>
              <w:rPr>
                <w:szCs w:val="24"/>
              </w:rPr>
            </w:pPr>
            <w:r w:rsidRPr="009B29E9">
              <w:rPr>
                <w:b/>
                <w:i/>
              </w:rPr>
              <w:t>(3b)</w:t>
            </w:r>
            <w:r w:rsidRPr="009B29E9">
              <w:rPr>
                <w:b/>
                <w:i/>
              </w:rPr>
              <w:tab/>
              <w:t xml:space="preserve">Anvendelsen af kunstig intelligens giver mulighed for at øge effektiviteten, nøjagtigheden og rettidigheden af indsamling og behandling af data. Anvendelsen heraf medfører imidlertid også specifikke risici i forbindelse med gennemsigtighed, bias, sikkerhed, privatlivets fred og ansvarlighed. Det er derfor nødvendigt at sikre, at alle systemer med kunstig intelligens, der anvendes af ECB eller de nationale centralbanker i forbindelse med udførelsen af deres statistiske opgaver, anvendes på en ansvarlig, gennemsigtig og sikker måde, der sikrer passende menneskeligt tilsyn og fuld ansvarlighed i overensstemmelse med Unionens retlige rammer og </w:t>
            </w:r>
            <w:proofErr w:type="spellStart"/>
            <w:r w:rsidRPr="009B29E9">
              <w:rPr>
                <w:b/>
                <w:i/>
              </w:rPr>
              <w:t>ECB's</w:t>
            </w:r>
            <w:proofErr w:type="spellEnd"/>
            <w:r w:rsidRPr="009B29E9">
              <w:rPr>
                <w:b/>
                <w:i/>
              </w:rPr>
              <w:t xml:space="preserve"> uafhængighed.</w:t>
            </w:r>
          </w:p>
        </w:tc>
      </w:tr>
    </w:tbl>
    <w:p w14:paraId="24FF9688" w14:textId="77777777" w:rsidR="00EC4EFF" w:rsidRPr="009B29E9" w:rsidRDefault="00EC4EFF" w:rsidP="00EC4EFF"/>
    <w:p w14:paraId="7C3EB173" w14:textId="2374E9AC" w:rsidR="00EC4EFF" w:rsidRPr="009B29E9" w:rsidRDefault="007327C8" w:rsidP="00EC4EFF">
      <w:pPr>
        <w:pStyle w:val="AmNumberTabs"/>
        <w:keepNext/>
      </w:pPr>
      <w:r>
        <w:t>Ændring</w:t>
      </w:r>
      <w:r w:rsidR="00EC4EFF" w:rsidRPr="009B29E9">
        <w:tab/>
      </w:r>
      <w:r w:rsidR="00EC4EFF" w:rsidRPr="009B29E9">
        <w:tab/>
        <w:t>5</w:t>
      </w:r>
    </w:p>
    <w:p w14:paraId="0C2A8503" w14:textId="77777777" w:rsidR="00EC4EFF" w:rsidRPr="009B29E9" w:rsidRDefault="00EC4EFF" w:rsidP="00EC4EFF">
      <w:pPr>
        <w:pStyle w:val="NormalBold12b"/>
        <w:keepNext/>
      </w:pPr>
      <w:r w:rsidRPr="009B29E9">
        <w:t>Udkast til forordning</w:t>
      </w:r>
    </w:p>
    <w:p w14:paraId="563D7DDC" w14:textId="77777777" w:rsidR="00EC4EFF" w:rsidRPr="009B29E9" w:rsidRDefault="00EC4EFF" w:rsidP="00EC4EFF">
      <w:pPr>
        <w:pStyle w:val="NormalBold"/>
        <w:keepNext/>
      </w:pPr>
      <w:r w:rsidRPr="009B29E9">
        <w:t>Betragtning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C4EFF" w:rsidRPr="009B29E9" w14:paraId="26A7398A" w14:textId="77777777" w:rsidTr="00835D3A">
        <w:trPr>
          <w:jc w:val="center"/>
        </w:trPr>
        <w:tc>
          <w:tcPr>
            <w:tcW w:w="9752" w:type="dxa"/>
            <w:gridSpan w:val="2"/>
          </w:tcPr>
          <w:p w14:paraId="10123C7D" w14:textId="77777777" w:rsidR="00EC4EFF" w:rsidRPr="009B29E9" w:rsidRDefault="00EC4EFF" w:rsidP="00835D3A">
            <w:pPr>
              <w:keepNext/>
            </w:pPr>
          </w:p>
        </w:tc>
      </w:tr>
      <w:tr w:rsidR="00EC4EFF" w:rsidRPr="009B29E9" w14:paraId="2F2E1676" w14:textId="77777777" w:rsidTr="00835D3A">
        <w:trPr>
          <w:jc w:val="center"/>
        </w:trPr>
        <w:tc>
          <w:tcPr>
            <w:tcW w:w="4876" w:type="dxa"/>
          </w:tcPr>
          <w:p w14:paraId="78572A76" w14:textId="77777777" w:rsidR="00EC4EFF" w:rsidRPr="009B29E9" w:rsidRDefault="00EC4EFF" w:rsidP="00835D3A">
            <w:pPr>
              <w:pStyle w:val="AmColumnHeading"/>
              <w:keepNext/>
            </w:pPr>
            <w:r w:rsidRPr="009B29E9">
              <w:t>Udkast fra Den Europæiske Centralbank</w:t>
            </w:r>
          </w:p>
        </w:tc>
        <w:tc>
          <w:tcPr>
            <w:tcW w:w="4876" w:type="dxa"/>
          </w:tcPr>
          <w:p w14:paraId="4304EE13" w14:textId="2BF1950A" w:rsidR="00EC4EFF" w:rsidRPr="009B29E9" w:rsidRDefault="007327C8" w:rsidP="00835D3A">
            <w:pPr>
              <w:pStyle w:val="AmColumnHeading"/>
              <w:keepNext/>
            </w:pPr>
            <w:r>
              <w:t>Ændring</w:t>
            </w:r>
          </w:p>
        </w:tc>
      </w:tr>
      <w:tr w:rsidR="00EC4EFF" w:rsidRPr="009B29E9" w14:paraId="29C605D6" w14:textId="77777777" w:rsidTr="00835D3A">
        <w:trPr>
          <w:jc w:val="center"/>
        </w:trPr>
        <w:tc>
          <w:tcPr>
            <w:tcW w:w="4876" w:type="dxa"/>
          </w:tcPr>
          <w:p w14:paraId="16207241" w14:textId="77777777" w:rsidR="00EC4EFF" w:rsidRPr="009B29E9" w:rsidRDefault="00EC4EFF" w:rsidP="00835D3A">
            <w:pPr>
              <w:pStyle w:val="Normal6a"/>
            </w:pPr>
            <w:r w:rsidRPr="009B29E9">
              <w:t>(9)</w:t>
            </w:r>
            <w:r w:rsidRPr="009B29E9">
              <w:tab/>
              <w:t xml:space="preserve">Den fortrolige statistiske information, som ECB og de nationale centralbanker modtager med henblik på udførelsen af </w:t>
            </w:r>
            <w:proofErr w:type="spellStart"/>
            <w:r w:rsidRPr="009B29E9">
              <w:t>ESCB's</w:t>
            </w:r>
            <w:proofErr w:type="spellEnd"/>
            <w:r w:rsidRPr="009B29E9">
              <w:t xml:space="preserve"> opgaver, skal beskyttes for at forhindre ulovlig brug og videregivelse heraf. Ikke desto mindre bør fortrolighedsordningen revideres og præciseres for at sikre, at ECB og de nationale centralbanker anvender og udveksler fortrolig statistisk information med hinanden til udførelse af </w:t>
            </w:r>
            <w:proofErr w:type="spellStart"/>
            <w:r w:rsidRPr="009B29E9">
              <w:t>ESCB's</w:t>
            </w:r>
            <w:proofErr w:type="spellEnd"/>
            <w:r w:rsidRPr="009B29E9">
              <w:t xml:space="preserve"> </w:t>
            </w:r>
            <w:r w:rsidRPr="009B29E9">
              <w:lastRenderedPageBreak/>
              <w:t>opgaver i henhold til traktaten og til effektiv udvikling, udarbejdelse eller formidling af statistikker eller til forbedring af deres kvalitet. Disse revisioner er nødvendige for at sikre, at ECB kan indsamle oplysningerne med bistand fra de nationale centralbanker i overensstemmelse med engangsprincippet. For at mindske behovet for overlappende statistiske og reguleringsmæssige rapporteringskrav, lette samarbejdet mellem medlemsstaternes og Unionens myndigheder og organer og mindske unødvendige administrative byrder bør medlemmerne af ESCB desuden være forpligtet til at dele fortrolig statistisk information med visse myndigheder og organer med henblik på udførelsen af deres opgaver i forbindelse med tilsyn og det finansielle systems stabilitet og med medlemmerne af det europæiske statistiske system (ESS). Medlemmerne af ESCB bør have fleksibiliteten til at dele fortrolig statistisk information med andre myndigheder og organer i medlemsstaterne og i Unionen eller med forskere, der er tilknyttet videnskabelige forskningsorganer, under særlige omstændigheder. Et specifikt og reduceret sæt af fortrolige statistiske oplysninger kan også deles med rapporteringsenhederne, hvor det er nødvendigt til bestemte statistiske formål, eller hvor kilderne er tilgængelige for en rapporteringsenhed, for eksempel når sådanne oplysninger rapporteres af en enhed, der kontrolleres af en rapporteringsenhed eller dens filialer. For at bevare rapporteringsenhedernes tillid bør der være konsekvente ordninger til beskyttelse af fortrolig statistisk information og øget gennemsigtighed hvad angår det, som statistiske oplysninger kan anvendes til.</w:t>
            </w:r>
          </w:p>
        </w:tc>
        <w:tc>
          <w:tcPr>
            <w:tcW w:w="4876" w:type="dxa"/>
          </w:tcPr>
          <w:p w14:paraId="75CBE2BB" w14:textId="77777777" w:rsidR="00EC4EFF" w:rsidRPr="009B29E9" w:rsidRDefault="00EC4EFF" w:rsidP="00835D3A">
            <w:pPr>
              <w:pStyle w:val="Normal6a"/>
              <w:rPr>
                <w:szCs w:val="24"/>
              </w:rPr>
            </w:pPr>
            <w:r w:rsidRPr="009B29E9">
              <w:lastRenderedPageBreak/>
              <w:t>(9)</w:t>
            </w:r>
            <w:r w:rsidRPr="009B29E9">
              <w:tab/>
              <w:t xml:space="preserve">Den fortrolige statistiske information, som ECB og de nationale centralbanker modtager med henblik på udførelsen af </w:t>
            </w:r>
            <w:proofErr w:type="spellStart"/>
            <w:r w:rsidRPr="009B29E9">
              <w:t>ESCB's</w:t>
            </w:r>
            <w:proofErr w:type="spellEnd"/>
            <w:r w:rsidRPr="009B29E9">
              <w:t xml:space="preserve"> opgaver, skal beskyttes for at forhindre ulovlig brug og videregivelse heraf. Ikke desto mindre bør fortrolighedsordningen revideres og præciseres for at sikre, at ECB og de nationale centralbanker anvender og udveksler fortrolig statistisk information med hinanden til udførelse af </w:t>
            </w:r>
            <w:proofErr w:type="spellStart"/>
            <w:r w:rsidRPr="009B29E9">
              <w:t>ESCB's</w:t>
            </w:r>
            <w:proofErr w:type="spellEnd"/>
            <w:r w:rsidRPr="009B29E9">
              <w:t xml:space="preserve"> </w:t>
            </w:r>
            <w:r w:rsidRPr="009B29E9">
              <w:lastRenderedPageBreak/>
              <w:t xml:space="preserve">opgaver i henhold til traktaten og til effektiv udvikling, udarbejdelse eller formidling af statistikker eller til forbedring af deres kvalitet. Disse revisioner er nødvendige for at sikre, at ECB kan indsamle oplysningerne med bistand fra de nationale centralbanker i overensstemmelse med engangsprincippet. For at mindske behovet for overlappende statistiske og reguleringsmæssige rapporteringskrav, lette samarbejdet mellem medlemsstaternes og Unionens myndigheder og organer og mindske unødvendige administrative byrder bør medlemmerne af ESCB desuden være forpligtet til at dele fortrolig statistisk information med visse myndigheder og organer med henblik på udførelsen af deres opgaver i forbindelse med tilsyn og det finansielle systems stabilitet og med medlemmerne af det europæiske statistiske system (ESS). Medlemmerne af ESCB bør have fleksibiliteten til at dele fortrolig statistisk information med andre myndigheder og organer i medlemsstaterne og i Unionen eller med forskere, der er tilknyttet videnskabelige forskningsorganer, under særlige omstændigheder. Et specifikt og reduceret sæt af fortrolige statistiske oplysninger kan også deles med rapporteringsenhederne, hvor det er nødvendigt til bestemte statistiske formål, eller hvor kilderne er tilgængelige for en rapporteringsenhed, for eksempel når sådanne oplysninger rapporteres af en enhed, der kontrolleres af en rapporteringsenhed eller dens filialer. For at bevare rapporteringsenhedernes tillid bør der være konsekvente ordninger til beskyttelse af fortrolig statistisk information og øget gennemsigtighed hvad angår det, som statistiske oplysninger kan anvendes til. </w:t>
            </w:r>
            <w:r w:rsidRPr="009B29E9">
              <w:rPr>
                <w:b/>
                <w:i/>
              </w:rPr>
              <w:t xml:space="preserve">For at fremme uafhængig forskning og kontrol bør ECB og de nationale centralbanker stille fortrolig statistisk information fra de vigtigste ESCB-datasæt til rådighed for akkrediterede forskere, når en sådan adgang kan gives uden risiko for videregivelse. Dette vil forbedre den analytiske anvendelse af statistikker til </w:t>
            </w:r>
            <w:r w:rsidRPr="009B29E9">
              <w:rPr>
                <w:b/>
                <w:i/>
              </w:rPr>
              <w:lastRenderedPageBreak/>
              <w:t>evidensbaseret politikudformning i hele euroområdet, samtidig med at datafortroligheden bevares.</w:t>
            </w:r>
          </w:p>
        </w:tc>
      </w:tr>
    </w:tbl>
    <w:p w14:paraId="2CDABDC8" w14:textId="77777777" w:rsidR="00EC4EFF" w:rsidRPr="009B29E9" w:rsidRDefault="00EC4EFF" w:rsidP="00EC4EFF"/>
    <w:p w14:paraId="5EAF6FBB" w14:textId="17290668" w:rsidR="00EC4EFF" w:rsidRPr="009B29E9" w:rsidRDefault="007327C8" w:rsidP="00EC4EFF">
      <w:pPr>
        <w:pStyle w:val="AmNumberTabs"/>
        <w:keepNext/>
      </w:pPr>
      <w:r>
        <w:t>Ændring</w:t>
      </w:r>
      <w:r w:rsidR="00EC4EFF" w:rsidRPr="009B29E9">
        <w:tab/>
      </w:r>
      <w:r w:rsidR="00EC4EFF" w:rsidRPr="009B29E9">
        <w:tab/>
        <w:t>6</w:t>
      </w:r>
    </w:p>
    <w:p w14:paraId="0B5E3D1E" w14:textId="77777777" w:rsidR="00EC4EFF" w:rsidRPr="009B29E9" w:rsidRDefault="00EC4EFF" w:rsidP="00EC4EFF">
      <w:pPr>
        <w:pStyle w:val="NormalBold12b"/>
        <w:keepNext/>
      </w:pPr>
      <w:r w:rsidRPr="009B29E9">
        <w:t>Udkast til forordning</w:t>
      </w:r>
    </w:p>
    <w:p w14:paraId="395B55C1" w14:textId="77777777" w:rsidR="00EC4EFF" w:rsidRPr="009B29E9" w:rsidRDefault="00EC4EFF" w:rsidP="00EC4EFF">
      <w:pPr>
        <w:pStyle w:val="NormalBold"/>
        <w:keepNext/>
        <w:rPr>
          <w:rFonts w:eastAsiaTheme="majorEastAsia"/>
        </w:rPr>
      </w:pPr>
      <w:r w:rsidRPr="009B29E9">
        <w:t>Artikel 1 –stk. 1 – nr. 2 – litra a (nyt)</w:t>
      </w:r>
    </w:p>
    <w:p w14:paraId="7FF5AD3E" w14:textId="77777777" w:rsidR="00EC4EFF" w:rsidRPr="009B29E9" w:rsidRDefault="00EC4EFF" w:rsidP="00EC4EFF">
      <w:pPr>
        <w:widowControl/>
      </w:pPr>
      <w:r w:rsidRPr="009B29E9">
        <w:t>Forordning (EF) nr. 2533/98</w:t>
      </w:r>
    </w:p>
    <w:p w14:paraId="0F042574" w14:textId="77777777" w:rsidR="00EC4EFF" w:rsidRPr="009B29E9" w:rsidRDefault="00EC4EFF" w:rsidP="00EC4EFF">
      <w:pPr>
        <w:widowControl/>
      </w:pPr>
      <w:r w:rsidRPr="009B29E9">
        <w:t>Artikel 2 – stk.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C4EFF" w:rsidRPr="009B29E9" w14:paraId="60942F23" w14:textId="77777777" w:rsidTr="00835D3A">
        <w:trPr>
          <w:jc w:val="center"/>
        </w:trPr>
        <w:tc>
          <w:tcPr>
            <w:tcW w:w="9752" w:type="dxa"/>
            <w:gridSpan w:val="2"/>
          </w:tcPr>
          <w:p w14:paraId="2D1D856B" w14:textId="77777777" w:rsidR="00EC4EFF" w:rsidRPr="009B29E9" w:rsidRDefault="00EC4EFF" w:rsidP="00835D3A">
            <w:pPr>
              <w:keepNext/>
            </w:pPr>
          </w:p>
        </w:tc>
      </w:tr>
      <w:tr w:rsidR="00EC4EFF" w:rsidRPr="009B29E9" w14:paraId="5F4B51C9" w14:textId="77777777" w:rsidTr="00835D3A">
        <w:trPr>
          <w:jc w:val="center"/>
        </w:trPr>
        <w:tc>
          <w:tcPr>
            <w:tcW w:w="4876" w:type="dxa"/>
          </w:tcPr>
          <w:p w14:paraId="2FE146AE" w14:textId="77777777" w:rsidR="00EC4EFF" w:rsidRPr="009B29E9" w:rsidRDefault="00EC4EFF" w:rsidP="00835D3A">
            <w:pPr>
              <w:pStyle w:val="AmColumnHeading"/>
              <w:keepNext/>
            </w:pPr>
            <w:r w:rsidRPr="009B29E9">
              <w:t>Gældende ordlyd</w:t>
            </w:r>
          </w:p>
        </w:tc>
        <w:tc>
          <w:tcPr>
            <w:tcW w:w="4876" w:type="dxa"/>
          </w:tcPr>
          <w:p w14:paraId="70614970" w14:textId="1D7A46C0" w:rsidR="00EC4EFF" w:rsidRPr="009B29E9" w:rsidRDefault="007327C8" w:rsidP="00835D3A">
            <w:pPr>
              <w:pStyle w:val="AmColumnHeading"/>
              <w:keepNext/>
            </w:pPr>
            <w:r>
              <w:t>Ændring</w:t>
            </w:r>
          </w:p>
        </w:tc>
      </w:tr>
      <w:tr w:rsidR="00EC4EFF" w:rsidRPr="009B29E9" w14:paraId="0432957E" w14:textId="77777777" w:rsidTr="00835D3A">
        <w:trPr>
          <w:jc w:val="center"/>
        </w:trPr>
        <w:tc>
          <w:tcPr>
            <w:tcW w:w="4876" w:type="dxa"/>
          </w:tcPr>
          <w:p w14:paraId="678D6ED9" w14:textId="77777777" w:rsidR="00EC4EFF" w:rsidRPr="009B29E9" w:rsidRDefault="00EC4EFF" w:rsidP="00835D3A">
            <w:pPr>
              <w:pStyle w:val="Normal6a"/>
            </w:pPr>
          </w:p>
        </w:tc>
        <w:tc>
          <w:tcPr>
            <w:tcW w:w="4876" w:type="dxa"/>
          </w:tcPr>
          <w:p w14:paraId="37E26B13" w14:textId="67F2D267" w:rsidR="00EC4EFF" w:rsidRPr="009B29E9" w:rsidRDefault="00E863A9" w:rsidP="00835D3A">
            <w:pPr>
              <w:pStyle w:val="Normal6a"/>
              <w:rPr>
                <w:szCs w:val="24"/>
              </w:rPr>
            </w:pPr>
            <w:r>
              <w:rPr>
                <w:b/>
                <w:i/>
              </w:rPr>
              <w:t>-</w:t>
            </w:r>
            <w:r w:rsidR="00EC4EFF" w:rsidRPr="009B29E9">
              <w:rPr>
                <w:b/>
                <w:i/>
              </w:rPr>
              <w:t>a)</w:t>
            </w:r>
            <w:r w:rsidR="00EC4EFF" w:rsidRPr="009B29E9">
              <w:rPr>
                <w:b/>
                <w:i/>
              </w:rPr>
              <w:tab/>
              <w:t>Stk. 1 affattes således:</w:t>
            </w:r>
          </w:p>
        </w:tc>
      </w:tr>
      <w:tr w:rsidR="00EC4EFF" w:rsidRPr="009B29E9" w14:paraId="19882E74" w14:textId="77777777" w:rsidTr="00835D3A">
        <w:trPr>
          <w:jc w:val="center"/>
        </w:trPr>
        <w:tc>
          <w:tcPr>
            <w:tcW w:w="4876" w:type="dxa"/>
          </w:tcPr>
          <w:p w14:paraId="239DB13B" w14:textId="77777777" w:rsidR="00EC4EFF" w:rsidRPr="009B29E9" w:rsidRDefault="00EC4EFF" w:rsidP="00835D3A">
            <w:pPr>
              <w:pStyle w:val="Normal6a"/>
            </w:pPr>
            <w:r w:rsidRPr="009B29E9">
              <w:t>1.</w:t>
            </w:r>
            <w:r w:rsidRPr="009B29E9">
              <w:tab/>
              <w:t xml:space="preserve">Med henblik på opfyldelse af </w:t>
            </w:r>
            <w:proofErr w:type="spellStart"/>
            <w:r w:rsidRPr="009B29E9">
              <w:t>ECB's</w:t>
            </w:r>
            <w:proofErr w:type="spellEnd"/>
            <w:r w:rsidRPr="009B29E9">
              <w:t xml:space="preserve"> statistiske rapporteringskrav har ECB, med støtte fra de nationale centralbanker i overensstemmelse med statuttens artikel </w:t>
            </w:r>
            <w:r w:rsidRPr="00F61681">
              <w:rPr>
                <w:b/>
                <w:bCs/>
                <w:i/>
                <w:iCs/>
              </w:rPr>
              <w:t>5.2,</w:t>
            </w:r>
            <w:r w:rsidRPr="009B29E9">
              <w:t xml:space="preserve"> beføjelse til at indsamle statistisk information inden for grænserne af referencerapporteringspopulationen og af, hvad der er nødvendigt for at udføre </w:t>
            </w:r>
            <w:proofErr w:type="spellStart"/>
            <w:r w:rsidRPr="009B29E9">
              <w:t>ESCB's</w:t>
            </w:r>
            <w:proofErr w:type="spellEnd"/>
            <w:r w:rsidRPr="009B29E9">
              <w:t xml:space="preserve"> opgaver. </w:t>
            </w:r>
            <w:r w:rsidRPr="009B29E9">
              <w:rPr>
                <w:b/>
                <w:i/>
              </w:rPr>
              <w:t>Der</w:t>
            </w:r>
            <w:r w:rsidRPr="009B29E9">
              <w:t xml:space="preserve"> kan </w:t>
            </w:r>
            <w:r w:rsidRPr="009B29E9">
              <w:rPr>
                <w:b/>
                <w:i/>
              </w:rPr>
              <w:t>navnlig</w:t>
            </w:r>
            <w:r w:rsidRPr="009B29E9">
              <w:t xml:space="preserve"> indsamles information inden for monetær og finansiel statistik, pengeseddelstatistik, betalings- og betalingssystemstatistik, statistik over finansiel stabilitet, betalingsbalancestatistik og statistik vedrørende kapitalbalancen over for udlandet. Når det er nødvendigt for udførelsen af </w:t>
            </w:r>
            <w:proofErr w:type="spellStart"/>
            <w:r w:rsidRPr="009B29E9">
              <w:t>ESCB's</w:t>
            </w:r>
            <w:proofErr w:type="spellEnd"/>
            <w:r w:rsidRPr="009B29E9">
              <w:t xml:space="preserve"> opgaver, kan yderligere information indsamles også på andre områder i behørigt begrundede tilfælde. Den information, der indsamles for at opfylde </w:t>
            </w:r>
            <w:proofErr w:type="spellStart"/>
            <w:r w:rsidRPr="009B29E9">
              <w:t>ECB's</w:t>
            </w:r>
            <w:proofErr w:type="spellEnd"/>
            <w:r w:rsidRPr="009B29E9">
              <w:t xml:space="preserve"> statistiske rapporteringskrav, skal nærmere angives i </w:t>
            </w:r>
            <w:proofErr w:type="spellStart"/>
            <w:r w:rsidRPr="009B29E9">
              <w:t>ESCB's</w:t>
            </w:r>
            <w:proofErr w:type="spellEnd"/>
            <w:r w:rsidRPr="009B29E9">
              <w:t xml:space="preserve"> statistiske arbejdsprogram.</w:t>
            </w:r>
          </w:p>
        </w:tc>
        <w:tc>
          <w:tcPr>
            <w:tcW w:w="4876" w:type="dxa"/>
          </w:tcPr>
          <w:p w14:paraId="73A4EF95" w14:textId="1A8F0C02" w:rsidR="00EC4EFF" w:rsidRPr="009B29E9" w:rsidRDefault="00EC4EFF" w:rsidP="00835D3A">
            <w:pPr>
              <w:pStyle w:val="Normal6a"/>
            </w:pPr>
            <w:r w:rsidRPr="009B29E9">
              <w:t>1.</w:t>
            </w:r>
            <w:r w:rsidRPr="009B29E9">
              <w:tab/>
              <w:t xml:space="preserve">Med henblik på opfyldelse af </w:t>
            </w:r>
            <w:proofErr w:type="spellStart"/>
            <w:r w:rsidRPr="009B29E9">
              <w:t>ECB's</w:t>
            </w:r>
            <w:proofErr w:type="spellEnd"/>
            <w:r w:rsidRPr="009B29E9">
              <w:t xml:space="preserve"> statistiske rapporteringskrav har ECB, med støtte fra de nationale centralbanker i overensstemmelse med statuttens artikel </w:t>
            </w:r>
            <w:r w:rsidRPr="00F61681">
              <w:rPr>
                <w:b/>
                <w:bCs/>
                <w:i/>
                <w:iCs/>
              </w:rPr>
              <w:t>5</w:t>
            </w:r>
            <w:r w:rsidR="005307B5" w:rsidRPr="00F61681">
              <w:rPr>
                <w:b/>
                <w:bCs/>
                <w:i/>
                <w:iCs/>
              </w:rPr>
              <w:t>, stk</w:t>
            </w:r>
            <w:r w:rsidRPr="00F61681">
              <w:rPr>
                <w:b/>
                <w:bCs/>
                <w:i/>
                <w:iCs/>
              </w:rPr>
              <w:t>.</w:t>
            </w:r>
            <w:r w:rsidR="005307B5" w:rsidRPr="00F61681">
              <w:rPr>
                <w:b/>
                <w:bCs/>
                <w:i/>
                <w:iCs/>
              </w:rPr>
              <w:t xml:space="preserve"> </w:t>
            </w:r>
            <w:r w:rsidRPr="00F61681">
              <w:rPr>
                <w:b/>
                <w:bCs/>
                <w:i/>
                <w:iCs/>
              </w:rPr>
              <w:t>2,</w:t>
            </w:r>
            <w:r w:rsidRPr="009B29E9">
              <w:t xml:space="preserve"> beføjelse til at indsamle statistisk information inden for grænserne af referencerapporteringspopulationen og af, hvad der er nødvendigt for at udføre </w:t>
            </w:r>
            <w:proofErr w:type="spellStart"/>
            <w:r w:rsidRPr="009B29E9">
              <w:t>ESCB's</w:t>
            </w:r>
            <w:proofErr w:type="spellEnd"/>
            <w:r w:rsidRPr="009B29E9">
              <w:t xml:space="preserve"> opgaver. </w:t>
            </w:r>
            <w:r w:rsidRPr="009B29E9">
              <w:rPr>
                <w:b/>
                <w:i/>
              </w:rPr>
              <w:t>For bedre at kunne reagere på de akutte og kommende udfordringer</w:t>
            </w:r>
            <w:r w:rsidRPr="009B29E9">
              <w:t xml:space="preserve"> kan </w:t>
            </w:r>
            <w:r w:rsidRPr="009B29E9">
              <w:rPr>
                <w:b/>
                <w:i/>
              </w:rPr>
              <w:t>der</w:t>
            </w:r>
            <w:r w:rsidRPr="009B29E9">
              <w:t xml:space="preserve"> indsamles information</w:t>
            </w:r>
            <w:r w:rsidRPr="009B29E9">
              <w:rPr>
                <w:b/>
                <w:i/>
              </w:rPr>
              <w:t>, navnlig</w:t>
            </w:r>
            <w:r w:rsidRPr="009B29E9">
              <w:t xml:space="preserve"> inden for monetær og finansiel statistik, pengeseddelstatistik, betalings- og betalingssystemstatistik, statistik over finansiel stabilitet, betalingsbalancestatistik</w:t>
            </w:r>
            <w:r w:rsidRPr="009B29E9">
              <w:rPr>
                <w:b/>
                <w:i/>
              </w:rPr>
              <w:t>, makroøkonomiske indikatorer</w:t>
            </w:r>
            <w:r w:rsidRPr="009B29E9">
              <w:t xml:space="preserve"> og statistik vedrørende kapitalbalancen over for udlandet. Når det er nødvendigt for udførelsen af </w:t>
            </w:r>
            <w:proofErr w:type="spellStart"/>
            <w:r w:rsidRPr="009B29E9">
              <w:t>ESCB's</w:t>
            </w:r>
            <w:proofErr w:type="spellEnd"/>
            <w:r w:rsidRPr="009B29E9">
              <w:t xml:space="preserve"> opgaver, kan yderligere information indsamles også på andre områder i behørigt begrundede tilfælde. Den information, der indsamles for at opfylde </w:t>
            </w:r>
            <w:proofErr w:type="spellStart"/>
            <w:r w:rsidRPr="009B29E9">
              <w:t>ECB's</w:t>
            </w:r>
            <w:proofErr w:type="spellEnd"/>
            <w:r w:rsidRPr="009B29E9">
              <w:t xml:space="preserve"> statistiske rapporteringskrav, skal nærmere angives i </w:t>
            </w:r>
            <w:proofErr w:type="spellStart"/>
            <w:r w:rsidRPr="009B29E9">
              <w:t>ESCB's</w:t>
            </w:r>
            <w:proofErr w:type="spellEnd"/>
            <w:r w:rsidRPr="009B29E9">
              <w:t xml:space="preserve"> statistiske arbejdsprogram.</w:t>
            </w:r>
          </w:p>
        </w:tc>
      </w:tr>
    </w:tbl>
    <w:p w14:paraId="186ACD6B" w14:textId="77777777" w:rsidR="00EC4EFF" w:rsidRPr="009B29E9" w:rsidRDefault="00EC4EFF" w:rsidP="00EC4EFF"/>
    <w:p w14:paraId="54573AF7" w14:textId="46D9A196" w:rsidR="00EC4EFF" w:rsidRPr="009B29E9" w:rsidRDefault="007327C8" w:rsidP="00EC4EFF">
      <w:pPr>
        <w:pStyle w:val="AmNumberTabs"/>
        <w:keepNext/>
      </w:pPr>
      <w:r>
        <w:t>Ændring</w:t>
      </w:r>
      <w:r w:rsidR="00EC4EFF" w:rsidRPr="009B29E9">
        <w:tab/>
      </w:r>
      <w:r w:rsidR="00EC4EFF" w:rsidRPr="009B29E9">
        <w:tab/>
        <w:t>7</w:t>
      </w:r>
    </w:p>
    <w:p w14:paraId="317DFF4E" w14:textId="77777777" w:rsidR="00EC4EFF" w:rsidRPr="009B29E9" w:rsidRDefault="00EC4EFF" w:rsidP="00EC4EFF">
      <w:pPr>
        <w:pStyle w:val="NormalBold12b"/>
        <w:keepNext/>
      </w:pPr>
      <w:r w:rsidRPr="009B29E9">
        <w:t>Udkast til forordning</w:t>
      </w:r>
    </w:p>
    <w:p w14:paraId="49B82A8D" w14:textId="77777777" w:rsidR="00EC4EFF" w:rsidRPr="009B29E9" w:rsidRDefault="00EC4EFF" w:rsidP="00EC4EFF">
      <w:pPr>
        <w:pStyle w:val="NormalBold"/>
        <w:keepNext/>
        <w:rPr>
          <w:rFonts w:eastAsiaTheme="majorEastAsia"/>
        </w:rPr>
      </w:pPr>
      <w:r w:rsidRPr="009B29E9">
        <w:t>Artikel 1 – stk. 1 – nr. 3</w:t>
      </w:r>
    </w:p>
    <w:p w14:paraId="39454D8C" w14:textId="77777777" w:rsidR="00EC4EFF" w:rsidRPr="009B29E9" w:rsidRDefault="00EC4EFF" w:rsidP="00EC4EFF">
      <w:pPr>
        <w:widowControl/>
      </w:pPr>
      <w:r w:rsidRPr="009B29E9">
        <w:t>Forordning (EF) nr. 2533/98</w:t>
      </w:r>
    </w:p>
    <w:p w14:paraId="32BCC409" w14:textId="77777777" w:rsidR="00EC4EFF" w:rsidRPr="009B29E9" w:rsidRDefault="00EC4EFF" w:rsidP="00EC4EFF">
      <w:pPr>
        <w:widowControl/>
      </w:pPr>
      <w:r w:rsidRPr="009B29E9">
        <w:t>Artikel 3 – stk. 1 – afsnit 1 – litra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C4EFF" w:rsidRPr="009B29E9" w14:paraId="7600D985" w14:textId="77777777" w:rsidTr="00835D3A">
        <w:trPr>
          <w:jc w:val="center"/>
        </w:trPr>
        <w:tc>
          <w:tcPr>
            <w:tcW w:w="9752" w:type="dxa"/>
            <w:gridSpan w:val="2"/>
          </w:tcPr>
          <w:p w14:paraId="0EB94E63" w14:textId="77777777" w:rsidR="00EC4EFF" w:rsidRPr="009B29E9" w:rsidRDefault="00EC4EFF" w:rsidP="00835D3A">
            <w:pPr>
              <w:keepNext/>
            </w:pPr>
          </w:p>
        </w:tc>
      </w:tr>
      <w:tr w:rsidR="00EC4EFF" w:rsidRPr="009B29E9" w14:paraId="445B00A9" w14:textId="77777777" w:rsidTr="00835D3A">
        <w:trPr>
          <w:jc w:val="center"/>
        </w:trPr>
        <w:tc>
          <w:tcPr>
            <w:tcW w:w="4876" w:type="dxa"/>
          </w:tcPr>
          <w:p w14:paraId="19A5ADF1" w14:textId="77777777" w:rsidR="00EC4EFF" w:rsidRPr="009B29E9" w:rsidRDefault="00EC4EFF" w:rsidP="00835D3A">
            <w:pPr>
              <w:pStyle w:val="AmColumnHeading"/>
              <w:keepNext/>
            </w:pPr>
            <w:r w:rsidRPr="009B29E9">
              <w:t>Udkast fra Den Europæiske Centralbank</w:t>
            </w:r>
          </w:p>
        </w:tc>
        <w:tc>
          <w:tcPr>
            <w:tcW w:w="4876" w:type="dxa"/>
          </w:tcPr>
          <w:p w14:paraId="040EBC50" w14:textId="208282CC" w:rsidR="00EC4EFF" w:rsidRPr="009B29E9" w:rsidRDefault="007327C8" w:rsidP="00835D3A">
            <w:pPr>
              <w:pStyle w:val="AmColumnHeading"/>
              <w:keepNext/>
            </w:pPr>
            <w:r>
              <w:t>Ændring</w:t>
            </w:r>
          </w:p>
        </w:tc>
      </w:tr>
      <w:tr w:rsidR="00EC4EFF" w:rsidRPr="009B29E9" w14:paraId="14633573" w14:textId="77777777" w:rsidTr="00835D3A">
        <w:trPr>
          <w:jc w:val="center"/>
        </w:trPr>
        <w:tc>
          <w:tcPr>
            <w:tcW w:w="4876" w:type="dxa"/>
          </w:tcPr>
          <w:p w14:paraId="723524B0" w14:textId="77777777" w:rsidR="00EC4EFF" w:rsidRPr="009B29E9" w:rsidRDefault="00EC4EFF" w:rsidP="00835D3A">
            <w:pPr>
              <w:pStyle w:val="Normal6a"/>
            </w:pPr>
            <w:r w:rsidRPr="009B29E9">
              <w:t>a)</w:t>
            </w:r>
            <w:r w:rsidRPr="009B29E9">
              <w:tab/>
              <w:t>skal ECB anvende eksisterende statistikker i videst muligt omfang</w:t>
            </w:r>
          </w:p>
        </w:tc>
        <w:tc>
          <w:tcPr>
            <w:tcW w:w="4876" w:type="dxa"/>
          </w:tcPr>
          <w:p w14:paraId="7BCD7735" w14:textId="77777777" w:rsidR="00EC4EFF" w:rsidRPr="009B29E9" w:rsidRDefault="00EC4EFF" w:rsidP="00835D3A">
            <w:pPr>
              <w:pStyle w:val="Normal6a"/>
              <w:rPr>
                <w:szCs w:val="24"/>
              </w:rPr>
            </w:pPr>
            <w:r w:rsidRPr="009B29E9">
              <w:t>a)</w:t>
            </w:r>
            <w:r w:rsidRPr="009B29E9">
              <w:tab/>
              <w:t>skal ECB anvende eksisterende statistikker i videst muligt omfang</w:t>
            </w:r>
            <w:r w:rsidRPr="009B29E9">
              <w:rPr>
                <w:b/>
                <w:i/>
              </w:rPr>
              <w:t xml:space="preserve"> i overensstemmelse med engangsprincippet og understøttet af digitale løsninger, hvor det er relevant</w:t>
            </w:r>
          </w:p>
        </w:tc>
      </w:tr>
    </w:tbl>
    <w:p w14:paraId="5BA8D5C1" w14:textId="77777777" w:rsidR="003D35BB" w:rsidRPr="009B29E9" w:rsidRDefault="003D35BB" w:rsidP="003D35BB"/>
    <w:p w14:paraId="3D0646BB" w14:textId="44912EE8" w:rsidR="00EC4EFF" w:rsidRPr="009B29E9" w:rsidRDefault="007327C8" w:rsidP="00EC4EFF">
      <w:pPr>
        <w:pStyle w:val="AmNumberTabs"/>
        <w:keepNext/>
      </w:pPr>
      <w:r>
        <w:t>Ændring</w:t>
      </w:r>
      <w:r w:rsidR="00EC4EFF" w:rsidRPr="009B29E9">
        <w:tab/>
      </w:r>
      <w:r w:rsidR="00EC4EFF" w:rsidRPr="009B29E9">
        <w:tab/>
        <w:t>8</w:t>
      </w:r>
    </w:p>
    <w:p w14:paraId="34D4587D" w14:textId="77777777" w:rsidR="00EC4EFF" w:rsidRPr="009B29E9" w:rsidRDefault="00EC4EFF" w:rsidP="00EC4EFF">
      <w:pPr>
        <w:pStyle w:val="NormalBold12b"/>
        <w:keepNext/>
      </w:pPr>
      <w:r w:rsidRPr="009B29E9">
        <w:t>Udkast til forordning</w:t>
      </w:r>
    </w:p>
    <w:p w14:paraId="5153841B" w14:textId="77777777" w:rsidR="00EC4EFF" w:rsidRPr="009B29E9" w:rsidRDefault="00EC4EFF" w:rsidP="00EC4EFF">
      <w:pPr>
        <w:pStyle w:val="NormalBold"/>
        <w:keepNext/>
        <w:rPr>
          <w:rFonts w:eastAsiaTheme="majorEastAsia"/>
        </w:rPr>
      </w:pPr>
      <w:r w:rsidRPr="009B29E9">
        <w:t>Artikel 1 – stk. 1 – nr. 3</w:t>
      </w:r>
    </w:p>
    <w:p w14:paraId="0BFFF1B4" w14:textId="77777777" w:rsidR="00EC4EFF" w:rsidRPr="009B29E9" w:rsidRDefault="00EC4EFF" w:rsidP="00EC4EFF">
      <w:pPr>
        <w:widowControl/>
      </w:pPr>
      <w:r w:rsidRPr="009B29E9">
        <w:t>Forordning (EF) nr. 2533/98</w:t>
      </w:r>
    </w:p>
    <w:p w14:paraId="74E83D76" w14:textId="77777777" w:rsidR="00EC4EFF" w:rsidRPr="009B29E9" w:rsidRDefault="00EC4EFF" w:rsidP="00EC4EFF">
      <w:pPr>
        <w:widowControl/>
      </w:pPr>
      <w:r w:rsidRPr="009B29E9">
        <w:t>Artikel 3 – stk. 1 – afsnit 1 – litra b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C4EFF" w:rsidRPr="009B29E9" w14:paraId="42B8BD15" w14:textId="77777777" w:rsidTr="00835D3A">
        <w:trPr>
          <w:jc w:val="center"/>
        </w:trPr>
        <w:tc>
          <w:tcPr>
            <w:tcW w:w="9752" w:type="dxa"/>
            <w:gridSpan w:val="2"/>
          </w:tcPr>
          <w:p w14:paraId="0C8AC51E" w14:textId="77777777" w:rsidR="00EC4EFF" w:rsidRPr="009B29E9" w:rsidRDefault="00EC4EFF" w:rsidP="00835D3A">
            <w:pPr>
              <w:keepNext/>
            </w:pPr>
          </w:p>
        </w:tc>
      </w:tr>
      <w:tr w:rsidR="00EC4EFF" w:rsidRPr="009B29E9" w14:paraId="6F81BB71" w14:textId="77777777" w:rsidTr="00835D3A">
        <w:trPr>
          <w:jc w:val="center"/>
        </w:trPr>
        <w:tc>
          <w:tcPr>
            <w:tcW w:w="4876" w:type="dxa"/>
          </w:tcPr>
          <w:p w14:paraId="443A9669" w14:textId="77777777" w:rsidR="00EC4EFF" w:rsidRPr="009B29E9" w:rsidRDefault="00EC4EFF" w:rsidP="00835D3A">
            <w:pPr>
              <w:pStyle w:val="AmColumnHeading"/>
              <w:keepNext/>
            </w:pPr>
            <w:r w:rsidRPr="009B29E9">
              <w:t>Udkast fra Den Europæiske Centralbank</w:t>
            </w:r>
          </w:p>
        </w:tc>
        <w:tc>
          <w:tcPr>
            <w:tcW w:w="4876" w:type="dxa"/>
          </w:tcPr>
          <w:p w14:paraId="16A91470" w14:textId="627789EF" w:rsidR="00EC4EFF" w:rsidRPr="009B29E9" w:rsidRDefault="007327C8" w:rsidP="00835D3A">
            <w:pPr>
              <w:pStyle w:val="AmColumnHeading"/>
              <w:keepNext/>
            </w:pPr>
            <w:r>
              <w:t>Ændring</w:t>
            </w:r>
          </w:p>
        </w:tc>
      </w:tr>
      <w:tr w:rsidR="00EC4EFF" w:rsidRPr="009B29E9" w14:paraId="6CAFEF84" w14:textId="77777777" w:rsidTr="00835D3A">
        <w:trPr>
          <w:jc w:val="center"/>
        </w:trPr>
        <w:tc>
          <w:tcPr>
            <w:tcW w:w="4876" w:type="dxa"/>
          </w:tcPr>
          <w:p w14:paraId="5F00C513" w14:textId="77777777" w:rsidR="00EC4EFF" w:rsidRPr="009B29E9" w:rsidRDefault="00EC4EFF" w:rsidP="00835D3A">
            <w:pPr>
              <w:pStyle w:val="Normal6a"/>
            </w:pPr>
          </w:p>
        </w:tc>
        <w:tc>
          <w:tcPr>
            <w:tcW w:w="4876" w:type="dxa"/>
          </w:tcPr>
          <w:p w14:paraId="3B9560D0" w14:textId="77777777" w:rsidR="00EC4EFF" w:rsidRPr="009B29E9" w:rsidRDefault="00EC4EFF" w:rsidP="00835D3A">
            <w:pPr>
              <w:pStyle w:val="Normal6a"/>
              <w:rPr>
                <w:szCs w:val="24"/>
              </w:rPr>
            </w:pPr>
            <w:proofErr w:type="spellStart"/>
            <w:r w:rsidRPr="009B29E9">
              <w:rPr>
                <w:b/>
                <w:i/>
              </w:rPr>
              <w:t>ba</w:t>
            </w:r>
            <w:proofErr w:type="spellEnd"/>
            <w:r w:rsidRPr="009B29E9">
              <w:rPr>
                <w:b/>
                <w:i/>
              </w:rPr>
              <w:t>)</w:t>
            </w:r>
            <w:r w:rsidRPr="009B29E9">
              <w:rPr>
                <w:b/>
                <w:i/>
              </w:rPr>
              <w:tab/>
              <w:t>skal ECB tage hensyn til de generelle økonomiske politikker og mål i Unionen, herunder klima- og miljøpolitikker</w:t>
            </w:r>
          </w:p>
        </w:tc>
      </w:tr>
    </w:tbl>
    <w:p w14:paraId="771D2587" w14:textId="77777777" w:rsidR="003D35BB" w:rsidRPr="009B29E9" w:rsidRDefault="003D35BB" w:rsidP="003D35BB"/>
    <w:p w14:paraId="348480A2" w14:textId="7EA4C0AE" w:rsidR="00EC4EFF" w:rsidRPr="009B29E9" w:rsidRDefault="007327C8" w:rsidP="00EC4EFF">
      <w:pPr>
        <w:pStyle w:val="AmNumberTabs"/>
        <w:keepNext/>
      </w:pPr>
      <w:r>
        <w:t>Ændring</w:t>
      </w:r>
      <w:r w:rsidR="00EC4EFF" w:rsidRPr="009B29E9">
        <w:tab/>
      </w:r>
      <w:r w:rsidR="00EC4EFF" w:rsidRPr="009B29E9">
        <w:tab/>
        <w:t>9</w:t>
      </w:r>
    </w:p>
    <w:p w14:paraId="5A478D0F" w14:textId="77777777" w:rsidR="00EC4EFF" w:rsidRPr="009B29E9" w:rsidRDefault="00EC4EFF" w:rsidP="00EC4EFF">
      <w:pPr>
        <w:pStyle w:val="NormalBold12b"/>
        <w:keepNext/>
      </w:pPr>
      <w:r w:rsidRPr="009B29E9">
        <w:t>Udkast til forordning</w:t>
      </w:r>
    </w:p>
    <w:p w14:paraId="05FB59DC" w14:textId="7A232B8A" w:rsidR="00EC4EFF" w:rsidRPr="009B29E9" w:rsidRDefault="00EC4EFF" w:rsidP="00EC4EFF">
      <w:pPr>
        <w:pStyle w:val="NormalBold"/>
        <w:keepNext/>
        <w:rPr>
          <w:rFonts w:eastAsiaTheme="majorEastAsia"/>
        </w:rPr>
      </w:pPr>
      <w:r w:rsidRPr="009B29E9">
        <w:t>Artikel 1 – stk. 1 – nr. 4 – litra b a (</w:t>
      </w:r>
      <w:r w:rsidR="003D35BB">
        <w:t>nyt</w:t>
      </w:r>
      <w:r w:rsidRPr="009B29E9">
        <w:t>)</w:t>
      </w:r>
    </w:p>
    <w:p w14:paraId="16B3057F" w14:textId="77777777" w:rsidR="00EC4EFF" w:rsidRPr="009B29E9" w:rsidRDefault="00EC4EFF" w:rsidP="00EC4EFF">
      <w:pPr>
        <w:widowControl/>
      </w:pPr>
      <w:r w:rsidRPr="009B29E9">
        <w:t>Forordning (EF) nr. 2533/98</w:t>
      </w:r>
    </w:p>
    <w:p w14:paraId="6CE691EE" w14:textId="77777777" w:rsidR="00EC4EFF" w:rsidRPr="009B29E9" w:rsidRDefault="00EC4EFF" w:rsidP="00EC4EFF">
      <w:pPr>
        <w:widowControl/>
      </w:pPr>
      <w:r w:rsidRPr="009B29E9">
        <w:t>Artikel 7 – stk. 4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C4EFF" w:rsidRPr="009B29E9" w14:paraId="1C533B75" w14:textId="77777777" w:rsidTr="00835D3A">
        <w:trPr>
          <w:jc w:val="center"/>
        </w:trPr>
        <w:tc>
          <w:tcPr>
            <w:tcW w:w="9752" w:type="dxa"/>
            <w:gridSpan w:val="2"/>
          </w:tcPr>
          <w:p w14:paraId="64794B86" w14:textId="77777777" w:rsidR="00EC4EFF" w:rsidRPr="009B29E9" w:rsidRDefault="00EC4EFF" w:rsidP="00835D3A">
            <w:pPr>
              <w:keepNext/>
            </w:pPr>
          </w:p>
        </w:tc>
      </w:tr>
      <w:tr w:rsidR="00EC4EFF" w:rsidRPr="009B29E9" w14:paraId="056E4CEB" w14:textId="77777777" w:rsidTr="00835D3A">
        <w:trPr>
          <w:jc w:val="center"/>
        </w:trPr>
        <w:tc>
          <w:tcPr>
            <w:tcW w:w="4876" w:type="dxa"/>
          </w:tcPr>
          <w:p w14:paraId="401CC0EF" w14:textId="77777777" w:rsidR="00EC4EFF" w:rsidRPr="009B29E9" w:rsidRDefault="00EC4EFF" w:rsidP="00835D3A">
            <w:pPr>
              <w:pStyle w:val="AmColumnHeading"/>
              <w:keepNext/>
            </w:pPr>
            <w:r w:rsidRPr="009B29E9">
              <w:t>Udkast fra Den Europæiske Centralbank</w:t>
            </w:r>
          </w:p>
        </w:tc>
        <w:tc>
          <w:tcPr>
            <w:tcW w:w="4876" w:type="dxa"/>
          </w:tcPr>
          <w:p w14:paraId="2A226AF7" w14:textId="17D948A2" w:rsidR="00EC4EFF" w:rsidRPr="009B29E9" w:rsidRDefault="007327C8" w:rsidP="00835D3A">
            <w:pPr>
              <w:pStyle w:val="AmColumnHeading"/>
              <w:keepNext/>
            </w:pPr>
            <w:r>
              <w:t>Ændring</w:t>
            </w:r>
          </w:p>
        </w:tc>
      </w:tr>
      <w:tr w:rsidR="00EC4EFF" w:rsidRPr="009B29E9" w14:paraId="141B26F7" w14:textId="77777777" w:rsidTr="00835D3A">
        <w:trPr>
          <w:jc w:val="center"/>
        </w:trPr>
        <w:tc>
          <w:tcPr>
            <w:tcW w:w="4876" w:type="dxa"/>
          </w:tcPr>
          <w:p w14:paraId="738975E9" w14:textId="77777777" w:rsidR="00EC4EFF" w:rsidRPr="009B29E9" w:rsidRDefault="00EC4EFF" w:rsidP="00835D3A">
            <w:pPr>
              <w:pStyle w:val="Normal6a"/>
            </w:pPr>
          </w:p>
        </w:tc>
        <w:tc>
          <w:tcPr>
            <w:tcW w:w="4876" w:type="dxa"/>
          </w:tcPr>
          <w:p w14:paraId="7B7D61BA" w14:textId="77777777" w:rsidR="00EC4EFF" w:rsidRPr="009B29E9" w:rsidRDefault="00EC4EFF" w:rsidP="00835D3A">
            <w:pPr>
              <w:spacing w:after="120"/>
              <w:rPr>
                <w:szCs w:val="24"/>
              </w:rPr>
            </w:pPr>
            <w:proofErr w:type="spellStart"/>
            <w:r w:rsidRPr="009B29E9">
              <w:rPr>
                <w:b/>
                <w:i/>
              </w:rPr>
              <w:t>ba</w:t>
            </w:r>
            <w:proofErr w:type="spellEnd"/>
            <w:r w:rsidRPr="009B29E9">
              <w:rPr>
                <w:b/>
                <w:i/>
              </w:rPr>
              <w:t>)</w:t>
            </w:r>
            <w:r w:rsidRPr="009B29E9">
              <w:rPr>
                <w:b/>
                <w:i/>
              </w:rPr>
              <w:tab/>
              <w:t>Følgende stykke tilføjes:</w:t>
            </w:r>
          </w:p>
        </w:tc>
      </w:tr>
      <w:tr w:rsidR="00EC4EFF" w:rsidRPr="009B29E9" w14:paraId="17328116" w14:textId="77777777" w:rsidTr="00835D3A">
        <w:trPr>
          <w:jc w:val="center"/>
        </w:trPr>
        <w:tc>
          <w:tcPr>
            <w:tcW w:w="4876" w:type="dxa"/>
          </w:tcPr>
          <w:p w14:paraId="70B29816" w14:textId="77777777" w:rsidR="00EC4EFF" w:rsidRPr="009B29E9" w:rsidRDefault="00EC4EFF" w:rsidP="00835D3A">
            <w:pPr>
              <w:pStyle w:val="Normal6a"/>
            </w:pPr>
          </w:p>
        </w:tc>
        <w:tc>
          <w:tcPr>
            <w:tcW w:w="4876" w:type="dxa"/>
          </w:tcPr>
          <w:p w14:paraId="0E817357" w14:textId="77777777" w:rsidR="00EC4EFF" w:rsidRPr="009B29E9" w:rsidRDefault="00EC4EFF" w:rsidP="00835D3A">
            <w:pPr>
              <w:pStyle w:val="Normal6a"/>
            </w:pPr>
            <w:r w:rsidRPr="009B29E9">
              <w:rPr>
                <w:b/>
                <w:i/>
              </w:rPr>
              <w:t>4a.</w:t>
            </w:r>
            <w:r w:rsidRPr="009B29E9">
              <w:rPr>
                <w:b/>
                <w:i/>
              </w:rPr>
              <w:tab/>
              <w:t>ECB ajourfører hvert femte år de bøder, der er anført i stk. 4, i overensstemmelse med inflationsraten i euroområdet.</w:t>
            </w:r>
          </w:p>
        </w:tc>
      </w:tr>
    </w:tbl>
    <w:p w14:paraId="343592C5" w14:textId="77777777" w:rsidR="003D35BB" w:rsidRPr="009B29E9" w:rsidRDefault="003D35BB" w:rsidP="003D35BB"/>
    <w:p w14:paraId="078EF07A" w14:textId="546DB3C2" w:rsidR="00EC4EFF" w:rsidRPr="009B29E9" w:rsidRDefault="007327C8" w:rsidP="00EC4EFF">
      <w:pPr>
        <w:pStyle w:val="AmNumberTabs"/>
        <w:keepNext/>
      </w:pPr>
      <w:r>
        <w:t>Ændring</w:t>
      </w:r>
      <w:r w:rsidR="00EC4EFF" w:rsidRPr="009B29E9">
        <w:tab/>
      </w:r>
      <w:r w:rsidR="00EC4EFF" w:rsidRPr="009B29E9">
        <w:tab/>
        <w:t>10</w:t>
      </w:r>
    </w:p>
    <w:p w14:paraId="11AC36BD" w14:textId="77777777" w:rsidR="00EC4EFF" w:rsidRPr="009B29E9" w:rsidRDefault="00EC4EFF" w:rsidP="00EC4EFF">
      <w:pPr>
        <w:pStyle w:val="NormalBold12b"/>
        <w:keepNext/>
      </w:pPr>
      <w:r w:rsidRPr="009B29E9">
        <w:t>Udkast til forordning</w:t>
      </w:r>
    </w:p>
    <w:p w14:paraId="16BCAFE7" w14:textId="77777777" w:rsidR="00EC4EFF" w:rsidRPr="009B29E9" w:rsidRDefault="00EC4EFF" w:rsidP="00EC4EFF">
      <w:pPr>
        <w:pStyle w:val="NormalBold"/>
        <w:keepNext/>
        <w:rPr>
          <w:rFonts w:eastAsiaTheme="majorEastAsia"/>
        </w:rPr>
      </w:pPr>
      <w:r w:rsidRPr="009B29E9">
        <w:t>Artikel 1</w:t>
      </w:r>
      <w:r w:rsidRPr="009B29E9">
        <w:rPr>
          <w:b w:val="0"/>
        </w:rPr>
        <w:t xml:space="preserve"> </w:t>
      </w:r>
      <w:r w:rsidRPr="009B29E9">
        <w:t>– stk. 1 – nr. 5</w:t>
      </w:r>
    </w:p>
    <w:p w14:paraId="5FB4F015" w14:textId="77777777" w:rsidR="00EC4EFF" w:rsidRPr="009B29E9" w:rsidRDefault="00EC4EFF" w:rsidP="00EC4EFF">
      <w:pPr>
        <w:widowControl/>
      </w:pPr>
      <w:r w:rsidRPr="009B29E9">
        <w:t>Forordning (EF) nr. 2533/98</w:t>
      </w:r>
    </w:p>
    <w:p w14:paraId="3B6B3430" w14:textId="77777777" w:rsidR="00EC4EFF" w:rsidRPr="009B29E9" w:rsidRDefault="00EC4EFF" w:rsidP="00EC4EFF">
      <w:pPr>
        <w:widowControl/>
      </w:pPr>
      <w:r w:rsidRPr="009B29E9">
        <w:t>Artikel 8 – stk. 1 – nr. 2 – litra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C4EFF" w:rsidRPr="009B29E9" w14:paraId="04E47935" w14:textId="77777777" w:rsidTr="00835D3A">
        <w:trPr>
          <w:jc w:val="center"/>
        </w:trPr>
        <w:tc>
          <w:tcPr>
            <w:tcW w:w="9752" w:type="dxa"/>
            <w:gridSpan w:val="2"/>
          </w:tcPr>
          <w:p w14:paraId="1ABDF81F" w14:textId="77777777" w:rsidR="00EC4EFF" w:rsidRPr="009B29E9" w:rsidRDefault="00EC4EFF" w:rsidP="00835D3A">
            <w:pPr>
              <w:keepNext/>
            </w:pPr>
          </w:p>
        </w:tc>
      </w:tr>
      <w:tr w:rsidR="00EC4EFF" w:rsidRPr="009B29E9" w14:paraId="232D7E35" w14:textId="77777777" w:rsidTr="00835D3A">
        <w:trPr>
          <w:jc w:val="center"/>
        </w:trPr>
        <w:tc>
          <w:tcPr>
            <w:tcW w:w="4876" w:type="dxa"/>
          </w:tcPr>
          <w:p w14:paraId="4C0AA5B8" w14:textId="77777777" w:rsidR="00EC4EFF" w:rsidRPr="009B29E9" w:rsidRDefault="00EC4EFF" w:rsidP="00835D3A">
            <w:pPr>
              <w:pStyle w:val="AmColumnHeading"/>
              <w:keepNext/>
            </w:pPr>
            <w:r w:rsidRPr="009B29E9">
              <w:t>Udkast fra Den Europæiske Centralbank</w:t>
            </w:r>
          </w:p>
        </w:tc>
        <w:tc>
          <w:tcPr>
            <w:tcW w:w="4876" w:type="dxa"/>
          </w:tcPr>
          <w:p w14:paraId="4F8457EA" w14:textId="0914000A" w:rsidR="00EC4EFF" w:rsidRPr="009B29E9" w:rsidRDefault="007327C8" w:rsidP="00835D3A">
            <w:pPr>
              <w:pStyle w:val="AmColumnHeading"/>
              <w:keepNext/>
            </w:pPr>
            <w:r>
              <w:t>Ændring</w:t>
            </w:r>
          </w:p>
        </w:tc>
      </w:tr>
      <w:tr w:rsidR="00EC4EFF" w:rsidRPr="009B29E9" w14:paraId="44156C28" w14:textId="77777777" w:rsidTr="00835D3A">
        <w:trPr>
          <w:jc w:val="center"/>
        </w:trPr>
        <w:tc>
          <w:tcPr>
            <w:tcW w:w="4876" w:type="dxa"/>
          </w:tcPr>
          <w:p w14:paraId="234F74B2" w14:textId="77777777" w:rsidR="00EC4EFF" w:rsidRPr="009B29E9" w:rsidRDefault="00EC4EFF" w:rsidP="00835D3A">
            <w:pPr>
              <w:widowControl/>
            </w:pPr>
            <w:r w:rsidRPr="009B29E9">
              <w:t>b)</w:t>
            </w:r>
            <w:r w:rsidRPr="009B29E9">
              <w:tab/>
              <w:t xml:space="preserve">skal ESCB-medlemmerne udveksle fortrolige statistiske oplysninger med andre legitime parter med henblik på udførelsen af deres respektive lovbestemte opgaver vedrørende </w:t>
            </w:r>
            <w:r w:rsidRPr="009B29E9">
              <w:rPr>
                <w:b/>
                <w:i/>
              </w:rPr>
              <w:t xml:space="preserve">tilsyn og </w:t>
            </w:r>
            <w:r w:rsidRPr="009B29E9">
              <w:t>det finansielle systems stabilitet</w:t>
            </w:r>
          </w:p>
        </w:tc>
        <w:tc>
          <w:tcPr>
            <w:tcW w:w="4876" w:type="dxa"/>
          </w:tcPr>
          <w:p w14:paraId="3A3CA868" w14:textId="77777777" w:rsidR="00EC4EFF" w:rsidRPr="009B29E9" w:rsidRDefault="00EC4EFF" w:rsidP="00835D3A">
            <w:pPr>
              <w:pStyle w:val="Normal6a"/>
              <w:rPr>
                <w:szCs w:val="24"/>
              </w:rPr>
            </w:pPr>
            <w:r w:rsidRPr="009B29E9">
              <w:t>b)</w:t>
            </w:r>
            <w:r w:rsidRPr="009B29E9">
              <w:tab/>
              <w:t>skal ESCB-medlemmerne udveksle fortrolige statistiske oplysninger med andre legitime parter med henblik på udførelsen af deres respektive lovbestemte opgaver vedrørende det finansielle systems stabilitet</w:t>
            </w:r>
            <w:r w:rsidRPr="009B29E9">
              <w:rPr>
                <w:b/>
                <w:i/>
              </w:rPr>
              <w:t xml:space="preserve"> og effektivitet på kort, mellemlang og lang sigt</w:t>
            </w:r>
          </w:p>
        </w:tc>
      </w:tr>
    </w:tbl>
    <w:p w14:paraId="064C6A9C" w14:textId="77777777" w:rsidR="003D35BB" w:rsidRPr="009B29E9" w:rsidRDefault="003D35BB" w:rsidP="003D35BB"/>
    <w:p w14:paraId="04E31439" w14:textId="6DA5402E" w:rsidR="00EC4EFF" w:rsidRPr="009B29E9" w:rsidRDefault="007327C8" w:rsidP="00EC4EFF">
      <w:pPr>
        <w:pStyle w:val="AmNumberTabs"/>
        <w:keepNext/>
      </w:pPr>
      <w:r>
        <w:t>Ændring</w:t>
      </w:r>
      <w:r w:rsidR="00EC4EFF" w:rsidRPr="009B29E9">
        <w:tab/>
      </w:r>
      <w:r w:rsidR="00EC4EFF" w:rsidRPr="009B29E9">
        <w:tab/>
        <w:t>11</w:t>
      </w:r>
    </w:p>
    <w:p w14:paraId="168B9272" w14:textId="77777777" w:rsidR="00EC4EFF" w:rsidRPr="009B29E9" w:rsidRDefault="00EC4EFF" w:rsidP="00EC4EFF">
      <w:pPr>
        <w:pStyle w:val="NormalBold12b"/>
        <w:keepNext/>
      </w:pPr>
      <w:r w:rsidRPr="009B29E9">
        <w:t>Udkast til forordning</w:t>
      </w:r>
    </w:p>
    <w:p w14:paraId="037DDAB0" w14:textId="77777777" w:rsidR="00EC4EFF" w:rsidRPr="009B29E9" w:rsidRDefault="00EC4EFF" w:rsidP="00EC4EFF">
      <w:pPr>
        <w:pStyle w:val="NormalBold"/>
        <w:keepNext/>
        <w:rPr>
          <w:rFonts w:eastAsiaTheme="majorEastAsia"/>
        </w:rPr>
      </w:pPr>
      <w:r w:rsidRPr="009B29E9">
        <w:t>Artikel 1 – stk. 1 – nr. 5</w:t>
      </w:r>
    </w:p>
    <w:p w14:paraId="0E3B390E" w14:textId="77777777" w:rsidR="00EC4EFF" w:rsidRPr="009B29E9" w:rsidRDefault="00EC4EFF" w:rsidP="00EC4EFF">
      <w:pPr>
        <w:widowControl/>
      </w:pPr>
      <w:r w:rsidRPr="009B29E9">
        <w:t>Forordning (EF) nr. 2533/98</w:t>
      </w:r>
    </w:p>
    <w:p w14:paraId="11087A86" w14:textId="77777777" w:rsidR="00EC4EFF" w:rsidRPr="009B29E9" w:rsidRDefault="00EC4EFF" w:rsidP="00EC4EFF">
      <w:pPr>
        <w:widowControl/>
      </w:pPr>
      <w:r w:rsidRPr="009B29E9">
        <w:t>Artikel 8 –stk. 1 – nr. 2 – litra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C4EFF" w:rsidRPr="009B29E9" w14:paraId="79BEB536" w14:textId="77777777" w:rsidTr="00835D3A">
        <w:trPr>
          <w:jc w:val="center"/>
        </w:trPr>
        <w:tc>
          <w:tcPr>
            <w:tcW w:w="9752" w:type="dxa"/>
            <w:gridSpan w:val="2"/>
          </w:tcPr>
          <w:p w14:paraId="0D510F25" w14:textId="77777777" w:rsidR="00EC4EFF" w:rsidRPr="009B29E9" w:rsidRDefault="00EC4EFF" w:rsidP="00835D3A">
            <w:pPr>
              <w:keepNext/>
            </w:pPr>
          </w:p>
        </w:tc>
      </w:tr>
      <w:tr w:rsidR="00EC4EFF" w:rsidRPr="009B29E9" w14:paraId="6BBAD5DA" w14:textId="77777777" w:rsidTr="00835D3A">
        <w:trPr>
          <w:jc w:val="center"/>
        </w:trPr>
        <w:tc>
          <w:tcPr>
            <w:tcW w:w="4876" w:type="dxa"/>
          </w:tcPr>
          <w:p w14:paraId="243AD05B" w14:textId="77777777" w:rsidR="00EC4EFF" w:rsidRPr="009B29E9" w:rsidRDefault="00EC4EFF" w:rsidP="00835D3A">
            <w:pPr>
              <w:pStyle w:val="AmColumnHeading"/>
              <w:keepNext/>
            </w:pPr>
            <w:r w:rsidRPr="009B29E9">
              <w:t>Udkast fra Den Europæiske Centralbank</w:t>
            </w:r>
          </w:p>
        </w:tc>
        <w:tc>
          <w:tcPr>
            <w:tcW w:w="4876" w:type="dxa"/>
          </w:tcPr>
          <w:p w14:paraId="7F57F0B9" w14:textId="3A9A69B1" w:rsidR="00EC4EFF" w:rsidRPr="009B29E9" w:rsidRDefault="007327C8" w:rsidP="00835D3A">
            <w:pPr>
              <w:pStyle w:val="AmColumnHeading"/>
              <w:keepNext/>
            </w:pPr>
            <w:r>
              <w:t>Ændring</w:t>
            </w:r>
          </w:p>
        </w:tc>
      </w:tr>
      <w:tr w:rsidR="00EC4EFF" w:rsidRPr="009B29E9" w14:paraId="447AC175" w14:textId="77777777" w:rsidTr="00835D3A">
        <w:trPr>
          <w:jc w:val="center"/>
        </w:trPr>
        <w:tc>
          <w:tcPr>
            <w:tcW w:w="4876" w:type="dxa"/>
          </w:tcPr>
          <w:p w14:paraId="79AAF4B8" w14:textId="77777777" w:rsidR="00EC4EFF" w:rsidRPr="009B29E9" w:rsidRDefault="00EC4EFF" w:rsidP="00835D3A">
            <w:pPr>
              <w:pStyle w:val="Normal6a"/>
            </w:pPr>
            <w:r w:rsidRPr="009B29E9">
              <w:t>e)</w:t>
            </w:r>
            <w:r w:rsidRPr="009B29E9">
              <w:tab/>
            </w:r>
            <w:r w:rsidRPr="009B29E9">
              <w:rPr>
                <w:b/>
                <w:i/>
              </w:rPr>
              <w:t>kan</w:t>
            </w:r>
            <w:r w:rsidRPr="009B29E9">
              <w:t xml:space="preserve"> ESCB-medlemmerne give forskere, der er tilknyttet videnskabelige forskningsorganer, adgang til fortrolig statistisk information, som ikke gør det muligt direkte at identificere en rapporteringsenhed eller andre juridiske eller fysiske personer, enheder eller filialer</w:t>
            </w:r>
          </w:p>
        </w:tc>
        <w:tc>
          <w:tcPr>
            <w:tcW w:w="4876" w:type="dxa"/>
          </w:tcPr>
          <w:p w14:paraId="2E7B1FAB" w14:textId="77777777" w:rsidR="00EC4EFF" w:rsidRPr="009B29E9" w:rsidRDefault="00EC4EFF" w:rsidP="00835D3A">
            <w:pPr>
              <w:pStyle w:val="Normal6a"/>
              <w:rPr>
                <w:szCs w:val="24"/>
              </w:rPr>
            </w:pPr>
            <w:r w:rsidRPr="009B29E9">
              <w:t>e)</w:t>
            </w:r>
            <w:r w:rsidRPr="009B29E9">
              <w:tab/>
            </w:r>
            <w:r w:rsidRPr="009B29E9">
              <w:rPr>
                <w:b/>
                <w:i/>
              </w:rPr>
              <w:t>skal</w:t>
            </w:r>
            <w:r w:rsidRPr="009B29E9">
              <w:t xml:space="preserve"> ESCB-medlemmerne </w:t>
            </w:r>
            <w:r w:rsidRPr="009B29E9">
              <w:rPr>
                <w:b/>
                <w:i/>
              </w:rPr>
              <w:t xml:space="preserve">etablere en permanent ramme for at lette og </w:t>
            </w:r>
            <w:r w:rsidRPr="009B29E9">
              <w:t>give forskere, der er tilknyttet videnskabelige forskningsorganer, adgang til fortrolig statistisk information,</w:t>
            </w:r>
            <w:r w:rsidRPr="009B29E9">
              <w:rPr>
                <w:b/>
                <w:i/>
              </w:rPr>
              <w:t xml:space="preserve"> der dækker alle </w:t>
            </w:r>
            <w:proofErr w:type="spellStart"/>
            <w:r w:rsidRPr="009B29E9">
              <w:rPr>
                <w:b/>
                <w:i/>
              </w:rPr>
              <w:t>ECB's</w:t>
            </w:r>
            <w:proofErr w:type="spellEnd"/>
            <w:r w:rsidRPr="009B29E9">
              <w:rPr>
                <w:b/>
                <w:i/>
              </w:rPr>
              <w:t xml:space="preserve"> vigtigste datasæt, og</w:t>
            </w:r>
            <w:r w:rsidRPr="009B29E9">
              <w:t xml:space="preserve"> som ikke gør det muligt direkte at identificere en rapporteringsenhed eller andre juridiske eller fysiske personer, enheder eller filialer</w:t>
            </w:r>
          </w:p>
        </w:tc>
      </w:tr>
    </w:tbl>
    <w:p w14:paraId="3CA28A62" w14:textId="77777777" w:rsidR="003D35BB" w:rsidRPr="009B29E9" w:rsidRDefault="003D35BB" w:rsidP="003D35BB"/>
    <w:p w14:paraId="345C7348" w14:textId="291F963C" w:rsidR="00EC4EFF" w:rsidRPr="009B29E9" w:rsidRDefault="007327C8" w:rsidP="00EC4EFF">
      <w:pPr>
        <w:pStyle w:val="AmNumberTabs"/>
        <w:keepNext/>
      </w:pPr>
      <w:r>
        <w:t>Ændring</w:t>
      </w:r>
      <w:r w:rsidR="00EC4EFF" w:rsidRPr="009B29E9">
        <w:tab/>
      </w:r>
      <w:r w:rsidR="00EC4EFF" w:rsidRPr="009B29E9">
        <w:tab/>
        <w:t>12</w:t>
      </w:r>
    </w:p>
    <w:p w14:paraId="59BF5976" w14:textId="77777777" w:rsidR="00EC4EFF" w:rsidRPr="009B29E9" w:rsidRDefault="00EC4EFF" w:rsidP="00EC4EFF">
      <w:pPr>
        <w:pStyle w:val="NormalBold12b"/>
        <w:keepNext/>
      </w:pPr>
      <w:r w:rsidRPr="009B29E9">
        <w:t>Udkast til forordning</w:t>
      </w:r>
    </w:p>
    <w:p w14:paraId="1CD7E893" w14:textId="77777777" w:rsidR="00EC4EFF" w:rsidRPr="009B29E9" w:rsidRDefault="00EC4EFF" w:rsidP="00EC4EFF">
      <w:pPr>
        <w:pStyle w:val="NormalBold"/>
        <w:keepNext/>
        <w:rPr>
          <w:rFonts w:eastAsiaTheme="majorEastAsia"/>
        </w:rPr>
      </w:pPr>
      <w:r w:rsidRPr="009B29E9">
        <w:t>Artikel 1 – stk. 1 – nr. 5</w:t>
      </w:r>
    </w:p>
    <w:p w14:paraId="220207AD" w14:textId="77777777" w:rsidR="00EC4EFF" w:rsidRPr="009B29E9" w:rsidRDefault="00EC4EFF" w:rsidP="00EC4EFF">
      <w:pPr>
        <w:widowControl/>
      </w:pPr>
      <w:r w:rsidRPr="009B29E9">
        <w:t>Forordning (EF) nr. 2533/98</w:t>
      </w:r>
    </w:p>
    <w:p w14:paraId="42ED3B22" w14:textId="77777777" w:rsidR="00EC4EFF" w:rsidRPr="009B29E9" w:rsidRDefault="00EC4EFF" w:rsidP="00EC4EFF">
      <w:pPr>
        <w:widowControl/>
      </w:pPr>
      <w:r w:rsidRPr="009B29E9">
        <w:t>Artikel 8 – stk. 1 – nr. 2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C4EFF" w:rsidRPr="009B29E9" w14:paraId="50FE1EF9" w14:textId="77777777" w:rsidTr="00835D3A">
        <w:trPr>
          <w:jc w:val="center"/>
        </w:trPr>
        <w:tc>
          <w:tcPr>
            <w:tcW w:w="9752" w:type="dxa"/>
            <w:gridSpan w:val="2"/>
          </w:tcPr>
          <w:p w14:paraId="2202658A" w14:textId="77777777" w:rsidR="00EC4EFF" w:rsidRPr="009B29E9" w:rsidRDefault="00EC4EFF" w:rsidP="00835D3A">
            <w:pPr>
              <w:keepNext/>
            </w:pPr>
          </w:p>
        </w:tc>
      </w:tr>
      <w:tr w:rsidR="00EC4EFF" w:rsidRPr="009B29E9" w14:paraId="30712A1B" w14:textId="77777777" w:rsidTr="00835D3A">
        <w:trPr>
          <w:jc w:val="center"/>
        </w:trPr>
        <w:tc>
          <w:tcPr>
            <w:tcW w:w="4876" w:type="dxa"/>
          </w:tcPr>
          <w:p w14:paraId="3FF70701" w14:textId="77777777" w:rsidR="00EC4EFF" w:rsidRPr="009B29E9" w:rsidRDefault="00EC4EFF" w:rsidP="00835D3A">
            <w:pPr>
              <w:pStyle w:val="AmColumnHeading"/>
              <w:keepNext/>
            </w:pPr>
            <w:r w:rsidRPr="009B29E9">
              <w:t>Udkast fra Den Europæiske Centralbank</w:t>
            </w:r>
          </w:p>
        </w:tc>
        <w:tc>
          <w:tcPr>
            <w:tcW w:w="4876" w:type="dxa"/>
          </w:tcPr>
          <w:p w14:paraId="02D49552" w14:textId="35A5DE98" w:rsidR="00EC4EFF" w:rsidRPr="009B29E9" w:rsidRDefault="007327C8" w:rsidP="00835D3A">
            <w:pPr>
              <w:pStyle w:val="AmColumnHeading"/>
              <w:keepNext/>
            </w:pPr>
            <w:r>
              <w:t>Ændring</w:t>
            </w:r>
          </w:p>
        </w:tc>
      </w:tr>
      <w:tr w:rsidR="00EC4EFF" w:rsidRPr="009B29E9" w14:paraId="569FEB43" w14:textId="77777777" w:rsidTr="00835D3A">
        <w:trPr>
          <w:jc w:val="center"/>
        </w:trPr>
        <w:tc>
          <w:tcPr>
            <w:tcW w:w="4876" w:type="dxa"/>
          </w:tcPr>
          <w:p w14:paraId="006913F3" w14:textId="77777777" w:rsidR="00EC4EFF" w:rsidRPr="009B29E9" w:rsidRDefault="00EC4EFF" w:rsidP="00835D3A">
            <w:pPr>
              <w:pStyle w:val="Normal6a"/>
            </w:pPr>
          </w:p>
        </w:tc>
        <w:tc>
          <w:tcPr>
            <w:tcW w:w="4876" w:type="dxa"/>
          </w:tcPr>
          <w:p w14:paraId="5A2EF5FE" w14:textId="77777777" w:rsidR="00EC4EFF" w:rsidRPr="009B29E9" w:rsidRDefault="00EC4EFF" w:rsidP="00835D3A">
            <w:pPr>
              <w:pStyle w:val="Normal6a"/>
              <w:rPr>
                <w:szCs w:val="24"/>
              </w:rPr>
            </w:pPr>
            <w:r w:rsidRPr="009B29E9">
              <w:rPr>
                <w:b/>
                <w:i/>
              </w:rPr>
              <w:t>2a.</w:t>
            </w:r>
            <w:r w:rsidRPr="009B29E9">
              <w:rPr>
                <w:b/>
                <w:i/>
              </w:rPr>
              <w:tab/>
              <w:t xml:space="preserve">Når ESCB-medlemmer giver adgang til fortrolig statistisk information i de tilfælde, der er omhandlet i dette stykkes litra e) og g), må den fysiske person eller juridiske enhed, der får adgang, kun anvende disse data til de formål, som ESCB-medlemmerne og, hvis det er relevant, rapporteringsenheden eller andre juridiske eller fysiske personer, enheder eller filialer, der kan </w:t>
            </w:r>
            <w:r w:rsidRPr="009B29E9">
              <w:rPr>
                <w:b/>
                <w:i/>
              </w:rPr>
              <w:lastRenderedPageBreak/>
              <w:t>identificeres, har givet deres samtykke til. Hvis den fysiske person eller juridiske enhed, der får adgang til disse data, kan lagre dem, skal en sådan lagring sikres for at undgå brud på fortroligheden. Lagringen må ikke overstige tre år.</w:t>
            </w:r>
          </w:p>
        </w:tc>
      </w:tr>
    </w:tbl>
    <w:p w14:paraId="42A3B5C8" w14:textId="77777777" w:rsidR="003D35BB" w:rsidRPr="009B29E9" w:rsidRDefault="003D35BB" w:rsidP="003D35BB"/>
    <w:p w14:paraId="50115755" w14:textId="768961CF" w:rsidR="00EC4EFF" w:rsidRPr="009B29E9" w:rsidRDefault="007327C8" w:rsidP="00EC4EFF">
      <w:pPr>
        <w:pStyle w:val="AmNumberTabs"/>
        <w:keepNext/>
      </w:pPr>
      <w:r>
        <w:t>Ændring</w:t>
      </w:r>
      <w:r w:rsidR="00EC4EFF" w:rsidRPr="009B29E9">
        <w:tab/>
      </w:r>
      <w:r w:rsidR="00EC4EFF" w:rsidRPr="009B29E9">
        <w:tab/>
        <w:t>13</w:t>
      </w:r>
    </w:p>
    <w:p w14:paraId="44504A98" w14:textId="77777777" w:rsidR="00EC4EFF" w:rsidRPr="009B29E9" w:rsidRDefault="00EC4EFF" w:rsidP="00EC4EFF">
      <w:pPr>
        <w:pStyle w:val="NormalBold12b"/>
        <w:keepNext/>
      </w:pPr>
      <w:r w:rsidRPr="009B29E9">
        <w:t>Udkast til forordning</w:t>
      </w:r>
    </w:p>
    <w:p w14:paraId="574A8694" w14:textId="324A4851" w:rsidR="00EC4EFF" w:rsidRPr="009B29E9" w:rsidRDefault="003D35BB" w:rsidP="00EC4EFF">
      <w:pPr>
        <w:pStyle w:val="NormalBold"/>
        <w:keepNext/>
        <w:rPr>
          <w:rFonts w:eastAsiaTheme="majorEastAsia"/>
        </w:rPr>
      </w:pPr>
      <w:r w:rsidRPr="009B29E9">
        <w:t xml:space="preserve">Artikel </w:t>
      </w:r>
      <w:r w:rsidR="00EC4EFF" w:rsidRPr="009B29E9">
        <w:t>1 – stk. 1 – nr. 5</w:t>
      </w:r>
    </w:p>
    <w:p w14:paraId="6119C20B" w14:textId="77777777" w:rsidR="00EC4EFF" w:rsidRPr="009B29E9" w:rsidRDefault="00EC4EFF" w:rsidP="00EC4EFF">
      <w:pPr>
        <w:widowControl/>
      </w:pPr>
      <w:r w:rsidRPr="009B29E9">
        <w:t>Forordning (EF) nr. 2533/98</w:t>
      </w:r>
    </w:p>
    <w:p w14:paraId="3435F783" w14:textId="77777777" w:rsidR="00EC4EFF" w:rsidRPr="009B29E9" w:rsidRDefault="00EC4EFF" w:rsidP="00EC4EFF">
      <w:pPr>
        <w:widowControl/>
      </w:pPr>
      <w:r w:rsidRPr="009B29E9">
        <w:t>Artikel 8 –stk. 1 – nr. 7 – litra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C4EFF" w:rsidRPr="009B29E9" w14:paraId="67CBE149" w14:textId="77777777" w:rsidTr="00835D3A">
        <w:trPr>
          <w:jc w:val="center"/>
        </w:trPr>
        <w:tc>
          <w:tcPr>
            <w:tcW w:w="9752" w:type="dxa"/>
            <w:gridSpan w:val="2"/>
          </w:tcPr>
          <w:p w14:paraId="15653C6D" w14:textId="77777777" w:rsidR="00EC4EFF" w:rsidRPr="009B29E9" w:rsidRDefault="00EC4EFF" w:rsidP="00835D3A">
            <w:pPr>
              <w:keepNext/>
            </w:pPr>
          </w:p>
        </w:tc>
      </w:tr>
      <w:tr w:rsidR="00EC4EFF" w:rsidRPr="009B29E9" w14:paraId="37DF4E06" w14:textId="77777777" w:rsidTr="00835D3A">
        <w:trPr>
          <w:jc w:val="center"/>
        </w:trPr>
        <w:tc>
          <w:tcPr>
            <w:tcW w:w="4876" w:type="dxa"/>
          </w:tcPr>
          <w:p w14:paraId="138E967F" w14:textId="77777777" w:rsidR="00EC4EFF" w:rsidRPr="009B29E9" w:rsidRDefault="00EC4EFF" w:rsidP="00835D3A">
            <w:pPr>
              <w:pStyle w:val="AmColumnHeading"/>
              <w:keepNext/>
            </w:pPr>
            <w:r w:rsidRPr="009B29E9">
              <w:t>Udkast fra Den Europæiske Centralbank</w:t>
            </w:r>
          </w:p>
        </w:tc>
        <w:tc>
          <w:tcPr>
            <w:tcW w:w="4876" w:type="dxa"/>
          </w:tcPr>
          <w:p w14:paraId="60304BF8" w14:textId="5EAE8E0B" w:rsidR="00EC4EFF" w:rsidRPr="009B29E9" w:rsidRDefault="007327C8" w:rsidP="00835D3A">
            <w:pPr>
              <w:pStyle w:val="AmColumnHeading"/>
              <w:keepNext/>
            </w:pPr>
            <w:r>
              <w:t>Ændring</w:t>
            </w:r>
          </w:p>
        </w:tc>
      </w:tr>
      <w:tr w:rsidR="00EC4EFF" w:rsidRPr="009B29E9" w14:paraId="20EFA048" w14:textId="77777777" w:rsidTr="00835D3A">
        <w:trPr>
          <w:jc w:val="center"/>
        </w:trPr>
        <w:tc>
          <w:tcPr>
            <w:tcW w:w="4876" w:type="dxa"/>
          </w:tcPr>
          <w:p w14:paraId="0CC1095C" w14:textId="77777777" w:rsidR="00EC4EFF" w:rsidRPr="009B29E9" w:rsidRDefault="00EC4EFF" w:rsidP="00835D3A">
            <w:pPr>
              <w:pStyle w:val="Normal6a"/>
            </w:pPr>
            <w:r w:rsidRPr="009B29E9">
              <w:t>a)</w:t>
            </w:r>
            <w:r w:rsidRPr="009B29E9">
              <w:tab/>
              <w:t xml:space="preserve">skal </w:t>
            </w:r>
            <w:r w:rsidRPr="009B29E9">
              <w:rPr>
                <w:b/>
                <w:i/>
              </w:rPr>
              <w:t>træffe alle de lovgivningsmæssige</w:t>
            </w:r>
            <w:r w:rsidRPr="009B29E9">
              <w:t xml:space="preserve">, </w:t>
            </w:r>
            <w:r w:rsidRPr="009B29E9">
              <w:rPr>
                <w:b/>
                <w:i/>
              </w:rPr>
              <w:t>administrative</w:t>
            </w:r>
            <w:r w:rsidRPr="009B29E9">
              <w:t xml:space="preserve">, </w:t>
            </w:r>
            <w:r w:rsidRPr="009B29E9">
              <w:rPr>
                <w:b/>
                <w:i/>
              </w:rPr>
              <w:t>tekniske og organisatoriske foranstaltninger</w:t>
            </w:r>
            <w:r w:rsidRPr="009B29E9">
              <w:t xml:space="preserve">, </w:t>
            </w:r>
            <w:r w:rsidRPr="009B29E9">
              <w:rPr>
                <w:b/>
                <w:i/>
              </w:rPr>
              <w:t>der</w:t>
            </w:r>
            <w:r w:rsidRPr="009B29E9">
              <w:t xml:space="preserve"> er </w:t>
            </w:r>
            <w:r w:rsidRPr="009B29E9">
              <w:rPr>
                <w:b/>
                <w:i/>
              </w:rPr>
              <w:t>nødvendige for at sikre den fysiske og logiske beskyttelse af fortrolig statistisk information i overensstemmelse med de fælles regler og minimumsstandarder</w:t>
            </w:r>
            <w:r w:rsidRPr="009B29E9">
              <w:t xml:space="preserve">, </w:t>
            </w:r>
            <w:r w:rsidRPr="009B29E9">
              <w:rPr>
                <w:b/>
                <w:i/>
              </w:rPr>
              <w:t>som ECB har fastlagt</w:t>
            </w:r>
            <w:r w:rsidRPr="009B29E9">
              <w:t xml:space="preserve"> og</w:t>
            </w:r>
          </w:p>
        </w:tc>
        <w:tc>
          <w:tcPr>
            <w:tcW w:w="4876" w:type="dxa"/>
          </w:tcPr>
          <w:p w14:paraId="6490C558" w14:textId="77777777" w:rsidR="00EC4EFF" w:rsidRPr="009B29E9" w:rsidRDefault="00EC4EFF" w:rsidP="00835D3A">
            <w:pPr>
              <w:pStyle w:val="Normal6a"/>
              <w:rPr>
                <w:szCs w:val="24"/>
              </w:rPr>
            </w:pPr>
            <w:r w:rsidRPr="009B29E9">
              <w:t>a)</w:t>
            </w:r>
            <w:r w:rsidRPr="009B29E9">
              <w:tab/>
              <w:t xml:space="preserve">skal </w:t>
            </w:r>
            <w:r w:rsidRPr="009B29E9">
              <w:rPr>
                <w:b/>
                <w:i/>
              </w:rPr>
              <w:t>udelukkende anvende den fortrolige statistiske information til det formål</w:t>
            </w:r>
            <w:r w:rsidRPr="009B29E9">
              <w:t xml:space="preserve">, </w:t>
            </w:r>
            <w:r w:rsidRPr="009B29E9">
              <w:rPr>
                <w:b/>
                <w:i/>
              </w:rPr>
              <w:t>som det ESCB-medlem</w:t>
            </w:r>
            <w:r w:rsidRPr="009B29E9">
              <w:t xml:space="preserve">, </w:t>
            </w:r>
            <w:r w:rsidRPr="009B29E9">
              <w:rPr>
                <w:b/>
                <w:i/>
              </w:rPr>
              <w:t>der deler informationen, og</w:t>
            </w:r>
            <w:r w:rsidRPr="009B29E9">
              <w:t xml:space="preserve">, </w:t>
            </w:r>
            <w:r w:rsidRPr="009B29E9">
              <w:rPr>
                <w:b/>
                <w:i/>
              </w:rPr>
              <w:t>hvis det</w:t>
            </w:r>
            <w:r w:rsidRPr="009B29E9">
              <w:t xml:space="preserve"> er </w:t>
            </w:r>
            <w:r w:rsidRPr="009B29E9">
              <w:rPr>
                <w:b/>
                <w:i/>
              </w:rPr>
              <w:t>relevant, rapporteringsenheden eller en anden juridisk eller fysisk person, enhed eller filial, der kan identificeres ved hjælp af den fortrolige statistiske information</w:t>
            </w:r>
            <w:r w:rsidRPr="009B29E9">
              <w:t xml:space="preserve">, </w:t>
            </w:r>
            <w:r w:rsidRPr="009B29E9">
              <w:rPr>
                <w:b/>
                <w:i/>
              </w:rPr>
              <w:t>har givet sit samtykke til</w:t>
            </w:r>
            <w:r w:rsidRPr="009B29E9">
              <w:t xml:space="preserve"> og</w:t>
            </w:r>
          </w:p>
        </w:tc>
      </w:tr>
    </w:tbl>
    <w:p w14:paraId="4B3C9CF5" w14:textId="19A2EFA3" w:rsidR="00E365E1" w:rsidRPr="009B29E9" w:rsidRDefault="00E365E1" w:rsidP="000E4660"/>
    <w:sectPr w:rsidR="00E365E1" w:rsidRPr="009B29E9" w:rsidSect="009B29E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FFC88" w14:textId="77777777" w:rsidR="000E4660" w:rsidRPr="009B29E9" w:rsidRDefault="000E4660">
      <w:r w:rsidRPr="009B29E9">
        <w:separator/>
      </w:r>
    </w:p>
  </w:endnote>
  <w:endnote w:type="continuationSeparator" w:id="0">
    <w:p w14:paraId="2C575789" w14:textId="77777777" w:rsidR="000E4660" w:rsidRPr="009B29E9" w:rsidRDefault="000E4660">
      <w:r w:rsidRPr="009B29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7A8E7" w14:textId="77777777" w:rsidR="000E4660" w:rsidRPr="009B29E9" w:rsidRDefault="000E4660">
      <w:r w:rsidRPr="009B29E9">
        <w:separator/>
      </w:r>
    </w:p>
  </w:footnote>
  <w:footnote w:type="continuationSeparator" w:id="0">
    <w:p w14:paraId="322D38D0" w14:textId="77777777" w:rsidR="000E4660" w:rsidRPr="009B29E9" w:rsidRDefault="000E4660">
      <w:r w:rsidRPr="009B29E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0726725">
    <w:abstractNumId w:val="9"/>
  </w:num>
  <w:num w:numId="2" w16cid:durableId="874852326">
    <w:abstractNumId w:val="9"/>
  </w:num>
  <w:num w:numId="3" w16cid:durableId="1034885059">
    <w:abstractNumId w:val="7"/>
  </w:num>
  <w:num w:numId="4" w16cid:durableId="1529293810">
    <w:abstractNumId w:val="7"/>
  </w:num>
  <w:num w:numId="5" w16cid:durableId="1384018789">
    <w:abstractNumId w:val="6"/>
  </w:num>
  <w:num w:numId="6" w16cid:durableId="1217160650">
    <w:abstractNumId w:val="6"/>
  </w:num>
  <w:num w:numId="7" w16cid:durableId="932857823">
    <w:abstractNumId w:val="5"/>
  </w:num>
  <w:num w:numId="8" w16cid:durableId="1051735707">
    <w:abstractNumId w:val="5"/>
  </w:num>
  <w:num w:numId="9" w16cid:durableId="1287809147">
    <w:abstractNumId w:val="4"/>
  </w:num>
  <w:num w:numId="10" w16cid:durableId="368142573">
    <w:abstractNumId w:val="4"/>
  </w:num>
  <w:num w:numId="11" w16cid:durableId="585722880">
    <w:abstractNumId w:val="8"/>
  </w:num>
  <w:num w:numId="12" w16cid:durableId="339889383">
    <w:abstractNumId w:val="8"/>
  </w:num>
  <w:num w:numId="13" w16cid:durableId="1313824599">
    <w:abstractNumId w:val="3"/>
  </w:num>
  <w:num w:numId="14" w16cid:durableId="1412387349">
    <w:abstractNumId w:val="3"/>
  </w:num>
  <w:num w:numId="15" w16cid:durableId="1304001040">
    <w:abstractNumId w:val="2"/>
  </w:num>
  <w:num w:numId="16" w16cid:durableId="1001203414">
    <w:abstractNumId w:val="2"/>
  </w:num>
  <w:num w:numId="17" w16cid:durableId="51202132">
    <w:abstractNumId w:val="1"/>
  </w:num>
  <w:num w:numId="18" w16cid:durableId="1300840966">
    <w:abstractNumId w:val="1"/>
  </w:num>
  <w:num w:numId="19" w16cid:durableId="1728796754">
    <w:abstractNumId w:val="0"/>
  </w:num>
  <w:num w:numId="20" w16cid:durableId="1367944304">
    <w:abstractNumId w:val="0"/>
  </w:num>
  <w:num w:numId="21" w16cid:durableId="947393755">
    <w:abstractNumId w:val="9"/>
  </w:num>
  <w:num w:numId="22" w16cid:durableId="1180395024">
    <w:abstractNumId w:val="7"/>
  </w:num>
  <w:num w:numId="23" w16cid:durableId="1545749756">
    <w:abstractNumId w:val="6"/>
  </w:num>
  <w:num w:numId="24" w16cid:durableId="1263807775">
    <w:abstractNumId w:val="5"/>
  </w:num>
  <w:num w:numId="25" w16cid:durableId="1312632208">
    <w:abstractNumId w:val="4"/>
  </w:num>
  <w:num w:numId="26" w16cid:durableId="1740710860">
    <w:abstractNumId w:val="8"/>
  </w:num>
  <w:num w:numId="27" w16cid:durableId="382095546">
    <w:abstractNumId w:val="3"/>
  </w:num>
  <w:num w:numId="28" w16cid:durableId="1162549631">
    <w:abstractNumId w:val="2"/>
  </w:num>
  <w:num w:numId="29" w16cid:durableId="762605932">
    <w:abstractNumId w:val="1"/>
  </w:num>
  <w:num w:numId="30" w16cid:durableId="977415148">
    <w:abstractNumId w:val="0"/>
  </w:num>
  <w:num w:numId="31" w16cid:durableId="831918965">
    <w:abstractNumId w:val="9"/>
  </w:num>
  <w:num w:numId="32" w16cid:durableId="2108302398">
    <w:abstractNumId w:val="7"/>
  </w:num>
  <w:num w:numId="33" w16cid:durableId="1837838234">
    <w:abstractNumId w:val="6"/>
  </w:num>
  <w:num w:numId="34" w16cid:durableId="1315448899">
    <w:abstractNumId w:val="5"/>
  </w:num>
  <w:num w:numId="35" w16cid:durableId="1535732177">
    <w:abstractNumId w:val="4"/>
  </w:num>
  <w:num w:numId="36" w16cid:durableId="298997748">
    <w:abstractNumId w:val="8"/>
  </w:num>
  <w:num w:numId="37" w16cid:durableId="1654479340">
    <w:abstractNumId w:val="3"/>
  </w:num>
  <w:num w:numId="38" w16cid:durableId="755783392">
    <w:abstractNumId w:val="2"/>
  </w:num>
  <w:num w:numId="39" w16cid:durableId="1309673719">
    <w:abstractNumId w:val="1"/>
  </w:num>
  <w:num w:numId="40" w16cid:durableId="1776828217">
    <w:abstractNumId w:val="0"/>
  </w:num>
  <w:num w:numId="41" w16cid:durableId="2012947675">
    <w:abstractNumId w:val="10"/>
  </w:num>
  <w:num w:numId="42" w16cid:durableId="834998510">
    <w:abstractNumId w:val="10"/>
  </w:num>
  <w:num w:numId="43" w16cid:durableId="640044035">
    <w:abstractNumId w:val="10"/>
  </w:num>
  <w:num w:numId="44" w16cid:durableId="9877053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2/2025"/>
    <w:docVar w:name="dvlangue" w:val="DA"/>
    <w:docVar w:name="dvnumam" w:val="13"/>
    <w:docVar w:name="dvpe" w:val="777.060"/>
    <w:docVar w:name="dvrapporteur" w:val="Ordfører: "/>
    <w:docVar w:name="dvstar" w:val="*"/>
    <w:docVar w:name="dvtitre" w:val="Europa-Parlamentets lovgivningsmæssige beslutning af xx.xx 2025 om udkast til Rådets forordning om ændring af forordning (EF) nr. 2533/98 om Den Europæiske Centralbanks indsamling af statistisk information (ECB/2025/17)(09737/2025 – C10-0118/2025 – 2025/0806(CNS))"/>
  </w:docVars>
  <w:rsids>
    <w:rsidRoot w:val="000E4660"/>
    <w:rsid w:val="00002272"/>
    <w:rsid w:val="00064002"/>
    <w:rsid w:val="00066BB4"/>
    <w:rsid w:val="000677B9"/>
    <w:rsid w:val="00076453"/>
    <w:rsid w:val="000831BA"/>
    <w:rsid w:val="000A42CC"/>
    <w:rsid w:val="000E4660"/>
    <w:rsid w:val="000E7DD9"/>
    <w:rsid w:val="0010095E"/>
    <w:rsid w:val="001052AE"/>
    <w:rsid w:val="00125B37"/>
    <w:rsid w:val="00187494"/>
    <w:rsid w:val="001D3C28"/>
    <w:rsid w:val="001F32AE"/>
    <w:rsid w:val="002767FF"/>
    <w:rsid w:val="0028021A"/>
    <w:rsid w:val="002B18FE"/>
    <w:rsid w:val="002B5493"/>
    <w:rsid w:val="002E2010"/>
    <w:rsid w:val="00343214"/>
    <w:rsid w:val="00361C00"/>
    <w:rsid w:val="00395FA1"/>
    <w:rsid w:val="003D35BB"/>
    <w:rsid w:val="003E15D4"/>
    <w:rsid w:val="003F452D"/>
    <w:rsid w:val="00411CCE"/>
    <w:rsid w:val="0041666E"/>
    <w:rsid w:val="00421060"/>
    <w:rsid w:val="00437423"/>
    <w:rsid w:val="00471C19"/>
    <w:rsid w:val="004867E3"/>
    <w:rsid w:val="00494A28"/>
    <w:rsid w:val="004C0004"/>
    <w:rsid w:val="004C5D52"/>
    <w:rsid w:val="0050519A"/>
    <w:rsid w:val="005072A1"/>
    <w:rsid w:val="00514517"/>
    <w:rsid w:val="005307B5"/>
    <w:rsid w:val="00543EA9"/>
    <w:rsid w:val="00545827"/>
    <w:rsid w:val="00560270"/>
    <w:rsid w:val="005B624C"/>
    <w:rsid w:val="005C2568"/>
    <w:rsid w:val="005F1B17"/>
    <w:rsid w:val="006037C0"/>
    <w:rsid w:val="006631B6"/>
    <w:rsid w:val="00680577"/>
    <w:rsid w:val="006F74FA"/>
    <w:rsid w:val="00731ADD"/>
    <w:rsid w:val="007327C8"/>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79C9"/>
    <w:rsid w:val="00930C23"/>
    <w:rsid w:val="0093193B"/>
    <w:rsid w:val="009509D8"/>
    <w:rsid w:val="00950B64"/>
    <w:rsid w:val="00981893"/>
    <w:rsid w:val="009B29E9"/>
    <w:rsid w:val="00A03F8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63A9"/>
    <w:rsid w:val="00EB006A"/>
    <w:rsid w:val="00EB4772"/>
    <w:rsid w:val="00EC4EFF"/>
    <w:rsid w:val="00ED169E"/>
    <w:rsid w:val="00ED4235"/>
    <w:rsid w:val="00F04346"/>
    <w:rsid w:val="00F075DC"/>
    <w:rsid w:val="00F149E9"/>
    <w:rsid w:val="00F5134D"/>
    <w:rsid w:val="00F6168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44A14D"/>
  <w15:chartTrackingRefBased/>
  <w15:docId w15:val="{928134E8-4496-4B1D-9D64-91D21677F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C4EFF"/>
    <w:pPr>
      <w:spacing w:before="480" w:after="240"/>
    </w:pPr>
  </w:style>
  <w:style w:type="paragraph" w:customStyle="1" w:styleId="Normal6a">
    <w:name w:val="Normal6a"/>
    <w:basedOn w:val="Normal"/>
    <w:rsid w:val="00EC4EFF"/>
    <w:pPr>
      <w:spacing w:after="120"/>
    </w:pPr>
  </w:style>
  <w:style w:type="paragraph" w:customStyle="1" w:styleId="NormalBold">
    <w:name w:val="NormalBold"/>
    <w:basedOn w:val="Normal"/>
    <w:link w:val="NormalBoldChar"/>
    <w:rsid w:val="00EC4EFF"/>
    <w:rPr>
      <w:b/>
    </w:rPr>
  </w:style>
  <w:style w:type="paragraph" w:customStyle="1" w:styleId="NormalHanging12a">
    <w:name w:val="NormalHanging12a"/>
    <w:basedOn w:val="Normal"/>
    <w:rsid w:val="00EC4EFF"/>
    <w:pPr>
      <w:spacing w:after="240"/>
      <w:ind w:left="567" w:hanging="567"/>
    </w:pPr>
  </w:style>
  <w:style w:type="paragraph" w:customStyle="1" w:styleId="AmColumnHeading">
    <w:name w:val="AmColumnHeading"/>
    <w:basedOn w:val="Normal"/>
    <w:rsid w:val="00EC4EFF"/>
    <w:pPr>
      <w:spacing w:after="240"/>
      <w:jc w:val="center"/>
    </w:pPr>
    <w:rPr>
      <w:i/>
    </w:rPr>
  </w:style>
  <w:style w:type="paragraph" w:customStyle="1" w:styleId="AmNumberTabs">
    <w:name w:val="AmNumberTabs"/>
    <w:basedOn w:val="Normal"/>
    <w:rsid w:val="00EC4EF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C4EFF"/>
    <w:pPr>
      <w:spacing w:before="240"/>
    </w:pPr>
    <w:rPr>
      <w:b/>
    </w:rPr>
  </w:style>
  <w:style w:type="character" w:customStyle="1" w:styleId="NormalBoldChar">
    <w:name w:val="NormalBold Char"/>
    <w:basedOn w:val="DefaultParagraphFont"/>
    <w:link w:val="NormalBold"/>
    <w:locked/>
    <w:rsid w:val="00EC4EFF"/>
    <w:rPr>
      <w:b/>
      <w:sz w:val="24"/>
      <w:lang w:val="da-DK"/>
    </w:rPr>
  </w:style>
  <w:style w:type="paragraph" w:styleId="Revision">
    <w:name w:val="Revision"/>
    <w:hidden/>
    <w:uiPriority w:val="99"/>
    <w:semiHidden/>
    <w:rsid w:val="003D35BB"/>
    <w:rPr>
      <w:sz w:val="24"/>
      <w:lang w:val="da-DK"/>
    </w:rPr>
  </w:style>
  <w:style w:type="character" w:styleId="CommentReference">
    <w:name w:val="annotation reference"/>
    <w:basedOn w:val="DefaultParagraphFont"/>
    <w:rsid w:val="003D35BB"/>
    <w:rPr>
      <w:sz w:val="16"/>
      <w:szCs w:val="16"/>
    </w:rPr>
  </w:style>
  <w:style w:type="paragraph" w:styleId="CommentText">
    <w:name w:val="annotation text"/>
    <w:basedOn w:val="Normal"/>
    <w:link w:val="CommentTextChar"/>
    <w:rsid w:val="003D35BB"/>
    <w:rPr>
      <w:sz w:val="20"/>
    </w:rPr>
  </w:style>
  <w:style w:type="character" w:customStyle="1" w:styleId="CommentTextChar">
    <w:name w:val="Comment Text Char"/>
    <w:basedOn w:val="DefaultParagraphFont"/>
    <w:link w:val="CommentText"/>
    <w:rsid w:val="003D35BB"/>
    <w:rPr>
      <w:lang w:val="da-DK"/>
    </w:rPr>
  </w:style>
  <w:style w:type="paragraph" w:styleId="CommentSubject">
    <w:name w:val="annotation subject"/>
    <w:basedOn w:val="CommentText"/>
    <w:next w:val="CommentText"/>
    <w:link w:val="CommentSubjectChar"/>
    <w:rsid w:val="003D35BB"/>
    <w:rPr>
      <w:b/>
      <w:bCs/>
    </w:rPr>
  </w:style>
  <w:style w:type="character" w:customStyle="1" w:styleId="CommentSubjectChar">
    <w:name w:val="Comment Subject Char"/>
    <w:basedOn w:val="CommentTextChar"/>
    <w:link w:val="CommentSubject"/>
    <w:rsid w:val="003D35BB"/>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2531</Words>
  <Characters>15947</Characters>
  <Application>Microsoft Office Word</Application>
  <DocSecurity>0</DocSecurity>
  <Lines>132</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2026-01-28T08:04:00Z</dcterms:created>
  <dcterms:modified xsi:type="dcterms:W3CDTF">2026-01-28T08:04:00Z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P10_TA(2025)0297_</vt:lpwstr>
  </property>
  <property fmtid="{D5CDD505-2E9C-101B-9397-08002B2CF9AE}" pid="4" name="&lt;Type&gt;">
    <vt:lpwstr>RR</vt:lpwstr>
  </property>
</Properties>
</file>