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110C" w14:paraId="6379D8FD" w14:textId="77777777" w:rsidTr="0010095E">
        <w:trPr>
          <w:trHeight w:hRule="exact" w:val="1418"/>
        </w:trPr>
        <w:tc>
          <w:tcPr>
            <w:tcW w:w="6804" w:type="dxa"/>
            <w:shd w:val="clear" w:color="auto" w:fill="auto"/>
            <w:vAlign w:val="center"/>
          </w:tcPr>
          <w:p w14:paraId="0035315A" w14:textId="19FFAE40" w:rsidR="00751A4A" w:rsidRPr="0097110C" w:rsidRDefault="00EC1E63" w:rsidP="0010095E">
            <w:pPr>
              <w:pStyle w:val="EPName"/>
            </w:pPr>
            <w:r w:rsidRPr="0097110C">
              <w:t>Europski parlament</w:t>
            </w:r>
          </w:p>
          <w:p w14:paraId="13B2F78E" w14:textId="77777777" w:rsidR="00751A4A" w:rsidRPr="0097110C" w:rsidRDefault="005F1B17" w:rsidP="005F1B17">
            <w:pPr>
              <w:pStyle w:val="EPTerm"/>
              <w:rPr>
                <w:rStyle w:val="HideTWBExt"/>
                <w:noProof w:val="0"/>
                <w:vanish w:val="0"/>
                <w:color w:val="auto"/>
              </w:rPr>
            </w:pPr>
            <w:r w:rsidRPr="0097110C">
              <w:t>2024</w:t>
            </w:r>
            <w:r w:rsidR="00817416" w:rsidRPr="0097110C">
              <w:t>-202</w:t>
            </w:r>
            <w:r w:rsidRPr="0097110C">
              <w:t>9</w:t>
            </w:r>
          </w:p>
        </w:tc>
        <w:tc>
          <w:tcPr>
            <w:tcW w:w="2268" w:type="dxa"/>
            <w:shd w:val="clear" w:color="auto" w:fill="auto"/>
          </w:tcPr>
          <w:p w14:paraId="53CFBC5B" w14:textId="77777777" w:rsidR="00751A4A" w:rsidRPr="0097110C" w:rsidRDefault="00187494" w:rsidP="0010095E">
            <w:pPr>
              <w:pStyle w:val="EPLogo"/>
            </w:pPr>
            <w:r w:rsidRPr="0097110C">
              <w:rPr>
                <w:noProof/>
                <w:lang w:eastAsia="ja-JP"/>
              </w:rPr>
              <w:drawing>
                <wp:inline distT="0" distB="0" distL="0" distR="0" wp14:anchorId="227156A0" wp14:editId="711504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863D79" w14:textId="77777777" w:rsidR="00D058B8" w:rsidRPr="0097110C" w:rsidRDefault="00D058B8" w:rsidP="004C5D52">
      <w:pPr>
        <w:pStyle w:val="LineTop"/>
      </w:pPr>
    </w:p>
    <w:p w14:paraId="3CF12373" w14:textId="43DD09ED" w:rsidR="00680577" w:rsidRPr="0097110C" w:rsidRDefault="00EC1E63" w:rsidP="00680577">
      <w:pPr>
        <w:pStyle w:val="EPBodyTA1"/>
      </w:pPr>
      <w:r w:rsidRPr="0097110C">
        <w:t>USVOJENI TEKSTOVI</w:t>
      </w:r>
    </w:p>
    <w:p w14:paraId="09E9BA1D" w14:textId="77777777" w:rsidR="00D058B8" w:rsidRPr="0097110C" w:rsidRDefault="00D058B8" w:rsidP="00D058B8">
      <w:pPr>
        <w:pStyle w:val="LineBottom"/>
      </w:pPr>
    </w:p>
    <w:p w14:paraId="3270A7C0" w14:textId="77C5D1A5" w:rsidR="00EC1E63" w:rsidRPr="0097110C" w:rsidRDefault="00EC1E63" w:rsidP="00EC1E63">
      <w:pPr>
        <w:pStyle w:val="ATHeading1"/>
      </w:pPr>
      <w:bookmarkStart w:id="0" w:name="TANumber"/>
      <w:r w:rsidRPr="0097110C">
        <w:t>P10_TA(2025)0</w:t>
      </w:r>
      <w:r w:rsidR="004E6B67">
        <w:t>297</w:t>
      </w:r>
      <w:bookmarkEnd w:id="0"/>
    </w:p>
    <w:p w14:paraId="24944F2A" w14:textId="601CA77C" w:rsidR="00EC1E63" w:rsidRPr="0097110C" w:rsidRDefault="001B1EDB" w:rsidP="00EC1E63">
      <w:pPr>
        <w:pStyle w:val="ATHeading2"/>
      </w:pPr>
      <w:bookmarkStart w:id="1" w:name="title"/>
      <w:r>
        <w:t>P</w:t>
      </w:r>
      <w:r w:rsidRPr="0097110C">
        <w:t>rikupljanj</w:t>
      </w:r>
      <w:r>
        <w:t>e</w:t>
      </w:r>
      <w:r w:rsidRPr="0097110C">
        <w:t xml:space="preserve"> statističkih podataka od strane Europske središnje banke</w:t>
      </w:r>
      <w:bookmarkEnd w:id="1"/>
    </w:p>
    <w:p w14:paraId="36492837" w14:textId="77777777" w:rsidR="00EC1E63" w:rsidRPr="0097110C" w:rsidRDefault="00EC1E63" w:rsidP="00EC1E63">
      <w:pPr>
        <w:rPr>
          <w:i/>
          <w:vanish/>
        </w:rPr>
      </w:pPr>
      <w:r w:rsidRPr="0097110C">
        <w:rPr>
          <w:i/>
        </w:rPr>
        <w:fldChar w:fldCharType="begin"/>
      </w:r>
      <w:r w:rsidRPr="0097110C">
        <w:rPr>
          <w:i/>
        </w:rPr>
        <w:instrText xml:space="preserve"> TC"(</w:instrText>
      </w:r>
      <w:bookmarkStart w:id="2" w:name="DocNumber"/>
      <w:r w:rsidRPr="0097110C">
        <w:rPr>
          <w:i/>
        </w:rPr>
        <w:instrText>A10-0222/2025</w:instrText>
      </w:r>
      <w:bookmarkEnd w:id="2"/>
      <w:r w:rsidRPr="0097110C">
        <w:rPr>
          <w:i/>
        </w:rPr>
        <w:instrText xml:space="preserve"> - Izvjestiteljica: Aurore Lalucq)"\l3 \n&gt; \* MERGEFORMAT </w:instrText>
      </w:r>
      <w:r w:rsidRPr="0097110C">
        <w:rPr>
          <w:i/>
        </w:rPr>
        <w:fldChar w:fldCharType="end"/>
      </w:r>
    </w:p>
    <w:p w14:paraId="0DBDC98B" w14:textId="77777777" w:rsidR="00EC1E63" w:rsidRPr="0097110C" w:rsidRDefault="00EC1E63" w:rsidP="00EC1E63">
      <w:pPr>
        <w:rPr>
          <w:vanish/>
        </w:rPr>
      </w:pPr>
      <w:bookmarkStart w:id="3" w:name="Commission"/>
      <w:r w:rsidRPr="0097110C">
        <w:rPr>
          <w:vanish/>
        </w:rPr>
        <w:t>Odbor za ekonomsku i monetarnu politiku</w:t>
      </w:r>
      <w:bookmarkEnd w:id="3"/>
    </w:p>
    <w:p w14:paraId="78C2A650" w14:textId="77777777" w:rsidR="00EC1E63" w:rsidRPr="0097110C" w:rsidRDefault="00EC1E63" w:rsidP="00EC1E63">
      <w:pPr>
        <w:rPr>
          <w:vanish/>
        </w:rPr>
      </w:pPr>
      <w:bookmarkStart w:id="4" w:name="PE"/>
      <w:r w:rsidRPr="0097110C">
        <w:rPr>
          <w:vanish/>
        </w:rPr>
        <w:t>PE777.060</w:t>
      </w:r>
      <w:bookmarkEnd w:id="4"/>
    </w:p>
    <w:p w14:paraId="26D07EAE" w14:textId="2276499C" w:rsidR="00EC1E63" w:rsidRPr="0097110C" w:rsidRDefault="00EC1E63" w:rsidP="00EC1E63">
      <w:pPr>
        <w:pStyle w:val="ATHeading3"/>
      </w:pPr>
      <w:bookmarkStart w:id="5" w:name="Sujet"/>
      <w:r w:rsidRPr="0097110C">
        <w:t xml:space="preserve">Zakonodavna rezolucija Europskog parlamenta od </w:t>
      </w:r>
      <w:r w:rsidR="0097110C">
        <w:t>26</w:t>
      </w:r>
      <w:r w:rsidRPr="0097110C">
        <w:t xml:space="preserve">. </w:t>
      </w:r>
      <w:r w:rsidR="0097110C">
        <w:t xml:space="preserve">studenoga </w:t>
      </w:r>
      <w:r w:rsidRPr="0097110C">
        <w:t xml:space="preserve">2025. o Nacrtu uredbe Vijeća o izmjeni Uredbe (EZ) br. 2533/98 o prikupljanju statističkih podataka od strane Europske središnje banke </w:t>
      </w:r>
      <w:bookmarkStart w:id="6" w:name="References"/>
      <w:bookmarkEnd w:id="5"/>
      <w:r w:rsidRPr="0097110C">
        <w:t>(09737/2025 – C10-0118/2025 – 2025/0806(CNS))</w:t>
      </w:r>
      <w:bookmarkEnd w:id="6"/>
    </w:p>
    <w:p w14:paraId="0E434DCB" w14:textId="40064F80" w:rsidR="00B0029C" w:rsidRPr="0097110C" w:rsidRDefault="00B0029C" w:rsidP="00B0029C">
      <w:pPr>
        <w:pStyle w:val="NormalBold"/>
      </w:pPr>
      <w:r w:rsidRPr="0097110C">
        <w:t>(</w:t>
      </w:r>
      <w:r w:rsidR="001B1EDB">
        <w:t>S</w:t>
      </w:r>
      <w:r w:rsidRPr="0097110C">
        <w:t>avjetovanje)</w:t>
      </w:r>
    </w:p>
    <w:p w14:paraId="470C0DF5" w14:textId="77777777" w:rsidR="00B0029C" w:rsidRPr="0097110C" w:rsidRDefault="00B0029C" w:rsidP="00B0029C">
      <w:pPr>
        <w:pStyle w:val="EPComma"/>
      </w:pPr>
      <w:r w:rsidRPr="0097110C">
        <w:rPr>
          <w:i/>
        </w:rPr>
        <w:t>Europski parlament</w:t>
      </w:r>
      <w:r w:rsidRPr="0097110C">
        <w:t>,</w:t>
      </w:r>
    </w:p>
    <w:p w14:paraId="34804619" w14:textId="77777777" w:rsidR="00B0029C" w:rsidRPr="0097110C" w:rsidRDefault="00B0029C" w:rsidP="00B0029C">
      <w:pPr>
        <w:pStyle w:val="NormalHanging12a"/>
      </w:pPr>
      <w:r w:rsidRPr="0097110C">
        <w:t>–</w:t>
      </w:r>
      <w:r w:rsidRPr="0097110C">
        <w:tab/>
        <w:t>uzimajući u obzir preporuku Europske središnje banke (09737/2025 – ECB/2025/17),</w:t>
      </w:r>
    </w:p>
    <w:p w14:paraId="380DFB9C" w14:textId="77777777" w:rsidR="00B0029C" w:rsidRPr="0097110C" w:rsidRDefault="00B0029C" w:rsidP="00B0029C">
      <w:pPr>
        <w:pStyle w:val="NormalHanging12a"/>
      </w:pPr>
      <w:r w:rsidRPr="0097110C">
        <w:t>–</w:t>
      </w:r>
      <w:r w:rsidRPr="0097110C">
        <w:tab/>
        <w:t>uzimajući u obzir članak 129. stavak 4. Ugovora o funkcioniranju Europske unije te članak 5. stavak 5.4. i članak 41. Statuta Europskog sustava središnjih banaka i Europske središnje banke, na temelju kojih se Vijeće savjetovalo s Parlamentom (C10</w:t>
      </w:r>
      <w:r w:rsidRPr="0097110C">
        <w:noBreakHyphen/>
        <w:t>0118/2025),</w:t>
      </w:r>
    </w:p>
    <w:p w14:paraId="0B7A50F0" w14:textId="77777777" w:rsidR="00B0029C" w:rsidRPr="0097110C" w:rsidRDefault="00B0029C" w:rsidP="00B0029C">
      <w:pPr>
        <w:pStyle w:val="NormalHanging12a"/>
      </w:pPr>
      <w:r w:rsidRPr="0097110C">
        <w:t>–</w:t>
      </w:r>
      <w:r w:rsidRPr="0097110C">
        <w:tab/>
        <w:t>uzimajući u obzir članak 84. Poslovnika,</w:t>
      </w:r>
    </w:p>
    <w:p w14:paraId="6E7FC2AE" w14:textId="77777777" w:rsidR="00B0029C" w:rsidRPr="0097110C" w:rsidRDefault="00B0029C" w:rsidP="00B0029C">
      <w:pPr>
        <w:pStyle w:val="NormalHanging12a"/>
      </w:pPr>
      <w:r w:rsidRPr="0097110C">
        <w:t>–</w:t>
      </w:r>
      <w:r w:rsidRPr="0097110C">
        <w:tab/>
        <w:t>uzimajući u obzir izvješće Odbora za ekonomsku i monetarnu politiku (A10</w:t>
      </w:r>
      <w:r w:rsidRPr="0097110C">
        <w:noBreakHyphen/>
        <w:t>0222/2025),</w:t>
      </w:r>
    </w:p>
    <w:p w14:paraId="365C6F98" w14:textId="4D24B665" w:rsidR="00B0029C" w:rsidRPr="0097110C" w:rsidRDefault="00B0029C" w:rsidP="00B0029C">
      <w:pPr>
        <w:pStyle w:val="NormalHanging12a"/>
      </w:pPr>
      <w:r w:rsidRPr="0097110C">
        <w:t>1.</w:t>
      </w:r>
      <w:r w:rsidRPr="0097110C">
        <w:tab/>
        <w:t xml:space="preserve">prihvaća </w:t>
      </w:r>
      <w:r w:rsidR="001B1EDB">
        <w:t>N</w:t>
      </w:r>
      <w:r w:rsidRPr="0097110C">
        <w:t>acrt iz preporuke Europske središnje banke s izmjenama;</w:t>
      </w:r>
    </w:p>
    <w:p w14:paraId="1331E0BB" w14:textId="77777777" w:rsidR="00B0029C" w:rsidRPr="0097110C" w:rsidRDefault="00B0029C" w:rsidP="00B0029C">
      <w:pPr>
        <w:pStyle w:val="NormalHanging12a"/>
      </w:pPr>
      <w:r w:rsidRPr="0097110C">
        <w:t>2.</w:t>
      </w:r>
      <w:r w:rsidRPr="0097110C">
        <w:tab/>
        <w:t>poziva Vijeće da ga obavijesti ako namjerava odstupiti od teksta koji je Parlament odobrio;</w:t>
      </w:r>
    </w:p>
    <w:p w14:paraId="7B87167C" w14:textId="2D492EEB" w:rsidR="00B0029C" w:rsidRPr="0097110C" w:rsidRDefault="00B0029C" w:rsidP="00B0029C">
      <w:pPr>
        <w:pStyle w:val="NormalHanging12a"/>
      </w:pPr>
      <w:r w:rsidRPr="0097110C">
        <w:t>3.</w:t>
      </w:r>
      <w:r w:rsidRPr="0097110C">
        <w:tab/>
      </w:r>
      <w:r w:rsidR="001B1EDB">
        <w:t>traži od</w:t>
      </w:r>
      <w:r w:rsidRPr="0097110C">
        <w:t xml:space="preserve"> Vijeć</w:t>
      </w:r>
      <w:r w:rsidR="001B1EDB">
        <w:t>a</w:t>
      </w:r>
      <w:r w:rsidRPr="0097110C">
        <w:t xml:space="preserve"> da se ponovno savjetuje s Parlamentom ako namjerava bitno izmijeniti </w:t>
      </w:r>
      <w:r w:rsidR="001B1EDB">
        <w:t>N</w:t>
      </w:r>
      <w:r w:rsidRPr="0097110C">
        <w:t>acrt iz preporuke Europske središnje banke;</w:t>
      </w:r>
    </w:p>
    <w:p w14:paraId="4646E3A7" w14:textId="6B99BB5E" w:rsidR="00B0029C" w:rsidRPr="0097110C" w:rsidRDefault="00B0029C" w:rsidP="001B1EDB">
      <w:pPr>
        <w:pStyle w:val="NormalHanging12a"/>
      </w:pPr>
      <w:r w:rsidRPr="0097110C">
        <w:t>4.</w:t>
      </w:r>
      <w:r w:rsidRPr="0097110C">
        <w:tab/>
        <w:t xml:space="preserve">nalaže svojoj predsjednici da stajalište Parlamenta proslijedi Vijeću, </w:t>
      </w:r>
      <w:r w:rsidR="004E00E1">
        <w:t xml:space="preserve">Europskoj središnjoj banci i </w:t>
      </w:r>
      <w:r w:rsidRPr="0097110C">
        <w:t>Komisiji.</w:t>
      </w:r>
    </w:p>
    <w:p w14:paraId="1C48CABC" w14:textId="77777777" w:rsidR="001B1EDB" w:rsidRDefault="001B1EDB" w:rsidP="00B0029C">
      <w:pPr>
        <w:pStyle w:val="AmNumberTabs"/>
        <w:keepNext/>
        <w:sectPr w:rsidR="001B1EDB" w:rsidSect="00B42F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986A9E" w14:textId="77777777" w:rsidR="00B0029C" w:rsidRPr="0097110C" w:rsidRDefault="00B0029C" w:rsidP="00B0029C">
      <w:pPr>
        <w:pStyle w:val="AmNumberTabs"/>
        <w:keepNext/>
      </w:pPr>
      <w:r w:rsidRPr="0097110C">
        <w:lastRenderedPageBreak/>
        <w:t>Amandman</w:t>
      </w:r>
      <w:r w:rsidRPr="0097110C">
        <w:tab/>
      </w:r>
      <w:r w:rsidRPr="0097110C">
        <w:tab/>
        <w:t>1</w:t>
      </w:r>
    </w:p>
    <w:p w14:paraId="7A3EE6EB" w14:textId="77777777" w:rsidR="00B0029C" w:rsidRPr="0097110C" w:rsidRDefault="00B0029C" w:rsidP="00B0029C">
      <w:pPr>
        <w:pStyle w:val="NormalBold12b"/>
        <w:keepNext/>
      </w:pPr>
      <w:r w:rsidRPr="0097110C">
        <w:t>Nacrt uredbe</w:t>
      </w:r>
    </w:p>
    <w:p w14:paraId="5A2DB610" w14:textId="77777777" w:rsidR="00B0029C" w:rsidRPr="0097110C" w:rsidRDefault="00B0029C" w:rsidP="00B0029C">
      <w:pPr>
        <w:pStyle w:val="NormalBold"/>
        <w:keepNext/>
      </w:pPr>
      <w:r w:rsidRPr="0097110C">
        <w:t>Uvodna izjava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0B5F94EE" w14:textId="77777777" w:rsidTr="00D3160D">
        <w:trPr>
          <w:jc w:val="center"/>
        </w:trPr>
        <w:tc>
          <w:tcPr>
            <w:tcW w:w="9752" w:type="dxa"/>
            <w:gridSpan w:val="2"/>
          </w:tcPr>
          <w:p w14:paraId="26AE64D9" w14:textId="77777777" w:rsidR="00B0029C" w:rsidRPr="0097110C" w:rsidRDefault="00B0029C" w:rsidP="00D3160D">
            <w:pPr>
              <w:keepNext/>
            </w:pPr>
          </w:p>
        </w:tc>
      </w:tr>
      <w:tr w:rsidR="00B0029C" w:rsidRPr="0097110C" w14:paraId="090DB877" w14:textId="77777777" w:rsidTr="00D3160D">
        <w:trPr>
          <w:jc w:val="center"/>
        </w:trPr>
        <w:tc>
          <w:tcPr>
            <w:tcW w:w="4876" w:type="dxa"/>
          </w:tcPr>
          <w:p w14:paraId="6CE1157F" w14:textId="77777777" w:rsidR="00B0029C" w:rsidRPr="0097110C" w:rsidRDefault="00B0029C" w:rsidP="00D3160D">
            <w:pPr>
              <w:pStyle w:val="AmColumnHeading"/>
              <w:keepNext/>
            </w:pPr>
            <w:r w:rsidRPr="0097110C">
              <w:t>Nacrt Europske središnje banke</w:t>
            </w:r>
          </w:p>
        </w:tc>
        <w:tc>
          <w:tcPr>
            <w:tcW w:w="4876" w:type="dxa"/>
          </w:tcPr>
          <w:p w14:paraId="12029B55" w14:textId="77777777" w:rsidR="00B0029C" w:rsidRPr="0097110C" w:rsidRDefault="00B0029C" w:rsidP="00D3160D">
            <w:pPr>
              <w:pStyle w:val="AmColumnHeading"/>
              <w:keepNext/>
            </w:pPr>
            <w:r w:rsidRPr="0097110C">
              <w:t>Izmjena</w:t>
            </w:r>
          </w:p>
        </w:tc>
      </w:tr>
      <w:tr w:rsidR="00B0029C" w:rsidRPr="0097110C" w14:paraId="0D853DCD" w14:textId="77777777" w:rsidTr="00D3160D">
        <w:trPr>
          <w:jc w:val="center"/>
        </w:trPr>
        <w:tc>
          <w:tcPr>
            <w:tcW w:w="4876" w:type="dxa"/>
          </w:tcPr>
          <w:p w14:paraId="6E6A63A0" w14:textId="77777777" w:rsidR="00B0029C" w:rsidRPr="0097110C" w:rsidRDefault="00B0029C" w:rsidP="00D3160D">
            <w:pPr>
              <w:pStyle w:val="Normal6a"/>
            </w:pPr>
            <w:r w:rsidRPr="0097110C">
              <w:t>(1)</w:t>
            </w:r>
            <w:r w:rsidRPr="0097110C">
              <w:tab/>
              <w:t>Uredba Vijeća (EZ) br. 2533/98</w:t>
            </w:r>
            <w:r w:rsidRPr="0097110C">
              <w:rPr>
                <w:vertAlign w:val="superscript"/>
              </w:rPr>
              <w:t>1</w:t>
            </w:r>
            <w:r w:rsidRPr="0097110C">
              <w:t xml:space="preserve"> </w:t>
            </w:r>
            <w:r w:rsidRPr="0097110C">
              <w:rPr>
                <w:b/>
                <w:i/>
              </w:rPr>
              <w:t xml:space="preserve"> </w:t>
            </w:r>
            <w:r w:rsidRPr="0097110C">
              <w:t xml:space="preserve">je ključna sastavnica pravnog okvira koji podržava zadaće Europske središnje banke (ESB) vezane za prikupljanje statističkih podataka, uz pomoć nacionalnih središnjih banaka. ESB se dosljedno poziva na tu Uredbu </w:t>
            </w:r>
            <w:r w:rsidRPr="0097110C">
              <w:rPr>
                <w:b/>
                <w:i/>
              </w:rPr>
              <w:t>u izvršavanju</w:t>
            </w:r>
            <w:r w:rsidRPr="0097110C">
              <w:t xml:space="preserve"> i praćenju koordiniranog prikupljanja statističkih podataka </w:t>
            </w:r>
            <w:r w:rsidRPr="0097110C">
              <w:rPr>
                <w:b/>
                <w:i/>
              </w:rPr>
              <w:t>potrebnih za obavljanje zadaća Europskog sustava središnjih banaka (ESSB)</w:t>
            </w:r>
            <w:r w:rsidRPr="0097110C">
              <w:t>.</w:t>
            </w:r>
          </w:p>
        </w:tc>
        <w:tc>
          <w:tcPr>
            <w:tcW w:w="4876" w:type="dxa"/>
          </w:tcPr>
          <w:p w14:paraId="027CEC63" w14:textId="77777777" w:rsidR="00B0029C" w:rsidRPr="0097110C" w:rsidRDefault="00B0029C" w:rsidP="00D3160D">
            <w:pPr>
              <w:pStyle w:val="Normal6a"/>
              <w:rPr>
                <w:szCs w:val="24"/>
              </w:rPr>
            </w:pPr>
            <w:r w:rsidRPr="0097110C">
              <w:t>(1)</w:t>
            </w:r>
            <w:r w:rsidRPr="0097110C">
              <w:tab/>
              <w:t>Uredba Vijeća (EZ) br. 2533/98</w:t>
            </w:r>
            <w:r w:rsidRPr="0097110C">
              <w:rPr>
                <w:vertAlign w:val="superscript"/>
              </w:rPr>
              <w:t>1</w:t>
            </w:r>
            <w:r w:rsidRPr="0097110C">
              <w:t xml:space="preserve"> je ključna sastavnica pravnog okvira koji podržava zadaće Europske središnje banke (ESB) vezane za prikupljanje statističkih podataka, uz pomoć nacionalnih središnjih banaka. ESB se dosljedno poziva na tu Uredbu </w:t>
            </w:r>
            <w:r w:rsidRPr="0097110C">
              <w:rPr>
                <w:b/>
                <w:i/>
              </w:rPr>
              <w:t>pri provedbi</w:t>
            </w:r>
            <w:r w:rsidRPr="0097110C">
              <w:t xml:space="preserve"> i praćenju koordiniranog prikupljanja </w:t>
            </w:r>
            <w:r w:rsidRPr="0097110C">
              <w:rPr>
                <w:b/>
                <w:i/>
              </w:rPr>
              <w:t xml:space="preserve">potrebnih </w:t>
            </w:r>
            <w:r w:rsidRPr="0097110C">
              <w:t xml:space="preserve">statističkih podataka </w:t>
            </w:r>
            <w:r w:rsidRPr="0097110C">
              <w:rPr>
                <w:b/>
                <w:i/>
              </w:rPr>
              <w:t>kako bi učinkovitije ispunio svoje ciljeve i izvršio zadaće kako je utvrđeno člankom 2. Statuta te kako bi bolje odgovorio na ozbiljne i predstojeće izazove</w:t>
            </w:r>
            <w:r w:rsidRPr="0097110C">
              <w:t>.</w:t>
            </w:r>
          </w:p>
        </w:tc>
      </w:tr>
      <w:tr w:rsidR="00B0029C" w:rsidRPr="0097110C" w14:paraId="7335626B" w14:textId="77777777" w:rsidTr="00D3160D">
        <w:trPr>
          <w:jc w:val="center"/>
        </w:trPr>
        <w:tc>
          <w:tcPr>
            <w:tcW w:w="4876" w:type="dxa"/>
          </w:tcPr>
          <w:p w14:paraId="4BA09EEA" w14:textId="77777777" w:rsidR="00B0029C" w:rsidRPr="0097110C" w:rsidRDefault="00B0029C" w:rsidP="00D3160D">
            <w:pPr>
              <w:pStyle w:val="Normal6a"/>
            </w:pPr>
            <w:r w:rsidRPr="0097110C">
              <w:t>__________________</w:t>
            </w:r>
          </w:p>
        </w:tc>
        <w:tc>
          <w:tcPr>
            <w:tcW w:w="4876" w:type="dxa"/>
          </w:tcPr>
          <w:p w14:paraId="6BFD65C0" w14:textId="77777777" w:rsidR="00B0029C" w:rsidRPr="0097110C" w:rsidRDefault="00B0029C" w:rsidP="00D3160D">
            <w:pPr>
              <w:pStyle w:val="Normal6a"/>
            </w:pPr>
            <w:r w:rsidRPr="0097110C">
              <w:t>__________________</w:t>
            </w:r>
          </w:p>
        </w:tc>
      </w:tr>
      <w:tr w:rsidR="00B0029C" w:rsidRPr="0097110C" w14:paraId="3CDEA092" w14:textId="77777777" w:rsidTr="00D3160D">
        <w:trPr>
          <w:jc w:val="center"/>
        </w:trPr>
        <w:tc>
          <w:tcPr>
            <w:tcW w:w="4876" w:type="dxa"/>
          </w:tcPr>
          <w:p w14:paraId="620DA3D2" w14:textId="77777777" w:rsidR="00B0029C" w:rsidRPr="0097110C" w:rsidRDefault="00B0029C" w:rsidP="00D3160D">
            <w:pPr>
              <w:pStyle w:val="Normal6a"/>
            </w:pPr>
            <w:r w:rsidRPr="0097110C">
              <w:rPr>
                <w:vertAlign w:val="superscript"/>
              </w:rPr>
              <w:t>1</w:t>
            </w:r>
            <w:r w:rsidRPr="0097110C">
              <w:t xml:space="preserve"> Uredba Vijeća (EZ) br. 2533/98 od 23. studenoga 1998. o prikupljanju statističkih podataka od strane Europske središnje banke (SL L 318, 27.11.1998., str. 8., ELI:  http://data.europa.eu/eli/reg/1998/2533/oj).</w:t>
            </w:r>
          </w:p>
        </w:tc>
        <w:tc>
          <w:tcPr>
            <w:tcW w:w="4876" w:type="dxa"/>
          </w:tcPr>
          <w:p w14:paraId="4052A05B" w14:textId="77777777" w:rsidR="00B0029C" w:rsidRPr="0097110C" w:rsidRDefault="00B0029C" w:rsidP="00D3160D">
            <w:pPr>
              <w:pStyle w:val="Normal6a"/>
            </w:pPr>
            <w:r w:rsidRPr="0097110C">
              <w:rPr>
                <w:vertAlign w:val="superscript"/>
              </w:rPr>
              <w:t>1</w:t>
            </w:r>
            <w:r w:rsidRPr="0097110C">
              <w:t xml:space="preserve"> Uredba Vijeća (EZ) br. 2533/98 od 23. studenoga 1998. o prikupljanju statističkih podataka od strane Europske središnje banke (SL L 318, 27.11.1998., str. 8., ELI: http://data.europa.eu/eli/reg/1998/2533/oj).</w:t>
            </w:r>
          </w:p>
        </w:tc>
      </w:tr>
    </w:tbl>
    <w:p w14:paraId="43C2CEE4" w14:textId="77777777" w:rsidR="00B0029C" w:rsidRPr="0097110C" w:rsidRDefault="00B0029C" w:rsidP="00B0029C"/>
    <w:p w14:paraId="2387D01B" w14:textId="77777777" w:rsidR="00B0029C" w:rsidRPr="0097110C" w:rsidRDefault="00B0029C" w:rsidP="00B0029C">
      <w:pPr>
        <w:pStyle w:val="AmNumberTabs"/>
        <w:keepNext/>
      </w:pPr>
      <w:r w:rsidRPr="0097110C">
        <w:t>Amandman</w:t>
      </w:r>
      <w:r w:rsidRPr="0097110C">
        <w:tab/>
      </w:r>
      <w:r w:rsidRPr="0097110C">
        <w:tab/>
        <w:t>2</w:t>
      </w:r>
    </w:p>
    <w:p w14:paraId="2C475608" w14:textId="77777777" w:rsidR="00B0029C" w:rsidRPr="0097110C" w:rsidRDefault="00B0029C" w:rsidP="00B0029C">
      <w:pPr>
        <w:pStyle w:val="NormalBold12b"/>
        <w:keepNext/>
      </w:pPr>
      <w:r w:rsidRPr="0097110C">
        <w:t>Nacrt uredbe</w:t>
      </w:r>
    </w:p>
    <w:p w14:paraId="47BC298D" w14:textId="77777777" w:rsidR="00B0029C" w:rsidRPr="0097110C" w:rsidRDefault="00B0029C" w:rsidP="00B0029C">
      <w:pPr>
        <w:pStyle w:val="NormalBold"/>
        <w:keepNext/>
      </w:pPr>
      <w:r w:rsidRPr="0097110C">
        <w:t>Uvodna izjava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57820246" w14:textId="77777777" w:rsidTr="00D3160D">
        <w:trPr>
          <w:jc w:val="center"/>
        </w:trPr>
        <w:tc>
          <w:tcPr>
            <w:tcW w:w="9752" w:type="dxa"/>
            <w:gridSpan w:val="2"/>
          </w:tcPr>
          <w:p w14:paraId="1892EC5A" w14:textId="77777777" w:rsidR="00B0029C" w:rsidRPr="0097110C" w:rsidRDefault="00B0029C" w:rsidP="00D3160D">
            <w:pPr>
              <w:keepNext/>
            </w:pPr>
          </w:p>
        </w:tc>
      </w:tr>
      <w:tr w:rsidR="00B0029C" w:rsidRPr="0097110C" w14:paraId="116DA447" w14:textId="77777777" w:rsidTr="00D3160D">
        <w:trPr>
          <w:jc w:val="center"/>
        </w:trPr>
        <w:tc>
          <w:tcPr>
            <w:tcW w:w="4876" w:type="dxa"/>
          </w:tcPr>
          <w:p w14:paraId="319E1F82" w14:textId="77777777" w:rsidR="00B0029C" w:rsidRPr="0097110C" w:rsidRDefault="00B0029C" w:rsidP="00D3160D">
            <w:pPr>
              <w:pStyle w:val="AmColumnHeading"/>
              <w:keepNext/>
            </w:pPr>
            <w:r w:rsidRPr="0097110C">
              <w:t>Nacrt Europske središnje banke</w:t>
            </w:r>
          </w:p>
        </w:tc>
        <w:tc>
          <w:tcPr>
            <w:tcW w:w="4876" w:type="dxa"/>
          </w:tcPr>
          <w:p w14:paraId="1A2B7D2B" w14:textId="77777777" w:rsidR="00B0029C" w:rsidRPr="0097110C" w:rsidRDefault="00B0029C" w:rsidP="00D3160D">
            <w:pPr>
              <w:pStyle w:val="AmColumnHeading"/>
              <w:keepNext/>
            </w:pPr>
            <w:r w:rsidRPr="0097110C">
              <w:t>Izmjena</w:t>
            </w:r>
          </w:p>
        </w:tc>
      </w:tr>
      <w:tr w:rsidR="00B0029C" w:rsidRPr="0097110C" w14:paraId="5F2C461B" w14:textId="77777777" w:rsidTr="00D3160D">
        <w:trPr>
          <w:jc w:val="center"/>
        </w:trPr>
        <w:tc>
          <w:tcPr>
            <w:tcW w:w="4876" w:type="dxa"/>
          </w:tcPr>
          <w:p w14:paraId="36440079" w14:textId="77777777" w:rsidR="00B0029C" w:rsidRPr="0097110C" w:rsidRDefault="00B0029C" w:rsidP="00D3160D">
            <w:pPr>
              <w:pStyle w:val="Normal6a"/>
            </w:pPr>
            <w:r w:rsidRPr="0097110C">
              <w:t>(3)</w:t>
            </w:r>
            <w:r w:rsidRPr="0097110C">
              <w:tab/>
              <w:t xml:space="preserve">Digitalnom transformacijom uvedene su radikalne i nove mogućnosti za integraciju digitalnih tehnologija ne samo u poduzeća, već i u pružanje javnih usluga. Stvorila je dosad nezabilježeno okruženje s novim potrebama za statistikom radi obavljanja zadaća ESSB-a i novim mogućnostima za učinkovitije prikupljanje </w:t>
            </w:r>
            <w:proofErr w:type="spellStart"/>
            <w:r w:rsidRPr="0097110C">
              <w:t>granularnih</w:t>
            </w:r>
            <w:proofErr w:type="spellEnd"/>
            <w:r w:rsidRPr="0097110C">
              <w:t xml:space="preserve"> podataka. Osim toga, nedavna gospodarska i financijska kretanja kao što su klimatska kriza, pandemija bolesti COVID-19, te energetska kriza i kriza troškova života izazvane agresivnim ratom </w:t>
            </w:r>
            <w:r w:rsidRPr="0097110C">
              <w:lastRenderedPageBreak/>
              <w:t>Rusije protiv Ukrajine povećale su zahtjeve i očekivanja za pravodobnijom, češćom i detaljnijom statistikom koja je potrebna kao potpora obavljanju zadaća ESSB-a. Istodobno je važno uravnotežiti te zahtjeve i očekivanja s potrebom da se opterećenje izvještajnih jedinica svede na najmanju moguću mjeru, uzimajući u obzir da su konkurentnost i produktivnost ključni uvjeti za procvat poduzeća. Stoga je važno prilagoditi pravni okvir kako bi se podržalo načelo „samo jednom” u odnosu na statističko i regulatorno izvješćivanje kad god je to moguće, te kako bi se osiguralo da izvještajne jedinice ne moraju dostavljati iste podatke više od jedanput. Ove bi prilagodbe trebale uzeti u obzir neovisnost ESB-a i statistička načela utvrđena u Uredbi (EZ) br. 2533/98.</w:t>
            </w:r>
          </w:p>
        </w:tc>
        <w:tc>
          <w:tcPr>
            <w:tcW w:w="4876" w:type="dxa"/>
          </w:tcPr>
          <w:p w14:paraId="69D30323" w14:textId="77777777" w:rsidR="00B0029C" w:rsidRPr="0097110C" w:rsidRDefault="00B0029C" w:rsidP="00D3160D">
            <w:pPr>
              <w:pStyle w:val="Normal6a"/>
              <w:rPr>
                <w:szCs w:val="24"/>
              </w:rPr>
            </w:pPr>
            <w:r w:rsidRPr="0097110C">
              <w:lastRenderedPageBreak/>
              <w:t>(3)</w:t>
            </w:r>
            <w:r w:rsidRPr="0097110C">
              <w:tab/>
              <w:t xml:space="preserve">Digitalnom transformacijom uvedene su radikalne i nove mogućnosti za integraciju digitalnih tehnologija ne samo u poduzeća, već i u pružanje javnih usluga. Stvorila je dosad nezabilježeno okruženje s novim potrebama za statistikom radi obavljanja zadaća ESSB-a i novim mogućnostima za učinkovitije prikupljanje </w:t>
            </w:r>
            <w:proofErr w:type="spellStart"/>
            <w:r w:rsidRPr="0097110C">
              <w:t>granularnih</w:t>
            </w:r>
            <w:proofErr w:type="spellEnd"/>
            <w:r w:rsidRPr="0097110C">
              <w:t xml:space="preserve"> podataka. Osim toga, nedavna gospodarska i financijska kretanja kao što su klimatska kriza, pandemija bolesti COVID-19, te energetska kriza i kriza troškova života izazvane agresivnim ratom </w:t>
            </w:r>
            <w:r w:rsidRPr="0097110C">
              <w:lastRenderedPageBreak/>
              <w:t>Rusije protiv Ukrajine povećale su zahtjeve i očekivanja za pravodobnijom, češćom i detaljnijom statistikom koja je potrebna kao potpora obavljanju zadaća ESSB-a. Istodobno je važno uravnotežiti te zahtjeve i očekivanja s potrebom da se opterećenje izvještajnih jedinica svede na najmanju moguću mjeru, uzimajući u obzir da su konkurentnost i produktivnost ključni uvjeti za procvat poduzeća. Stoga je važno prilagoditi pravni okvir kako bi se podržalo načelo „samo jednom” u odnosu na statističko i regulatorno izvješćivanje kad god je to moguće, te kako bi se osiguralo da izvještajne jedinice ne moraju dostavljati iste podatke više od jedanput</w:t>
            </w:r>
            <w:r w:rsidRPr="004E6B67">
              <w:rPr>
                <w:bCs/>
                <w:iCs/>
              </w:rPr>
              <w:t>.</w:t>
            </w:r>
            <w:r w:rsidRPr="0097110C">
              <w:t xml:space="preserve"> </w:t>
            </w:r>
            <w:r w:rsidRPr="0097110C">
              <w:rPr>
                <w:b/>
                <w:i/>
              </w:rPr>
              <w:t>U tom kontekstu i s obzirom na potencijal digitalizacije, ESB bi trebao dodatno istražiti alate za iskorištavanje digitalizacije kako bi se pojednostavnili postupci prikupljanja podataka i smanjilo opterećenje u pogledu zadaća koje izvršavaju ESSB i izvještajne jedinice. ESB bi trebao nastaviti s procjenama mogućnosti i izazova koje donosi upotreba novih digitalnih tehnologija za prikupljanje statističkih podataka te bi trebao dati novu preporuku za odgovarajuću izmjenu ove Uredbe ako u svojoj procjeni zaključi da je to potrebno.</w:t>
            </w:r>
            <w:r w:rsidRPr="0097110C">
              <w:t xml:space="preserve"> Ove bi prilagodbe trebale uzeti u obzir neovisnost ESB-a i statistička načela utvrđena u Uredbi (EZ) br. 2533/98.</w:t>
            </w:r>
          </w:p>
        </w:tc>
      </w:tr>
    </w:tbl>
    <w:p w14:paraId="408A6555" w14:textId="77777777" w:rsidR="00B0029C" w:rsidRPr="0097110C" w:rsidRDefault="00B0029C" w:rsidP="00B0029C"/>
    <w:p w14:paraId="185E3A75" w14:textId="77777777" w:rsidR="00B0029C" w:rsidRPr="0097110C" w:rsidRDefault="00B0029C" w:rsidP="00B0029C">
      <w:pPr>
        <w:pStyle w:val="AmNumberTabs"/>
        <w:keepNext/>
      </w:pPr>
      <w:r w:rsidRPr="0097110C">
        <w:t>Amandman</w:t>
      </w:r>
      <w:r w:rsidRPr="0097110C">
        <w:tab/>
      </w:r>
      <w:r w:rsidRPr="0097110C">
        <w:tab/>
        <w:t>3</w:t>
      </w:r>
    </w:p>
    <w:p w14:paraId="71F56667" w14:textId="77777777" w:rsidR="00B0029C" w:rsidRPr="0097110C" w:rsidRDefault="00B0029C" w:rsidP="00B0029C">
      <w:pPr>
        <w:pStyle w:val="NormalBold12b"/>
        <w:keepNext/>
      </w:pPr>
      <w:r w:rsidRPr="0097110C">
        <w:t>Nacrt uredbe</w:t>
      </w:r>
    </w:p>
    <w:p w14:paraId="6E667DB1" w14:textId="77777777" w:rsidR="00B0029C" w:rsidRPr="0097110C" w:rsidRDefault="00B0029C" w:rsidP="00B0029C">
      <w:pPr>
        <w:pStyle w:val="NormalBold"/>
        <w:keepNext/>
      </w:pPr>
      <w:r w:rsidRPr="0097110C">
        <w:t>Uvodna izjava 3.a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71F2FBAD" w14:textId="77777777" w:rsidTr="00D3160D">
        <w:trPr>
          <w:jc w:val="center"/>
        </w:trPr>
        <w:tc>
          <w:tcPr>
            <w:tcW w:w="9752" w:type="dxa"/>
            <w:gridSpan w:val="2"/>
          </w:tcPr>
          <w:p w14:paraId="6CF0EE4D" w14:textId="77777777" w:rsidR="00B0029C" w:rsidRPr="0097110C" w:rsidRDefault="00B0029C" w:rsidP="00D3160D">
            <w:pPr>
              <w:keepNext/>
            </w:pPr>
          </w:p>
        </w:tc>
      </w:tr>
      <w:tr w:rsidR="00B0029C" w:rsidRPr="0097110C" w14:paraId="518CE213" w14:textId="77777777" w:rsidTr="00D3160D">
        <w:trPr>
          <w:jc w:val="center"/>
        </w:trPr>
        <w:tc>
          <w:tcPr>
            <w:tcW w:w="4876" w:type="dxa"/>
          </w:tcPr>
          <w:p w14:paraId="11AE17DB" w14:textId="77777777" w:rsidR="00B0029C" w:rsidRPr="0097110C" w:rsidRDefault="00B0029C" w:rsidP="00D3160D">
            <w:pPr>
              <w:pStyle w:val="AmColumnHeading"/>
              <w:keepNext/>
            </w:pPr>
            <w:r w:rsidRPr="0097110C">
              <w:t>Nacrt Europske središnje banke</w:t>
            </w:r>
          </w:p>
        </w:tc>
        <w:tc>
          <w:tcPr>
            <w:tcW w:w="4876" w:type="dxa"/>
          </w:tcPr>
          <w:p w14:paraId="5ED5F7B6" w14:textId="77777777" w:rsidR="00B0029C" w:rsidRPr="0097110C" w:rsidRDefault="00B0029C" w:rsidP="00D3160D">
            <w:pPr>
              <w:pStyle w:val="AmColumnHeading"/>
              <w:keepNext/>
            </w:pPr>
            <w:r w:rsidRPr="0097110C">
              <w:t>Izmjena</w:t>
            </w:r>
          </w:p>
        </w:tc>
      </w:tr>
      <w:tr w:rsidR="00B0029C" w:rsidRPr="0097110C" w14:paraId="263DADA6" w14:textId="77777777" w:rsidTr="00D3160D">
        <w:trPr>
          <w:jc w:val="center"/>
        </w:trPr>
        <w:tc>
          <w:tcPr>
            <w:tcW w:w="4876" w:type="dxa"/>
          </w:tcPr>
          <w:p w14:paraId="24C9CE64" w14:textId="77777777" w:rsidR="00B0029C" w:rsidRPr="0097110C" w:rsidRDefault="00B0029C" w:rsidP="00D3160D">
            <w:pPr>
              <w:pStyle w:val="Normal6a"/>
            </w:pPr>
          </w:p>
        </w:tc>
        <w:tc>
          <w:tcPr>
            <w:tcW w:w="4876" w:type="dxa"/>
          </w:tcPr>
          <w:p w14:paraId="6CFFA3D9" w14:textId="77777777" w:rsidR="00B0029C" w:rsidRPr="0097110C" w:rsidRDefault="00B0029C" w:rsidP="00D3160D">
            <w:pPr>
              <w:pStyle w:val="Normal6a"/>
              <w:rPr>
                <w:szCs w:val="24"/>
              </w:rPr>
            </w:pPr>
            <w:r w:rsidRPr="0097110C">
              <w:rPr>
                <w:b/>
                <w:i/>
              </w:rPr>
              <w:t>(3a)</w:t>
            </w:r>
            <w:r w:rsidRPr="0097110C">
              <w:rPr>
                <w:b/>
                <w:i/>
              </w:rPr>
              <w:tab/>
              <w:t xml:space="preserve">Kako bi osigurao pouzdanost i relevantnost svojih analitičkih alata te u skladu sa svojim primarnim mandatom u pogledu stabilnosti cijena, što se nadopunjuje sekundarnim ciljevima podupiranja općih ekonomskih politika u Uniji, uključujući one koje se odnose na pitanja okoliša i održivosti, ESB bi trebao </w:t>
            </w:r>
            <w:r w:rsidRPr="0097110C">
              <w:rPr>
                <w:b/>
                <w:i/>
              </w:rPr>
              <w:lastRenderedPageBreak/>
              <w:t>nastaviti poboljšavati svoj statistički okvir kako bi se uzeli u obzir promjenjivi gospodarski i strukturni izazovi.</w:t>
            </w:r>
          </w:p>
        </w:tc>
      </w:tr>
    </w:tbl>
    <w:p w14:paraId="273B8FD9" w14:textId="77777777" w:rsidR="00B0029C" w:rsidRPr="0097110C" w:rsidRDefault="00B0029C" w:rsidP="00B0029C"/>
    <w:p w14:paraId="330A49CE" w14:textId="77777777" w:rsidR="00B0029C" w:rsidRPr="0097110C" w:rsidRDefault="00B0029C" w:rsidP="00B0029C">
      <w:pPr>
        <w:pStyle w:val="AmNumberTabs"/>
        <w:keepNext/>
      </w:pPr>
      <w:r w:rsidRPr="0097110C">
        <w:t>Amandman</w:t>
      </w:r>
      <w:r w:rsidRPr="0097110C">
        <w:tab/>
      </w:r>
      <w:r w:rsidRPr="0097110C">
        <w:tab/>
        <w:t>4</w:t>
      </w:r>
    </w:p>
    <w:p w14:paraId="2CBE32BD" w14:textId="77777777" w:rsidR="00B0029C" w:rsidRPr="0097110C" w:rsidRDefault="00B0029C" w:rsidP="00B0029C">
      <w:pPr>
        <w:pStyle w:val="NormalBold12b"/>
        <w:keepNext/>
      </w:pPr>
      <w:r w:rsidRPr="0097110C">
        <w:t>Nacrt uredbe</w:t>
      </w:r>
    </w:p>
    <w:p w14:paraId="17AD3A67" w14:textId="77777777" w:rsidR="00B0029C" w:rsidRPr="0097110C" w:rsidRDefault="00B0029C" w:rsidP="00B0029C">
      <w:pPr>
        <w:pStyle w:val="NormalBold"/>
        <w:keepNext/>
      </w:pPr>
      <w:r w:rsidRPr="0097110C">
        <w:t>Uvodna izjava 3.b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6624DA60" w14:textId="77777777" w:rsidTr="00D3160D">
        <w:trPr>
          <w:jc w:val="center"/>
        </w:trPr>
        <w:tc>
          <w:tcPr>
            <w:tcW w:w="9752" w:type="dxa"/>
            <w:gridSpan w:val="2"/>
          </w:tcPr>
          <w:p w14:paraId="6BA64EAB" w14:textId="77777777" w:rsidR="00B0029C" w:rsidRPr="0097110C" w:rsidRDefault="00B0029C" w:rsidP="00D3160D">
            <w:pPr>
              <w:keepNext/>
            </w:pPr>
          </w:p>
        </w:tc>
      </w:tr>
      <w:tr w:rsidR="00B0029C" w:rsidRPr="0097110C" w14:paraId="2E1BDB5F" w14:textId="77777777" w:rsidTr="00D3160D">
        <w:trPr>
          <w:jc w:val="center"/>
        </w:trPr>
        <w:tc>
          <w:tcPr>
            <w:tcW w:w="4876" w:type="dxa"/>
          </w:tcPr>
          <w:p w14:paraId="2EDA7037" w14:textId="77777777" w:rsidR="00B0029C" w:rsidRPr="0097110C" w:rsidRDefault="00B0029C" w:rsidP="00D3160D">
            <w:pPr>
              <w:pStyle w:val="AmColumnHeading"/>
              <w:keepNext/>
            </w:pPr>
            <w:r w:rsidRPr="0097110C">
              <w:t>Nacrt Europske središnje banke</w:t>
            </w:r>
          </w:p>
        </w:tc>
        <w:tc>
          <w:tcPr>
            <w:tcW w:w="4876" w:type="dxa"/>
          </w:tcPr>
          <w:p w14:paraId="0D0FB192" w14:textId="77777777" w:rsidR="00B0029C" w:rsidRPr="0097110C" w:rsidRDefault="00B0029C" w:rsidP="00D3160D">
            <w:pPr>
              <w:pStyle w:val="AmColumnHeading"/>
              <w:keepNext/>
            </w:pPr>
            <w:r w:rsidRPr="0097110C">
              <w:t>Izmjena</w:t>
            </w:r>
          </w:p>
        </w:tc>
      </w:tr>
      <w:tr w:rsidR="00B0029C" w:rsidRPr="0097110C" w14:paraId="064212A1" w14:textId="77777777" w:rsidTr="00D3160D">
        <w:trPr>
          <w:jc w:val="center"/>
        </w:trPr>
        <w:tc>
          <w:tcPr>
            <w:tcW w:w="4876" w:type="dxa"/>
          </w:tcPr>
          <w:p w14:paraId="7DBBA13A" w14:textId="77777777" w:rsidR="00B0029C" w:rsidRPr="0097110C" w:rsidRDefault="00B0029C" w:rsidP="00D3160D">
            <w:pPr>
              <w:pStyle w:val="Normal6a"/>
            </w:pPr>
          </w:p>
        </w:tc>
        <w:tc>
          <w:tcPr>
            <w:tcW w:w="4876" w:type="dxa"/>
          </w:tcPr>
          <w:p w14:paraId="2225267B" w14:textId="77777777" w:rsidR="00B0029C" w:rsidRPr="0097110C" w:rsidRDefault="00B0029C" w:rsidP="00D3160D">
            <w:pPr>
              <w:pStyle w:val="Normal6a"/>
              <w:rPr>
                <w:szCs w:val="24"/>
              </w:rPr>
            </w:pPr>
            <w:r w:rsidRPr="0097110C">
              <w:rPr>
                <w:b/>
                <w:i/>
              </w:rPr>
              <w:t>(3b)</w:t>
            </w:r>
            <w:r w:rsidRPr="0097110C">
              <w:rPr>
                <w:b/>
                <w:i/>
              </w:rPr>
              <w:tab/>
              <w:t>Upotreba umjetne inteligencije nudi mogućnosti za povećanje učinkovitosti, točnosti i pravodobnosti prikupljanja i obrade podataka. Međutim, također povećava i posebne rizike povezane s transparentnošću, pristranošću, sigurnošću, privatnošću i odgovornošću. Stoga je potrebno osigurati da se svi sustavi umjetne inteligencije koje ESB ili nacionalne središnje banke upotrebljavaju u izvršavanju svojih statističkih zadaća koriste na odgovoran, transparentan i siguran način, uz jamčenje odgovarajućeg ljudskog nadzora i potpune odgovornosti, u skladu s pravnim okvirom Unije i neovisnošću ESB-a.</w:t>
            </w:r>
          </w:p>
        </w:tc>
      </w:tr>
    </w:tbl>
    <w:p w14:paraId="2FD16B14" w14:textId="77777777" w:rsidR="00B0029C" w:rsidRPr="0097110C" w:rsidRDefault="00B0029C" w:rsidP="00B0029C"/>
    <w:p w14:paraId="1005A7C6" w14:textId="77777777" w:rsidR="00B0029C" w:rsidRPr="0097110C" w:rsidRDefault="00B0029C" w:rsidP="00B0029C">
      <w:pPr>
        <w:pStyle w:val="AmNumberTabs"/>
        <w:keepNext/>
      </w:pPr>
      <w:r w:rsidRPr="0097110C">
        <w:t>Amandman</w:t>
      </w:r>
      <w:r w:rsidRPr="0097110C">
        <w:tab/>
      </w:r>
      <w:r w:rsidRPr="0097110C">
        <w:tab/>
        <w:t>5</w:t>
      </w:r>
    </w:p>
    <w:p w14:paraId="440211AC" w14:textId="77777777" w:rsidR="00B0029C" w:rsidRPr="0097110C" w:rsidRDefault="00B0029C" w:rsidP="00B0029C">
      <w:pPr>
        <w:pStyle w:val="NormalBold12b"/>
        <w:keepNext/>
      </w:pPr>
      <w:r w:rsidRPr="0097110C">
        <w:t>Nacrt uredbe</w:t>
      </w:r>
    </w:p>
    <w:p w14:paraId="1E6CDCE9" w14:textId="77777777" w:rsidR="00B0029C" w:rsidRPr="0097110C" w:rsidRDefault="00B0029C" w:rsidP="00B0029C">
      <w:pPr>
        <w:pStyle w:val="NormalBold"/>
        <w:keepNext/>
      </w:pPr>
      <w:r w:rsidRPr="0097110C">
        <w:t>Uvodna izjava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75FB134C" w14:textId="77777777" w:rsidTr="00D3160D">
        <w:trPr>
          <w:jc w:val="center"/>
        </w:trPr>
        <w:tc>
          <w:tcPr>
            <w:tcW w:w="9752" w:type="dxa"/>
            <w:gridSpan w:val="2"/>
          </w:tcPr>
          <w:p w14:paraId="51639FEC" w14:textId="77777777" w:rsidR="00B0029C" w:rsidRPr="0097110C" w:rsidRDefault="00B0029C" w:rsidP="00D3160D">
            <w:pPr>
              <w:keepNext/>
            </w:pPr>
          </w:p>
        </w:tc>
      </w:tr>
      <w:tr w:rsidR="00B0029C" w:rsidRPr="0097110C" w14:paraId="635F5B62" w14:textId="77777777" w:rsidTr="00D3160D">
        <w:trPr>
          <w:jc w:val="center"/>
        </w:trPr>
        <w:tc>
          <w:tcPr>
            <w:tcW w:w="4876" w:type="dxa"/>
          </w:tcPr>
          <w:p w14:paraId="3C204066" w14:textId="77777777" w:rsidR="00B0029C" w:rsidRPr="0097110C" w:rsidRDefault="00B0029C" w:rsidP="00D3160D">
            <w:pPr>
              <w:pStyle w:val="AmColumnHeading"/>
              <w:keepNext/>
            </w:pPr>
            <w:r w:rsidRPr="0097110C">
              <w:t>Nacrt Europske središnje banke</w:t>
            </w:r>
          </w:p>
        </w:tc>
        <w:tc>
          <w:tcPr>
            <w:tcW w:w="4876" w:type="dxa"/>
          </w:tcPr>
          <w:p w14:paraId="3C535136" w14:textId="77777777" w:rsidR="00B0029C" w:rsidRPr="0097110C" w:rsidRDefault="00B0029C" w:rsidP="00D3160D">
            <w:pPr>
              <w:pStyle w:val="AmColumnHeading"/>
              <w:keepNext/>
            </w:pPr>
            <w:r w:rsidRPr="0097110C">
              <w:t>Izmjena</w:t>
            </w:r>
          </w:p>
        </w:tc>
      </w:tr>
      <w:tr w:rsidR="00B0029C" w:rsidRPr="0097110C" w14:paraId="180BA393" w14:textId="77777777" w:rsidTr="00D3160D">
        <w:trPr>
          <w:jc w:val="center"/>
        </w:trPr>
        <w:tc>
          <w:tcPr>
            <w:tcW w:w="4876" w:type="dxa"/>
          </w:tcPr>
          <w:p w14:paraId="5C41A57A" w14:textId="77777777" w:rsidR="00B0029C" w:rsidRPr="0097110C" w:rsidRDefault="00B0029C" w:rsidP="00D3160D">
            <w:pPr>
              <w:pStyle w:val="Normal6a"/>
            </w:pPr>
            <w:r w:rsidRPr="0097110C">
              <w:t>(9)</w:t>
            </w:r>
            <w:r w:rsidRPr="0097110C">
              <w:tab/>
              <w:t xml:space="preserve">Povjerljivi statistički podaci koje ESB i nacionalne središnje banke pribave radi obavljanja zadaća ESSB-a moraju biti zaštićeni kako bi se spriječila njihova nezakonita uporaba i otkrivanje. Međutim, režim tajnosti trebalo bi revidirati i pojasniti kako bi se osiguralo da ESB i nacionalne središnje banke upotrebljavaju i razmjenjuju povjerljive statističke podatke radi obavljanja zadaća ESSB-a navedenih u Ugovoru te za učinkovit razvoj, izradu ili diseminaciju statističkih podataka ili za </w:t>
            </w:r>
            <w:r w:rsidRPr="0097110C">
              <w:lastRenderedPageBreak/>
              <w:t>povećanje njihove kvalitete. Te su revizije potrebne kako bi se osiguralo da ESB može prikupljati podatke uz pomoć nacionalnih središnjih banaka u skladu s načelom „samo jednom. Osim toga, kako bi se smanjila potreba za dvostrukim statističkim i regulatornim izvještajnim zahtjevima te olakšala suradnja među tijelima država članica i Unije u svrhu smanjenja nepotrebnih administrativnih tereta, članovi ESSB-a trebali bi biti obvezni razmjenjivati povjerljive statističke podatke s određenim tijelima radi obavljanja njihovih zadaća povezanih s bonitetnim nadzorom i stabilnošću financijskog sustava, kao i s članovima Europskog statističkog sustava. Članovi ESSB-a trebali bi biti fleksibilni u razmjeni povjerljivih statističkih podataka s drugim tijelima država članica ili Unije ili s istraživačima povezanima sa znanstveno-istraživačkim tijelima u određenim okolnostima. Može se također razmijeniti određen i ograničen skup povjerljivih statističkih podataka s izvještajnim jedinicama ako je to potrebno u određene statističke svrhe ili ako su izvori tih podataka dostupni izvještajnoj jedinici, na primjer kada te podatke dostavlja subjekt pod nadzorom izvještajne jedinice ili njezinih podružnica. Da bi se zadržalo povjerenje izvještajnih jedinica, trebali bi postojati dosljedni mehanizmi za zaštitu povjerljivih statističkih podataka te veća transparentnost u pogledu njihove moguće uporabe.</w:t>
            </w:r>
          </w:p>
        </w:tc>
        <w:tc>
          <w:tcPr>
            <w:tcW w:w="4876" w:type="dxa"/>
          </w:tcPr>
          <w:p w14:paraId="5D762238" w14:textId="77777777" w:rsidR="00B0029C" w:rsidRPr="0097110C" w:rsidRDefault="00B0029C" w:rsidP="00D3160D">
            <w:pPr>
              <w:pStyle w:val="Normal6a"/>
              <w:rPr>
                <w:szCs w:val="24"/>
              </w:rPr>
            </w:pPr>
            <w:r w:rsidRPr="0097110C">
              <w:lastRenderedPageBreak/>
              <w:t>(9)</w:t>
            </w:r>
            <w:r w:rsidRPr="0097110C">
              <w:tab/>
              <w:t xml:space="preserve">Povjerljivi statistički podaci koje ESB i nacionalne središnje banke pribave radi obavljanja zadaća ESSB-a moraju biti zaštićeni kako bi se spriječila njihova nezakonita uporaba i otkrivanje. Međutim, režim tajnosti trebalo bi revidirati i pojasniti kako bi se osiguralo da ESB i nacionalne središnje banke upotrebljavaju i razmjenjuju povjerljive statističke podatke radi obavljanja zadaća ESSB-a navedenih u Ugovoru te za učinkovit razvoj, izradu ili diseminaciju statističkih podataka ili za </w:t>
            </w:r>
            <w:r w:rsidRPr="0097110C">
              <w:lastRenderedPageBreak/>
              <w:t xml:space="preserve">povećanje njihove kvalitete. Te su revizije potrebne kako bi se osiguralo da ESB može prikupljati podatke uz pomoć nacionalnih središnjih banaka u skladu s načelom „samo jednom”. Osim toga, kako bi se smanjila potreba za dvostrukim statističkim i regulatornim izvještajnim zahtjevima te olakšala suradnja među tijelima država članica i Unije u svrhu smanjenja nepotrebnih administrativnih tereta, članovi ESSB-a trebali bi biti obvezni razmjenjivati povjerljive statističke podatke s određenim tijelima radi obavljanja njihovih zadaća povezanih s bonitetnim nadzorom i stabilnošću financijskog sustava, kao i s članovima Europskog statističkog sustava. Članovi ESSB-a trebali bi biti fleksibilni u razmjeni povjerljivih statističkih podataka s drugim tijelima država članica ili Unije ili s istraživačima povezanima sa znanstveno-istraživačkim tijelima u određenim okolnostima. Može se također razmijeniti određen i ograničen skup povjerljivih statističkih podataka s izvještajnim jedinicama ako je to potrebno u određene statističke svrhe ili ako su izvori tih podataka dostupni izvještajnoj jedinici, na primjer kada te podatke dostavlja subjekt pod nadzorom izvještajne jedinice ili njezinih podružnica. Da bi se zadržalo povjerenje izvještajnih jedinica, trebali bi postojati dosljedni mehanizmi za zaštitu povjerljivih statističkih podataka te veća transparentnost u pogledu njihove moguće uporabe. </w:t>
            </w:r>
            <w:r w:rsidRPr="0097110C">
              <w:rPr>
                <w:b/>
                <w:i/>
              </w:rPr>
              <w:t xml:space="preserve">Kako bi se potaknulo neovisno istraživanje i nadzor, ESB i nacionalne središnje banke trebali bi povjerljive statističke podatke iz glavnih skupova podataka ESSB-a staviti na raspolaganje akreditiranim istraživačima kad god se takav pristup može pružiti bez rizika od objave podataka. Time će se poboljšati analitička upotreba statističkih podataka za donošenje politika utemeljenih na dokazima u cijelom </w:t>
            </w:r>
            <w:proofErr w:type="spellStart"/>
            <w:r w:rsidRPr="0097110C">
              <w:rPr>
                <w:b/>
                <w:i/>
              </w:rPr>
              <w:t>europodručju</w:t>
            </w:r>
            <w:proofErr w:type="spellEnd"/>
            <w:r w:rsidRPr="0097110C">
              <w:rPr>
                <w:b/>
                <w:i/>
              </w:rPr>
              <w:t>, uz istodobno očuvanje povjerljivosti podataka.</w:t>
            </w:r>
          </w:p>
        </w:tc>
      </w:tr>
    </w:tbl>
    <w:p w14:paraId="118F0117" w14:textId="77777777" w:rsidR="00B0029C" w:rsidRPr="0097110C" w:rsidRDefault="00B0029C" w:rsidP="00B0029C"/>
    <w:p w14:paraId="36299C28" w14:textId="77777777" w:rsidR="00B0029C" w:rsidRPr="0097110C" w:rsidRDefault="00B0029C" w:rsidP="00B0029C">
      <w:pPr>
        <w:pStyle w:val="AmNumberTabs"/>
        <w:keepNext/>
      </w:pPr>
      <w:r w:rsidRPr="0097110C">
        <w:lastRenderedPageBreak/>
        <w:t>Amandman</w:t>
      </w:r>
      <w:r w:rsidRPr="0097110C">
        <w:tab/>
      </w:r>
      <w:r w:rsidRPr="0097110C">
        <w:tab/>
        <w:t>6</w:t>
      </w:r>
    </w:p>
    <w:p w14:paraId="75588B56" w14:textId="77777777" w:rsidR="00B0029C" w:rsidRPr="0097110C" w:rsidRDefault="00B0029C" w:rsidP="00B0029C">
      <w:pPr>
        <w:pStyle w:val="NormalBold12b"/>
        <w:keepNext/>
      </w:pPr>
      <w:r w:rsidRPr="0097110C">
        <w:t>Nacrt uredbe</w:t>
      </w:r>
    </w:p>
    <w:p w14:paraId="60E65628" w14:textId="77777777" w:rsidR="00B0029C" w:rsidRPr="0097110C" w:rsidRDefault="00B0029C" w:rsidP="00B0029C">
      <w:pPr>
        <w:pStyle w:val="NormalBold"/>
        <w:keepNext/>
        <w:rPr>
          <w:rFonts w:eastAsiaTheme="majorEastAsia"/>
        </w:rPr>
      </w:pPr>
      <w:r w:rsidRPr="0097110C">
        <w:t xml:space="preserve">Članak 1. – stavak 1. – točka 2. – </w:t>
      </w:r>
      <w:proofErr w:type="spellStart"/>
      <w:r w:rsidRPr="0097110C">
        <w:t>podtočka</w:t>
      </w:r>
      <w:proofErr w:type="spellEnd"/>
      <w:r w:rsidRPr="0097110C">
        <w:t xml:space="preserve"> -a (nova)</w:t>
      </w:r>
    </w:p>
    <w:p w14:paraId="7F84165E" w14:textId="77777777" w:rsidR="00B0029C" w:rsidRPr="0097110C" w:rsidRDefault="00B0029C" w:rsidP="00B0029C">
      <w:pPr>
        <w:widowControl/>
      </w:pPr>
      <w:r w:rsidRPr="0097110C">
        <w:t>Uredba (EZ) br. 2533/98</w:t>
      </w:r>
    </w:p>
    <w:p w14:paraId="095B0C30" w14:textId="77777777" w:rsidR="00B0029C" w:rsidRPr="0097110C" w:rsidRDefault="00B0029C" w:rsidP="00B0029C">
      <w:pPr>
        <w:widowControl/>
      </w:pPr>
      <w:r w:rsidRPr="0097110C">
        <w:t>Članak 2.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698EA332" w14:textId="77777777" w:rsidTr="00D3160D">
        <w:trPr>
          <w:jc w:val="center"/>
        </w:trPr>
        <w:tc>
          <w:tcPr>
            <w:tcW w:w="9752" w:type="dxa"/>
            <w:gridSpan w:val="2"/>
          </w:tcPr>
          <w:p w14:paraId="04EF409E" w14:textId="77777777" w:rsidR="00B0029C" w:rsidRPr="0097110C" w:rsidRDefault="00B0029C" w:rsidP="00D3160D">
            <w:pPr>
              <w:keepNext/>
            </w:pPr>
          </w:p>
        </w:tc>
      </w:tr>
      <w:tr w:rsidR="00B0029C" w:rsidRPr="0097110C" w14:paraId="52831643" w14:textId="77777777" w:rsidTr="00D3160D">
        <w:trPr>
          <w:jc w:val="center"/>
        </w:trPr>
        <w:tc>
          <w:tcPr>
            <w:tcW w:w="4876" w:type="dxa"/>
          </w:tcPr>
          <w:p w14:paraId="20179F0A" w14:textId="77777777" w:rsidR="00B0029C" w:rsidRPr="0097110C" w:rsidRDefault="00B0029C" w:rsidP="00D3160D">
            <w:pPr>
              <w:pStyle w:val="AmColumnHeading"/>
              <w:keepNext/>
            </w:pPr>
            <w:r w:rsidRPr="0097110C">
              <w:t>Tekst na snazi</w:t>
            </w:r>
          </w:p>
        </w:tc>
        <w:tc>
          <w:tcPr>
            <w:tcW w:w="4876" w:type="dxa"/>
          </w:tcPr>
          <w:p w14:paraId="453D0F5C" w14:textId="77777777" w:rsidR="00B0029C" w:rsidRPr="0097110C" w:rsidRDefault="00B0029C" w:rsidP="00D3160D">
            <w:pPr>
              <w:pStyle w:val="AmColumnHeading"/>
              <w:keepNext/>
            </w:pPr>
            <w:r w:rsidRPr="0097110C">
              <w:t>Izmjena</w:t>
            </w:r>
          </w:p>
        </w:tc>
      </w:tr>
      <w:tr w:rsidR="00B0029C" w:rsidRPr="0097110C" w14:paraId="595A02E8" w14:textId="77777777" w:rsidTr="00D3160D">
        <w:trPr>
          <w:jc w:val="center"/>
        </w:trPr>
        <w:tc>
          <w:tcPr>
            <w:tcW w:w="4876" w:type="dxa"/>
          </w:tcPr>
          <w:p w14:paraId="09F9DA04" w14:textId="77777777" w:rsidR="00B0029C" w:rsidRPr="0097110C" w:rsidRDefault="00B0029C" w:rsidP="00D3160D">
            <w:pPr>
              <w:pStyle w:val="Normal6a"/>
            </w:pPr>
          </w:p>
        </w:tc>
        <w:tc>
          <w:tcPr>
            <w:tcW w:w="4876" w:type="dxa"/>
          </w:tcPr>
          <w:p w14:paraId="512D7E7B" w14:textId="77777777" w:rsidR="00B0029C" w:rsidRPr="0097110C" w:rsidRDefault="00B0029C" w:rsidP="00D3160D">
            <w:pPr>
              <w:pStyle w:val="Normal6a"/>
              <w:rPr>
                <w:szCs w:val="24"/>
              </w:rPr>
            </w:pPr>
            <w:r w:rsidRPr="0097110C">
              <w:rPr>
                <w:b/>
                <w:i/>
              </w:rPr>
              <w:t>(-a)</w:t>
            </w:r>
            <w:r w:rsidRPr="0097110C">
              <w:rPr>
                <w:b/>
                <w:i/>
              </w:rPr>
              <w:tab/>
              <w:t>stavak 1. zamjenjuje se sljedećim:</w:t>
            </w:r>
          </w:p>
        </w:tc>
      </w:tr>
      <w:tr w:rsidR="00B0029C" w:rsidRPr="0097110C" w14:paraId="3185A4F1" w14:textId="77777777" w:rsidTr="00D3160D">
        <w:trPr>
          <w:jc w:val="center"/>
        </w:trPr>
        <w:tc>
          <w:tcPr>
            <w:tcW w:w="4876" w:type="dxa"/>
          </w:tcPr>
          <w:p w14:paraId="6D2E7065" w14:textId="77777777" w:rsidR="00B0029C" w:rsidRPr="0097110C" w:rsidRDefault="00B0029C" w:rsidP="00D3160D">
            <w:pPr>
              <w:pStyle w:val="Normal6a"/>
            </w:pPr>
            <w:r w:rsidRPr="0097110C">
              <w:t>1.</w:t>
            </w:r>
            <w:r w:rsidRPr="0097110C">
              <w:tab/>
              <w:t xml:space="preserve">Za ispunjavanje statističkih izvještajnih zahtjeva ESB-a, ESB uz pomoć nacionalnih središnjih banaka u skladu s člankom 5. stavkom 5.2. Statuta ima pravo na prikupljanje statističkih podataka u okviru referentne izvještajne populacije i podataka potrebnih za izvršavanje zadaća ESSB-a. Podaci se mogu prikupljati posebno u području monetarne i financijske statistike, statistike novčanica, statistike plaćanja i platnih sustava, statistike financijske stabilnosti, </w:t>
            </w:r>
            <w:proofErr w:type="spellStart"/>
            <w:r w:rsidRPr="0097110C">
              <w:t>platnobilančne</w:t>
            </w:r>
            <w:proofErr w:type="spellEnd"/>
            <w:r w:rsidRPr="0097110C">
              <w:t xml:space="preserve"> statistike i statistike stanja međunarodnih ulaganja. Kada je to potrebno radi izvršavanja zadaća ESSB-a, mogu se prikupljati i dodatni podaci iz drugih područja u slučajevima kada je to opravdano. Podaci koji se prikupljaju radi ispunjavanja statističkih izvještajnih zahtjeva ESB-a iscrpno su određeni u statističkom programu rada ESSB-a.</w:t>
            </w:r>
          </w:p>
        </w:tc>
        <w:tc>
          <w:tcPr>
            <w:tcW w:w="4876" w:type="dxa"/>
          </w:tcPr>
          <w:p w14:paraId="299AC509" w14:textId="77777777" w:rsidR="00B0029C" w:rsidRPr="0097110C" w:rsidRDefault="00B0029C" w:rsidP="00D3160D">
            <w:pPr>
              <w:pStyle w:val="Normal6a"/>
            </w:pPr>
            <w:r w:rsidRPr="0097110C">
              <w:t>1.</w:t>
            </w:r>
            <w:r w:rsidRPr="0097110C">
              <w:tab/>
              <w:t xml:space="preserve">Za ispunjavanje statističkih izvještajnih zahtjeva ESB-a, ESB uz pomoć nacionalnih središnjih banaka u skladu s člankom 5. stavkom 5.2. Statuta ima pravo na prikupljanje statističkih podataka u okviru referentne izvještajne populacije i podataka potrebnih za izvršavanje zadaća ESSB-a. </w:t>
            </w:r>
            <w:r w:rsidRPr="0097110C">
              <w:rPr>
                <w:b/>
                <w:i/>
              </w:rPr>
              <w:t xml:space="preserve">Kako bi se bolje odgovorilo na ozbiljne i predstojeće izazove, </w:t>
            </w:r>
            <w:r w:rsidRPr="0097110C">
              <w:t xml:space="preserve">podaci se mogu prikupljati posebno u području monetarne i financijske statistike, statistike novčanica, statistike plaćanja i platnih sustava, statistike financijske stabilnosti, </w:t>
            </w:r>
            <w:proofErr w:type="spellStart"/>
            <w:r w:rsidRPr="0097110C">
              <w:t>platnobilančne</w:t>
            </w:r>
            <w:proofErr w:type="spellEnd"/>
            <w:r w:rsidRPr="0097110C">
              <w:t xml:space="preserve"> statistike</w:t>
            </w:r>
            <w:r w:rsidRPr="0097110C">
              <w:rPr>
                <w:b/>
                <w:i/>
              </w:rPr>
              <w:t>, makroekonomskih pokazatelja</w:t>
            </w:r>
            <w:r w:rsidRPr="0097110C">
              <w:t xml:space="preserve"> i statistike stanja međunarodnih ulaganja. Kada je to potrebno radi izvršavanja zadaća ESSB-a, mogu se prikupljati i dodatni podaci iz drugih područja u slučajevima kada je to opravdano. Podaci koji se prikupljaju radi ispunjavanja statističkih izvještajnih zahtjeva ESB-a detaljnije su određeni u statističkom programu rada ESSB-a.</w:t>
            </w:r>
          </w:p>
        </w:tc>
      </w:tr>
    </w:tbl>
    <w:p w14:paraId="6F156DA4" w14:textId="77777777" w:rsidR="00B0029C" w:rsidRPr="0097110C" w:rsidRDefault="00B0029C" w:rsidP="00B0029C"/>
    <w:p w14:paraId="241C2058" w14:textId="77777777" w:rsidR="00B0029C" w:rsidRPr="0097110C" w:rsidRDefault="00B0029C" w:rsidP="00B0029C">
      <w:pPr>
        <w:pStyle w:val="AmNumberTabs"/>
        <w:keepNext/>
      </w:pPr>
      <w:r w:rsidRPr="0097110C">
        <w:t>Amandman</w:t>
      </w:r>
      <w:r w:rsidRPr="0097110C">
        <w:tab/>
      </w:r>
      <w:r w:rsidRPr="0097110C">
        <w:tab/>
        <w:t>7</w:t>
      </w:r>
    </w:p>
    <w:p w14:paraId="66119BDE" w14:textId="77777777" w:rsidR="00B0029C" w:rsidRPr="0097110C" w:rsidRDefault="00B0029C" w:rsidP="00B0029C">
      <w:pPr>
        <w:pStyle w:val="NormalBold12b"/>
        <w:keepNext/>
      </w:pPr>
      <w:r w:rsidRPr="0097110C">
        <w:t>Nacrt uredbe</w:t>
      </w:r>
    </w:p>
    <w:p w14:paraId="4C9593ED" w14:textId="77777777" w:rsidR="00B0029C" w:rsidRPr="0097110C" w:rsidRDefault="00B0029C" w:rsidP="00B0029C">
      <w:pPr>
        <w:pStyle w:val="NormalBold"/>
        <w:keepNext/>
        <w:rPr>
          <w:rFonts w:eastAsiaTheme="majorEastAsia"/>
        </w:rPr>
      </w:pPr>
      <w:r w:rsidRPr="0097110C">
        <w:t>Članak 1. – stavak 1. – točka 3.</w:t>
      </w:r>
    </w:p>
    <w:p w14:paraId="2158C3BD" w14:textId="77777777" w:rsidR="00B0029C" w:rsidRPr="0097110C" w:rsidRDefault="00B0029C" w:rsidP="00B0029C">
      <w:pPr>
        <w:widowControl/>
      </w:pPr>
      <w:r w:rsidRPr="0097110C">
        <w:t>Uredba (EZ) br. 2533/98</w:t>
      </w:r>
    </w:p>
    <w:p w14:paraId="6559FEED" w14:textId="77777777" w:rsidR="00B0029C" w:rsidRPr="0097110C" w:rsidRDefault="00B0029C" w:rsidP="00B0029C">
      <w:pPr>
        <w:widowControl/>
      </w:pPr>
      <w:r w:rsidRPr="0097110C">
        <w:t>Članak 3. – stavak 1. – podstavak 1. – točka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33CF910B" w14:textId="77777777" w:rsidTr="00D3160D">
        <w:trPr>
          <w:jc w:val="center"/>
        </w:trPr>
        <w:tc>
          <w:tcPr>
            <w:tcW w:w="9752" w:type="dxa"/>
            <w:gridSpan w:val="2"/>
          </w:tcPr>
          <w:p w14:paraId="4895BF0F" w14:textId="77777777" w:rsidR="00B0029C" w:rsidRPr="0097110C" w:rsidRDefault="00B0029C" w:rsidP="00D3160D">
            <w:pPr>
              <w:keepNext/>
            </w:pPr>
          </w:p>
        </w:tc>
      </w:tr>
      <w:tr w:rsidR="00B0029C" w:rsidRPr="0097110C" w14:paraId="6CE54136" w14:textId="77777777" w:rsidTr="00D3160D">
        <w:trPr>
          <w:jc w:val="center"/>
        </w:trPr>
        <w:tc>
          <w:tcPr>
            <w:tcW w:w="4876" w:type="dxa"/>
          </w:tcPr>
          <w:p w14:paraId="3CFC30BB" w14:textId="77777777" w:rsidR="00B0029C" w:rsidRPr="0097110C" w:rsidRDefault="00B0029C" w:rsidP="00D3160D">
            <w:pPr>
              <w:pStyle w:val="AmColumnHeading"/>
              <w:keepNext/>
            </w:pPr>
            <w:r w:rsidRPr="0097110C">
              <w:t>Nacrt Europske središnje banke</w:t>
            </w:r>
          </w:p>
        </w:tc>
        <w:tc>
          <w:tcPr>
            <w:tcW w:w="4876" w:type="dxa"/>
          </w:tcPr>
          <w:p w14:paraId="31E658B1" w14:textId="77777777" w:rsidR="00B0029C" w:rsidRPr="0097110C" w:rsidRDefault="00B0029C" w:rsidP="00D3160D">
            <w:pPr>
              <w:pStyle w:val="AmColumnHeading"/>
              <w:keepNext/>
            </w:pPr>
            <w:r w:rsidRPr="0097110C">
              <w:t>Izmjena</w:t>
            </w:r>
          </w:p>
        </w:tc>
      </w:tr>
      <w:tr w:rsidR="00B0029C" w:rsidRPr="0097110C" w14:paraId="07F83643" w14:textId="77777777" w:rsidTr="00D3160D">
        <w:trPr>
          <w:jc w:val="center"/>
        </w:trPr>
        <w:tc>
          <w:tcPr>
            <w:tcW w:w="4876" w:type="dxa"/>
          </w:tcPr>
          <w:p w14:paraId="32039653" w14:textId="77777777" w:rsidR="00B0029C" w:rsidRPr="0097110C" w:rsidRDefault="00B0029C" w:rsidP="00D3160D">
            <w:pPr>
              <w:pStyle w:val="Normal6a"/>
            </w:pPr>
            <w:r w:rsidRPr="0097110C">
              <w:t>(a)</w:t>
            </w:r>
            <w:r w:rsidRPr="0097110C">
              <w:tab/>
              <w:t>uzima u obzir postojeću statistiku u najvećoj mogućoj mjeri;</w:t>
            </w:r>
          </w:p>
        </w:tc>
        <w:tc>
          <w:tcPr>
            <w:tcW w:w="4876" w:type="dxa"/>
          </w:tcPr>
          <w:p w14:paraId="4EAAC299" w14:textId="77777777" w:rsidR="00B0029C" w:rsidRPr="0097110C" w:rsidRDefault="00B0029C" w:rsidP="00D3160D">
            <w:pPr>
              <w:pStyle w:val="Normal6a"/>
              <w:rPr>
                <w:szCs w:val="24"/>
              </w:rPr>
            </w:pPr>
            <w:r w:rsidRPr="0097110C">
              <w:t>(a)</w:t>
            </w:r>
            <w:r w:rsidRPr="0097110C">
              <w:tab/>
              <w:t>uzima u obzir postojeću statistiku u najvećoj mogućoj mjeri</w:t>
            </w:r>
            <w:r w:rsidRPr="0097110C">
              <w:rPr>
                <w:b/>
                <w:i/>
              </w:rPr>
              <w:t>, u skladu s načelom „samo jednom” i, prema potrebi, uz potporu digitalnih rješenja</w:t>
            </w:r>
            <w:r w:rsidRPr="0097110C">
              <w:t>;</w:t>
            </w:r>
          </w:p>
        </w:tc>
      </w:tr>
    </w:tbl>
    <w:p w14:paraId="5846512D" w14:textId="77777777" w:rsidR="00B0029C" w:rsidRPr="0097110C" w:rsidRDefault="00B0029C" w:rsidP="00B0029C">
      <w:pPr>
        <w:pStyle w:val="AmNumberTabs"/>
        <w:keepNext/>
      </w:pPr>
      <w:r w:rsidRPr="0097110C">
        <w:lastRenderedPageBreak/>
        <w:t>Amandman</w:t>
      </w:r>
      <w:r w:rsidRPr="0097110C">
        <w:tab/>
      </w:r>
      <w:r w:rsidRPr="0097110C">
        <w:tab/>
        <w:t>8</w:t>
      </w:r>
    </w:p>
    <w:p w14:paraId="1CA504F7" w14:textId="77777777" w:rsidR="00B0029C" w:rsidRPr="0097110C" w:rsidRDefault="00B0029C" w:rsidP="00B0029C">
      <w:pPr>
        <w:pStyle w:val="NormalBold12b"/>
        <w:keepNext/>
      </w:pPr>
      <w:r w:rsidRPr="0097110C">
        <w:t>Nacrt uredbe</w:t>
      </w:r>
    </w:p>
    <w:p w14:paraId="01BC3480" w14:textId="77777777" w:rsidR="00B0029C" w:rsidRPr="0097110C" w:rsidRDefault="00B0029C" w:rsidP="00B0029C">
      <w:pPr>
        <w:pStyle w:val="NormalBold"/>
        <w:keepNext/>
        <w:rPr>
          <w:rFonts w:eastAsiaTheme="majorEastAsia"/>
        </w:rPr>
      </w:pPr>
      <w:r w:rsidRPr="0097110C">
        <w:t>Članak 1. – stavak 1. – točka 3.</w:t>
      </w:r>
    </w:p>
    <w:p w14:paraId="2C36D1E4" w14:textId="77777777" w:rsidR="00B0029C" w:rsidRPr="0097110C" w:rsidRDefault="00B0029C" w:rsidP="00B0029C">
      <w:pPr>
        <w:widowControl/>
      </w:pPr>
      <w:r w:rsidRPr="0097110C">
        <w:t>Uredba (EZ) br. 2533/98</w:t>
      </w:r>
    </w:p>
    <w:p w14:paraId="4E1EE4EE" w14:textId="77777777" w:rsidR="00B0029C" w:rsidRPr="0097110C" w:rsidRDefault="00B0029C" w:rsidP="00B0029C">
      <w:pPr>
        <w:widowControl/>
      </w:pPr>
      <w:r w:rsidRPr="0097110C">
        <w:t xml:space="preserve">Članak 3. – stavak 1. – podstavak 1. – točka </w:t>
      </w:r>
      <w:proofErr w:type="spellStart"/>
      <w:r w:rsidRPr="0097110C">
        <w:t>ba</w:t>
      </w:r>
      <w:proofErr w:type="spellEnd"/>
      <w:r w:rsidRPr="0097110C">
        <w:t xml:space="preserve">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72D0B204" w14:textId="77777777" w:rsidTr="00D3160D">
        <w:trPr>
          <w:jc w:val="center"/>
        </w:trPr>
        <w:tc>
          <w:tcPr>
            <w:tcW w:w="9752" w:type="dxa"/>
            <w:gridSpan w:val="2"/>
          </w:tcPr>
          <w:p w14:paraId="12416BC9" w14:textId="77777777" w:rsidR="00B0029C" w:rsidRPr="0097110C" w:rsidRDefault="00B0029C" w:rsidP="00D3160D">
            <w:pPr>
              <w:keepNext/>
            </w:pPr>
          </w:p>
        </w:tc>
      </w:tr>
      <w:tr w:rsidR="00B0029C" w:rsidRPr="0097110C" w14:paraId="75B1FC5E" w14:textId="77777777" w:rsidTr="00D3160D">
        <w:trPr>
          <w:jc w:val="center"/>
        </w:trPr>
        <w:tc>
          <w:tcPr>
            <w:tcW w:w="4876" w:type="dxa"/>
          </w:tcPr>
          <w:p w14:paraId="4B4A45E7" w14:textId="77777777" w:rsidR="00B0029C" w:rsidRPr="0097110C" w:rsidRDefault="00B0029C" w:rsidP="00D3160D">
            <w:pPr>
              <w:pStyle w:val="AmColumnHeading"/>
              <w:keepNext/>
            </w:pPr>
            <w:r w:rsidRPr="0097110C">
              <w:t>Nacrt Europske središnje banke</w:t>
            </w:r>
          </w:p>
        </w:tc>
        <w:tc>
          <w:tcPr>
            <w:tcW w:w="4876" w:type="dxa"/>
          </w:tcPr>
          <w:p w14:paraId="7B6891E5" w14:textId="77777777" w:rsidR="00B0029C" w:rsidRPr="0097110C" w:rsidRDefault="00B0029C" w:rsidP="00D3160D">
            <w:pPr>
              <w:pStyle w:val="AmColumnHeading"/>
              <w:keepNext/>
            </w:pPr>
            <w:r w:rsidRPr="0097110C">
              <w:t>Izmjena</w:t>
            </w:r>
          </w:p>
        </w:tc>
      </w:tr>
      <w:tr w:rsidR="00B0029C" w:rsidRPr="0097110C" w14:paraId="419B85F8" w14:textId="77777777" w:rsidTr="00D3160D">
        <w:trPr>
          <w:jc w:val="center"/>
        </w:trPr>
        <w:tc>
          <w:tcPr>
            <w:tcW w:w="4876" w:type="dxa"/>
          </w:tcPr>
          <w:p w14:paraId="482B9DDB" w14:textId="77777777" w:rsidR="00B0029C" w:rsidRPr="0097110C" w:rsidRDefault="00B0029C" w:rsidP="00D3160D">
            <w:pPr>
              <w:pStyle w:val="Normal6a"/>
            </w:pPr>
          </w:p>
        </w:tc>
        <w:tc>
          <w:tcPr>
            <w:tcW w:w="4876" w:type="dxa"/>
          </w:tcPr>
          <w:p w14:paraId="4C53B034" w14:textId="77777777" w:rsidR="00B0029C" w:rsidRPr="0097110C" w:rsidRDefault="00B0029C" w:rsidP="00D3160D">
            <w:pPr>
              <w:pStyle w:val="Normal6a"/>
              <w:rPr>
                <w:szCs w:val="24"/>
              </w:rPr>
            </w:pPr>
            <w:r w:rsidRPr="0097110C">
              <w:rPr>
                <w:b/>
                <w:i/>
              </w:rPr>
              <w:t>(</w:t>
            </w:r>
            <w:proofErr w:type="spellStart"/>
            <w:r w:rsidRPr="0097110C">
              <w:rPr>
                <w:b/>
                <w:i/>
              </w:rPr>
              <w:t>ba</w:t>
            </w:r>
            <w:proofErr w:type="spellEnd"/>
            <w:r w:rsidRPr="0097110C">
              <w:rPr>
                <w:b/>
                <w:i/>
              </w:rPr>
              <w:t>)</w:t>
            </w:r>
            <w:r w:rsidRPr="0097110C">
              <w:rPr>
                <w:b/>
                <w:i/>
              </w:rPr>
              <w:tab/>
              <w:t>uzima u obzir opće gospodarske politike i ciljeve u Uniji, uključujući politike u području klime i okoliša;</w:t>
            </w:r>
          </w:p>
        </w:tc>
      </w:tr>
    </w:tbl>
    <w:p w14:paraId="066F5516" w14:textId="77777777" w:rsidR="00B0029C" w:rsidRPr="0097110C" w:rsidRDefault="00B0029C" w:rsidP="00B0029C">
      <w:pPr>
        <w:pStyle w:val="AmNumberTabs"/>
        <w:keepNext/>
      </w:pPr>
      <w:r w:rsidRPr="0097110C">
        <w:t>Amandman</w:t>
      </w:r>
      <w:r w:rsidRPr="0097110C">
        <w:tab/>
      </w:r>
      <w:r w:rsidRPr="0097110C">
        <w:tab/>
        <w:t>9</w:t>
      </w:r>
    </w:p>
    <w:p w14:paraId="781FE63C" w14:textId="77777777" w:rsidR="00B0029C" w:rsidRPr="0097110C" w:rsidRDefault="00B0029C" w:rsidP="00B0029C">
      <w:pPr>
        <w:pStyle w:val="NormalBold12b"/>
        <w:keepNext/>
      </w:pPr>
      <w:r w:rsidRPr="0097110C">
        <w:t>Nacrt uredbe</w:t>
      </w:r>
    </w:p>
    <w:p w14:paraId="7AD0834E" w14:textId="77777777" w:rsidR="00B0029C" w:rsidRPr="0097110C" w:rsidRDefault="00B0029C" w:rsidP="00B0029C">
      <w:pPr>
        <w:pStyle w:val="NormalBold"/>
        <w:keepNext/>
        <w:rPr>
          <w:rFonts w:eastAsiaTheme="majorEastAsia"/>
        </w:rPr>
      </w:pPr>
      <w:r w:rsidRPr="0097110C">
        <w:t xml:space="preserve">Članak 1. – stavak 1. – točka 4. – </w:t>
      </w:r>
      <w:proofErr w:type="spellStart"/>
      <w:r w:rsidRPr="0097110C">
        <w:t>podtočka</w:t>
      </w:r>
      <w:proofErr w:type="spellEnd"/>
      <w:r w:rsidRPr="0097110C">
        <w:t xml:space="preserve"> </w:t>
      </w:r>
      <w:proofErr w:type="spellStart"/>
      <w:r w:rsidRPr="0097110C">
        <w:t>ba</w:t>
      </w:r>
      <w:proofErr w:type="spellEnd"/>
      <w:r w:rsidRPr="0097110C">
        <w:t xml:space="preserve"> (nova)</w:t>
      </w:r>
    </w:p>
    <w:p w14:paraId="2C4A3CC0" w14:textId="77777777" w:rsidR="00B0029C" w:rsidRPr="0097110C" w:rsidRDefault="00B0029C" w:rsidP="00B0029C">
      <w:pPr>
        <w:widowControl/>
      </w:pPr>
      <w:r w:rsidRPr="0097110C">
        <w:t>Uredba (EZ) br. 2533/98</w:t>
      </w:r>
    </w:p>
    <w:p w14:paraId="37095D81" w14:textId="77777777" w:rsidR="00B0029C" w:rsidRPr="0097110C" w:rsidRDefault="00B0029C" w:rsidP="00B0029C">
      <w:pPr>
        <w:widowControl/>
      </w:pPr>
      <w:r w:rsidRPr="0097110C">
        <w:t>Članak 7. – stavak 4.a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3D9BBDFD" w14:textId="77777777" w:rsidTr="00D3160D">
        <w:trPr>
          <w:jc w:val="center"/>
        </w:trPr>
        <w:tc>
          <w:tcPr>
            <w:tcW w:w="9752" w:type="dxa"/>
            <w:gridSpan w:val="2"/>
          </w:tcPr>
          <w:p w14:paraId="7D54E9D6" w14:textId="77777777" w:rsidR="00B0029C" w:rsidRPr="0097110C" w:rsidRDefault="00B0029C" w:rsidP="00D3160D">
            <w:pPr>
              <w:keepNext/>
            </w:pPr>
          </w:p>
        </w:tc>
      </w:tr>
      <w:tr w:rsidR="00B0029C" w:rsidRPr="0097110C" w14:paraId="76E6BB46" w14:textId="77777777" w:rsidTr="00D3160D">
        <w:trPr>
          <w:jc w:val="center"/>
        </w:trPr>
        <w:tc>
          <w:tcPr>
            <w:tcW w:w="4876" w:type="dxa"/>
          </w:tcPr>
          <w:p w14:paraId="1AD46782" w14:textId="77777777" w:rsidR="00B0029C" w:rsidRPr="0097110C" w:rsidRDefault="00B0029C" w:rsidP="00D3160D">
            <w:pPr>
              <w:pStyle w:val="AmColumnHeading"/>
              <w:keepNext/>
            </w:pPr>
            <w:r w:rsidRPr="0097110C">
              <w:t>Nacrt Europske središnje banke</w:t>
            </w:r>
          </w:p>
        </w:tc>
        <w:tc>
          <w:tcPr>
            <w:tcW w:w="4876" w:type="dxa"/>
          </w:tcPr>
          <w:p w14:paraId="61939C79" w14:textId="77777777" w:rsidR="00B0029C" w:rsidRPr="0097110C" w:rsidRDefault="00B0029C" w:rsidP="00D3160D">
            <w:pPr>
              <w:pStyle w:val="AmColumnHeading"/>
              <w:keepNext/>
            </w:pPr>
            <w:r w:rsidRPr="0097110C">
              <w:t>Izmjena</w:t>
            </w:r>
          </w:p>
        </w:tc>
      </w:tr>
      <w:tr w:rsidR="00B0029C" w:rsidRPr="0097110C" w14:paraId="1271170C" w14:textId="77777777" w:rsidTr="00D3160D">
        <w:trPr>
          <w:jc w:val="center"/>
        </w:trPr>
        <w:tc>
          <w:tcPr>
            <w:tcW w:w="4876" w:type="dxa"/>
          </w:tcPr>
          <w:p w14:paraId="0CAB6D29" w14:textId="77777777" w:rsidR="00B0029C" w:rsidRPr="0097110C" w:rsidRDefault="00B0029C" w:rsidP="00D3160D">
            <w:pPr>
              <w:pStyle w:val="Normal6a"/>
            </w:pPr>
          </w:p>
        </w:tc>
        <w:tc>
          <w:tcPr>
            <w:tcW w:w="4876" w:type="dxa"/>
          </w:tcPr>
          <w:p w14:paraId="278773C5" w14:textId="77777777" w:rsidR="00B0029C" w:rsidRPr="0097110C" w:rsidRDefault="00B0029C" w:rsidP="00D3160D">
            <w:pPr>
              <w:spacing w:after="120"/>
              <w:rPr>
                <w:szCs w:val="24"/>
              </w:rPr>
            </w:pPr>
            <w:r w:rsidRPr="0097110C">
              <w:rPr>
                <w:b/>
                <w:i/>
              </w:rPr>
              <w:t>(</w:t>
            </w:r>
            <w:proofErr w:type="spellStart"/>
            <w:r w:rsidRPr="0097110C">
              <w:rPr>
                <w:b/>
                <w:i/>
              </w:rPr>
              <w:t>ba</w:t>
            </w:r>
            <w:proofErr w:type="spellEnd"/>
            <w:r w:rsidRPr="0097110C">
              <w:rPr>
                <w:b/>
                <w:i/>
              </w:rPr>
              <w:t>)</w:t>
            </w:r>
            <w:r w:rsidRPr="0097110C">
              <w:rPr>
                <w:b/>
                <w:i/>
              </w:rPr>
              <w:tab/>
              <w:t>dodaje se sljedeći stavak:</w:t>
            </w:r>
          </w:p>
        </w:tc>
      </w:tr>
      <w:tr w:rsidR="00B0029C" w:rsidRPr="0097110C" w14:paraId="7C000210" w14:textId="77777777" w:rsidTr="00D3160D">
        <w:trPr>
          <w:jc w:val="center"/>
        </w:trPr>
        <w:tc>
          <w:tcPr>
            <w:tcW w:w="4876" w:type="dxa"/>
          </w:tcPr>
          <w:p w14:paraId="178DEFF8" w14:textId="77777777" w:rsidR="00B0029C" w:rsidRPr="0097110C" w:rsidRDefault="00B0029C" w:rsidP="00D3160D">
            <w:pPr>
              <w:pStyle w:val="Normal6a"/>
            </w:pPr>
          </w:p>
        </w:tc>
        <w:tc>
          <w:tcPr>
            <w:tcW w:w="4876" w:type="dxa"/>
          </w:tcPr>
          <w:p w14:paraId="3B3BB0F2" w14:textId="77777777" w:rsidR="00B0029C" w:rsidRPr="0097110C" w:rsidRDefault="00B0029C" w:rsidP="00D3160D">
            <w:pPr>
              <w:pStyle w:val="Normal6a"/>
            </w:pPr>
            <w:r w:rsidRPr="0097110C">
              <w:rPr>
                <w:b/>
                <w:i/>
              </w:rPr>
              <w:t>4.a</w:t>
            </w:r>
            <w:r w:rsidRPr="0097110C">
              <w:rPr>
                <w:b/>
                <w:i/>
              </w:rPr>
              <w:tab/>
              <w:t xml:space="preserve">ESB svakih pet godina ažurira kazne iz stavka 4. u skladu sa stopom inflacije u </w:t>
            </w:r>
            <w:proofErr w:type="spellStart"/>
            <w:r w:rsidRPr="0097110C">
              <w:rPr>
                <w:b/>
                <w:i/>
              </w:rPr>
              <w:t>europodručju</w:t>
            </w:r>
            <w:proofErr w:type="spellEnd"/>
            <w:r w:rsidRPr="0097110C">
              <w:rPr>
                <w:b/>
                <w:i/>
              </w:rPr>
              <w:t>.</w:t>
            </w:r>
          </w:p>
        </w:tc>
      </w:tr>
    </w:tbl>
    <w:p w14:paraId="275C0AF6" w14:textId="77777777" w:rsidR="00B0029C" w:rsidRPr="0097110C" w:rsidRDefault="00B0029C" w:rsidP="00B0029C">
      <w:pPr>
        <w:pStyle w:val="AmNumberTabs"/>
        <w:keepNext/>
      </w:pPr>
      <w:r w:rsidRPr="0097110C">
        <w:t>Amandman</w:t>
      </w:r>
      <w:r w:rsidRPr="0097110C">
        <w:tab/>
      </w:r>
      <w:r w:rsidRPr="0097110C">
        <w:tab/>
        <w:t>10</w:t>
      </w:r>
    </w:p>
    <w:p w14:paraId="111D4F9E" w14:textId="77777777" w:rsidR="00B0029C" w:rsidRPr="0097110C" w:rsidRDefault="00B0029C" w:rsidP="00B0029C">
      <w:pPr>
        <w:pStyle w:val="NormalBold12b"/>
        <w:keepNext/>
      </w:pPr>
      <w:r w:rsidRPr="0097110C">
        <w:t>Nacrt uredbe</w:t>
      </w:r>
    </w:p>
    <w:p w14:paraId="2C84287B" w14:textId="77777777" w:rsidR="00B0029C" w:rsidRPr="0097110C" w:rsidRDefault="00B0029C" w:rsidP="00B0029C">
      <w:pPr>
        <w:pStyle w:val="NormalBold"/>
        <w:keepNext/>
        <w:rPr>
          <w:rFonts w:eastAsiaTheme="majorEastAsia"/>
        </w:rPr>
      </w:pPr>
      <w:r w:rsidRPr="0097110C">
        <w:t>Članak 1. – stavak 1. – točka 5.</w:t>
      </w:r>
    </w:p>
    <w:p w14:paraId="6511C67B" w14:textId="77777777" w:rsidR="00B0029C" w:rsidRPr="0097110C" w:rsidRDefault="00B0029C" w:rsidP="00B0029C">
      <w:pPr>
        <w:widowControl/>
      </w:pPr>
      <w:r w:rsidRPr="0097110C">
        <w:t>Uredba (EZ) br. 2533/98</w:t>
      </w:r>
    </w:p>
    <w:p w14:paraId="75F847AE" w14:textId="77777777" w:rsidR="00B0029C" w:rsidRPr="0097110C" w:rsidRDefault="00B0029C" w:rsidP="00B0029C">
      <w:pPr>
        <w:widowControl/>
      </w:pPr>
      <w:r w:rsidRPr="0097110C">
        <w:t xml:space="preserve">Članak 8. – stavak 1. – točka 2. – </w:t>
      </w:r>
      <w:proofErr w:type="spellStart"/>
      <w:r w:rsidRPr="0097110C">
        <w:t>podtočka</w:t>
      </w:r>
      <w:proofErr w:type="spellEnd"/>
      <w:r w:rsidRPr="0097110C">
        <w:t xml:space="preserv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26EF0320" w14:textId="77777777" w:rsidTr="00D3160D">
        <w:trPr>
          <w:jc w:val="center"/>
        </w:trPr>
        <w:tc>
          <w:tcPr>
            <w:tcW w:w="9752" w:type="dxa"/>
            <w:gridSpan w:val="2"/>
          </w:tcPr>
          <w:p w14:paraId="50E2C6BC" w14:textId="77777777" w:rsidR="00B0029C" w:rsidRPr="0097110C" w:rsidRDefault="00B0029C" w:rsidP="00D3160D">
            <w:pPr>
              <w:keepNext/>
            </w:pPr>
          </w:p>
        </w:tc>
      </w:tr>
      <w:tr w:rsidR="00B0029C" w:rsidRPr="0097110C" w14:paraId="380B00D6" w14:textId="77777777" w:rsidTr="00D3160D">
        <w:trPr>
          <w:jc w:val="center"/>
        </w:trPr>
        <w:tc>
          <w:tcPr>
            <w:tcW w:w="4876" w:type="dxa"/>
          </w:tcPr>
          <w:p w14:paraId="3A579A86" w14:textId="77777777" w:rsidR="00B0029C" w:rsidRPr="0097110C" w:rsidRDefault="00B0029C" w:rsidP="00D3160D">
            <w:pPr>
              <w:pStyle w:val="AmColumnHeading"/>
              <w:keepNext/>
            </w:pPr>
            <w:r w:rsidRPr="0097110C">
              <w:t>Nacrt Europske središnje banke</w:t>
            </w:r>
          </w:p>
        </w:tc>
        <w:tc>
          <w:tcPr>
            <w:tcW w:w="4876" w:type="dxa"/>
          </w:tcPr>
          <w:p w14:paraId="4DCFCD7D" w14:textId="77777777" w:rsidR="00B0029C" w:rsidRPr="0097110C" w:rsidRDefault="00B0029C" w:rsidP="00D3160D">
            <w:pPr>
              <w:pStyle w:val="AmColumnHeading"/>
              <w:keepNext/>
            </w:pPr>
            <w:r w:rsidRPr="0097110C">
              <w:t>Izmjena</w:t>
            </w:r>
          </w:p>
        </w:tc>
      </w:tr>
      <w:tr w:rsidR="00B0029C" w:rsidRPr="0097110C" w14:paraId="01EA6E8F" w14:textId="77777777" w:rsidTr="00D3160D">
        <w:trPr>
          <w:jc w:val="center"/>
        </w:trPr>
        <w:tc>
          <w:tcPr>
            <w:tcW w:w="4876" w:type="dxa"/>
          </w:tcPr>
          <w:p w14:paraId="192BF613" w14:textId="77777777" w:rsidR="00B0029C" w:rsidRPr="0097110C" w:rsidRDefault="00B0029C" w:rsidP="00D3160D">
            <w:pPr>
              <w:widowControl/>
            </w:pPr>
            <w:r w:rsidRPr="0097110C">
              <w:t>(b)</w:t>
            </w:r>
            <w:r w:rsidRPr="0097110C">
              <w:tab/>
              <w:t xml:space="preserve">razmjenjuju povjerljive statističke podatke s drugim legitimnim stranama radi obavljanja svojih zakonom propisanih zadaća povezanih s </w:t>
            </w:r>
            <w:r w:rsidRPr="0097110C">
              <w:rPr>
                <w:b/>
                <w:i/>
              </w:rPr>
              <w:t>bonitetnim nadzorom</w:t>
            </w:r>
            <w:r w:rsidRPr="0097110C">
              <w:t xml:space="preserve"> i </w:t>
            </w:r>
            <w:r w:rsidRPr="0097110C">
              <w:rPr>
                <w:b/>
                <w:i/>
              </w:rPr>
              <w:t>stabilnošću</w:t>
            </w:r>
            <w:r w:rsidRPr="0097110C">
              <w:t xml:space="preserve"> financijskog sustava;</w:t>
            </w:r>
          </w:p>
        </w:tc>
        <w:tc>
          <w:tcPr>
            <w:tcW w:w="4876" w:type="dxa"/>
          </w:tcPr>
          <w:p w14:paraId="468BF2B2" w14:textId="77777777" w:rsidR="00B0029C" w:rsidRPr="0097110C" w:rsidRDefault="00B0029C" w:rsidP="00D3160D">
            <w:pPr>
              <w:pStyle w:val="Normal6a"/>
              <w:rPr>
                <w:szCs w:val="24"/>
              </w:rPr>
            </w:pPr>
            <w:r w:rsidRPr="0097110C">
              <w:t>(b)</w:t>
            </w:r>
            <w:r w:rsidRPr="0097110C">
              <w:tab/>
              <w:t xml:space="preserve">razmjenjuju povjerljive statističke podatke s drugim legitimnim stranama radi obavljanja svojih zakonom propisanih zadaća povezanih s </w:t>
            </w:r>
            <w:r w:rsidRPr="0097110C">
              <w:rPr>
                <w:b/>
                <w:i/>
              </w:rPr>
              <w:t>kratkoročnom, srednjoročnom te dugoročnom stabilnošću</w:t>
            </w:r>
            <w:r w:rsidRPr="0097110C">
              <w:t xml:space="preserve"> i </w:t>
            </w:r>
            <w:r w:rsidRPr="0097110C">
              <w:rPr>
                <w:b/>
                <w:i/>
              </w:rPr>
              <w:t>djelotvornošću</w:t>
            </w:r>
            <w:r w:rsidRPr="0097110C">
              <w:t xml:space="preserve"> financijskog sustava;</w:t>
            </w:r>
          </w:p>
        </w:tc>
      </w:tr>
    </w:tbl>
    <w:p w14:paraId="19A019E6" w14:textId="77777777" w:rsidR="00B0029C" w:rsidRPr="0097110C" w:rsidRDefault="00B0029C" w:rsidP="00B0029C">
      <w:pPr>
        <w:pStyle w:val="AmNumberTabs"/>
        <w:keepNext/>
      </w:pPr>
      <w:r w:rsidRPr="0097110C">
        <w:t>Amandman</w:t>
      </w:r>
      <w:r w:rsidRPr="0097110C">
        <w:tab/>
      </w:r>
      <w:r w:rsidRPr="0097110C">
        <w:tab/>
        <w:t>11</w:t>
      </w:r>
    </w:p>
    <w:p w14:paraId="2E0E5E01" w14:textId="77777777" w:rsidR="00B0029C" w:rsidRPr="0097110C" w:rsidRDefault="00B0029C" w:rsidP="00B0029C">
      <w:pPr>
        <w:pStyle w:val="NormalBold12b"/>
        <w:keepNext/>
      </w:pPr>
      <w:r w:rsidRPr="0097110C">
        <w:t>Nacrt uredbe</w:t>
      </w:r>
    </w:p>
    <w:p w14:paraId="783927D9" w14:textId="77777777" w:rsidR="00B0029C" w:rsidRPr="0097110C" w:rsidRDefault="00B0029C" w:rsidP="00B0029C">
      <w:pPr>
        <w:pStyle w:val="NormalBold"/>
        <w:keepNext/>
        <w:rPr>
          <w:rFonts w:eastAsiaTheme="majorEastAsia"/>
        </w:rPr>
      </w:pPr>
      <w:r w:rsidRPr="0097110C">
        <w:t>Članak 1. – stavak 1. – točka 5.</w:t>
      </w:r>
    </w:p>
    <w:p w14:paraId="43BAA7B8" w14:textId="77777777" w:rsidR="00B0029C" w:rsidRPr="0097110C" w:rsidRDefault="00B0029C" w:rsidP="00B0029C">
      <w:pPr>
        <w:widowControl/>
      </w:pPr>
      <w:r w:rsidRPr="0097110C">
        <w:t>Uredba (EZ) br. 2533/98</w:t>
      </w:r>
    </w:p>
    <w:p w14:paraId="6AC1094B" w14:textId="77777777" w:rsidR="00B0029C" w:rsidRPr="0097110C" w:rsidRDefault="00B0029C" w:rsidP="00B0029C">
      <w:pPr>
        <w:widowControl/>
      </w:pPr>
      <w:r w:rsidRPr="0097110C">
        <w:t xml:space="preserve">Članak 8. – stavak 1. – točka 2. – </w:t>
      </w:r>
      <w:proofErr w:type="spellStart"/>
      <w:r w:rsidRPr="0097110C">
        <w:t>podtočka</w:t>
      </w:r>
      <w:proofErr w:type="spellEnd"/>
      <w:r w:rsidRPr="0097110C">
        <w:t xml:space="preserve">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17ADED46" w14:textId="77777777" w:rsidTr="00D3160D">
        <w:trPr>
          <w:jc w:val="center"/>
        </w:trPr>
        <w:tc>
          <w:tcPr>
            <w:tcW w:w="9752" w:type="dxa"/>
            <w:gridSpan w:val="2"/>
          </w:tcPr>
          <w:p w14:paraId="0A8E7F15" w14:textId="77777777" w:rsidR="00B0029C" w:rsidRPr="0097110C" w:rsidRDefault="00B0029C" w:rsidP="00D3160D">
            <w:pPr>
              <w:keepNext/>
            </w:pPr>
          </w:p>
        </w:tc>
      </w:tr>
      <w:tr w:rsidR="00B0029C" w:rsidRPr="0097110C" w14:paraId="3AC337FB" w14:textId="77777777" w:rsidTr="00D3160D">
        <w:trPr>
          <w:jc w:val="center"/>
        </w:trPr>
        <w:tc>
          <w:tcPr>
            <w:tcW w:w="4876" w:type="dxa"/>
          </w:tcPr>
          <w:p w14:paraId="06744317" w14:textId="77777777" w:rsidR="00B0029C" w:rsidRPr="0097110C" w:rsidRDefault="00B0029C" w:rsidP="00D3160D">
            <w:pPr>
              <w:pStyle w:val="AmColumnHeading"/>
              <w:keepNext/>
            </w:pPr>
            <w:r w:rsidRPr="0097110C">
              <w:t>Nacrt Europske središnje banke</w:t>
            </w:r>
          </w:p>
        </w:tc>
        <w:tc>
          <w:tcPr>
            <w:tcW w:w="4876" w:type="dxa"/>
          </w:tcPr>
          <w:p w14:paraId="353E86B9" w14:textId="77777777" w:rsidR="00B0029C" w:rsidRPr="0097110C" w:rsidRDefault="00B0029C" w:rsidP="00D3160D">
            <w:pPr>
              <w:pStyle w:val="AmColumnHeading"/>
              <w:keepNext/>
            </w:pPr>
            <w:r w:rsidRPr="0097110C">
              <w:t>Izmjena</w:t>
            </w:r>
          </w:p>
        </w:tc>
      </w:tr>
      <w:tr w:rsidR="00B0029C" w:rsidRPr="0097110C" w14:paraId="24A0F84D" w14:textId="77777777" w:rsidTr="00D3160D">
        <w:trPr>
          <w:jc w:val="center"/>
        </w:trPr>
        <w:tc>
          <w:tcPr>
            <w:tcW w:w="4876" w:type="dxa"/>
          </w:tcPr>
          <w:p w14:paraId="6E476AAD" w14:textId="77777777" w:rsidR="00B0029C" w:rsidRPr="0097110C" w:rsidRDefault="00B0029C" w:rsidP="00D3160D">
            <w:pPr>
              <w:pStyle w:val="Normal6a"/>
            </w:pPr>
            <w:r w:rsidRPr="0097110C">
              <w:t>(e)</w:t>
            </w:r>
            <w:r w:rsidRPr="0097110C">
              <w:tab/>
            </w:r>
            <w:r w:rsidRPr="0097110C">
              <w:rPr>
                <w:b/>
                <w:i/>
              </w:rPr>
              <w:t>mogu</w:t>
            </w:r>
            <w:r w:rsidRPr="0097110C">
              <w:t xml:space="preserve"> istraživačima povezanima sa znanstveno-istraživačkim tijelima </w:t>
            </w:r>
            <w:r w:rsidRPr="0097110C">
              <w:rPr>
                <w:b/>
                <w:i/>
              </w:rPr>
              <w:t xml:space="preserve">odobriti pristup </w:t>
            </w:r>
            <w:r w:rsidRPr="0097110C">
              <w:t>povjerljivim statističkim podacima koji ne omogućuju izravnu identifikaciju izvještajne jedinice ili druge pravne ili fizičke osobe, subjekta ili podružnice;</w:t>
            </w:r>
          </w:p>
        </w:tc>
        <w:tc>
          <w:tcPr>
            <w:tcW w:w="4876" w:type="dxa"/>
          </w:tcPr>
          <w:p w14:paraId="44D46E87" w14:textId="77777777" w:rsidR="00B0029C" w:rsidRPr="0097110C" w:rsidRDefault="00B0029C" w:rsidP="00D3160D">
            <w:pPr>
              <w:pStyle w:val="Normal6a"/>
              <w:rPr>
                <w:szCs w:val="24"/>
              </w:rPr>
            </w:pPr>
            <w:r w:rsidRPr="0097110C">
              <w:t>(e)</w:t>
            </w:r>
            <w:r w:rsidRPr="0097110C">
              <w:tab/>
            </w:r>
            <w:r w:rsidRPr="0097110C">
              <w:rPr>
                <w:b/>
                <w:i/>
              </w:rPr>
              <w:t>uspostavlja trajni okvir za olakšavanje i odobravanje pristupa</w:t>
            </w:r>
            <w:r w:rsidRPr="0097110C">
              <w:t xml:space="preserve"> istraživačima povezanima sa znanstveno-istraživačkim tijelima povjerljivim statističkim podacima</w:t>
            </w:r>
            <w:r w:rsidRPr="0097110C">
              <w:rPr>
                <w:b/>
                <w:i/>
              </w:rPr>
              <w:t xml:space="preserve"> koji obuhvaćaju sve glavne skupove podataka ESB-a,</w:t>
            </w:r>
            <w:r w:rsidRPr="0097110C">
              <w:t xml:space="preserve"> koji ne omogućuju izravnu identifikaciju izvještajne jedinice ili druge pravne ili fizičke osobe, subjekta ili podružnice;</w:t>
            </w:r>
          </w:p>
        </w:tc>
      </w:tr>
    </w:tbl>
    <w:p w14:paraId="4E6271D8" w14:textId="77777777" w:rsidR="00B0029C" w:rsidRPr="0097110C" w:rsidRDefault="00B0029C" w:rsidP="00B0029C">
      <w:pPr>
        <w:pStyle w:val="AmNumberTabs"/>
        <w:keepNext/>
      </w:pPr>
      <w:r w:rsidRPr="0097110C">
        <w:t>Amandman</w:t>
      </w:r>
      <w:r w:rsidRPr="0097110C">
        <w:tab/>
      </w:r>
      <w:r w:rsidRPr="0097110C">
        <w:tab/>
        <w:t>12</w:t>
      </w:r>
    </w:p>
    <w:p w14:paraId="31B65D70" w14:textId="77777777" w:rsidR="00B0029C" w:rsidRPr="0097110C" w:rsidRDefault="00B0029C" w:rsidP="00B0029C">
      <w:pPr>
        <w:pStyle w:val="NormalBold12b"/>
        <w:keepNext/>
      </w:pPr>
      <w:r w:rsidRPr="0097110C">
        <w:t>Nacrt uredbe</w:t>
      </w:r>
    </w:p>
    <w:p w14:paraId="3C2B4FBB" w14:textId="77777777" w:rsidR="00B0029C" w:rsidRPr="0097110C" w:rsidRDefault="00B0029C" w:rsidP="00B0029C">
      <w:pPr>
        <w:pStyle w:val="NormalBold"/>
        <w:keepNext/>
        <w:rPr>
          <w:rFonts w:eastAsiaTheme="majorEastAsia"/>
        </w:rPr>
      </w:pPr>
      <w:r w:rsidRPr="0097110C">
        <w:t>Članak 1. – stavak 1. – točka 5.</w:t>
      </w:r>
    </w:p>
    <w:p w14:paraId="649E7BB1" w14:textId="77777777" w:rsidR="00B0029C" w:rsidRPr="0097110C" w:rsidRDefault="00B0029C" w:rsidP="00B0029C">
      <w:pPr>
        <w:widowControl/>
      </w:pPr>
      <w:r w:rsidRPr="0097110C">
        <w:t>Uredba (EZ) br. 2533/98</w:t>
      </w:r>
    </w:p>
    <w:p w14:paraId="2EFC2F6F" w14:textId="77777777" w:rsidR="00B0029C" w:rsidRPr="0097110C" w:rsidRDefault="00B0029C" w:rsidP="00B0029C">
      <w:pPr>
        <w:widowControl/>
      </w:pPr>
      <w:r w:rsidRPr="0097110C">
        <w:t>Članak 8. – stavak 1. – točka 2.a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79524B03" w14:textId="77777777" w:rsidTr="00D3160D">
        <w:trPr>
          <w:jc w:val="center"/>
        </w:trPr>
        <w:tc>
          <w:tcPr>
            <w:tcW w:w="9752" w:type="dxa"/>
            <w:gridSpan w:val="2"/>
          </w:tcPr>
          <w:p w14:paraId="1BB49203" w14:textId="77777777" w:rsidR="00B0029C" w:rsidRPr="0097110C" w:rsidRDefault="00B0029C" w:rsidP="00D3160D">
            <w:pPr>
              <w:keepNext/>
            </w:pPr>
          </w:p>
        </w:tc>
      </w:tr>
      <w:tr w:rsidR="00B0029C" w:rsidRPr="0097110C" w14:paraId="4A79EDE1" w14:textId="77777777" w:rsidTr="00D3160D">
        <w:trPr>
          <w:jc w:val="center"/>
        </w:trPr>
        <w:tc>
          <w:tcPr>
            <w:tcW w:w="4876" w:type="dxa"/>
          </w:tcPr>
          <w:p w14:paraId="6514AEB2" w14:textId="77777777" w:rsidR="00B0029C" w:rsidRPr="0097110C" w:rsidRDefault="00B0029C" w:rsidP="00D3160D">
            <w:pPr>
              <w:pStyle w:val="AmColumnHeading"/>
              <w:keepNext/>
            </w:pPr>
            <w:r w:rsidRPr="0097110C">
              <w:t>Nacrt Europske središnje banke</w:t>
            </w:r>
          </w:p>
        </w:tc>
        <w:tc>
          <w:tcPr>
            <w:tcW w:w="4876" w:type="dxa"/>
          </w:tcPr>
          <w:p w14:paraId="657EBF33" w14:textId="77777777" w:rsidR="00B0029C" w:rsidRPr="0097110C" w:rsidRDefault="00B0029C" w:rsidP="00D3160D">
            <w:pPr>
              <w:pStyle w:val="AmColumnHeading"/>
              <w:keepNext/>
            </w:pPr>
            <w:r w:rsidRPr="0097110C">
              <w:t>Izmjena</w:t>
            </w:r>
          </w:p>
        </w:tc>
      </w:tr>
      <w:tr w:rsidR="00B0029C" w:rsidRPr="0097110C" w14:paraId="51E2644C" w14:textId="77777777" w:rsidTr="00D3160D">
        <w:trPr>
          <w:jc w:val="center"/>
        </w:trPr>
        <w:tc>
          <w:tcPr>
            <w:tcW w:w="4876" w:type="dxa"/>
          </w:tcPr>
          <w:p w14:paraId="42A7AF39" w14:textId="77777777" w:rsidR="00B0029C" w:rsidRPr="0097110C" w:rsidRDefault="00B0029C" w:rsidP="00D3160D">
            <w:pPr>
              <w:pStyle w:val="Normal6a"/>
            </w:pPr>
          </w:p>
        </w:tc>
        <w:tc>
          <w:tcPr>
            <w:tcW w:w="4876" w:type="dxa"/>
          </w:tcPr>
          <w:p w14:paraId="35F9F96C" w14:textId="77777777" w:rsidR="00B0029C" w:rsidRPr="0097110C" w:rsidRDefault="00B0029C" w:rsidP="00D3160D">
            <w:pPr>
              <w:pStyle w:val="Normal6a"/>
              <w:rPr>
                <w:szCs w:val="24"/>
              </w:rPr>
            </w:pPr>
            <w:r w:rsidRPr="0097110C">
              <w:rPr>
                <w:b/>
                <w:i/>
              </w:rPr>
              <w:t>2.a</w:t>
            </w:r>
            <w:r w:rsidRPr="0097110C">
              <w:rPr>
                <w:b/>
                <w:i/>
              </w:rPr>
              <w:tab/>
              <w:t>Kada članovi ESSB-a odobre pristup povjerljivim statističkim podacima u slučajevima iz točaka (e) i (g) ovog stavka, fizička ili pravna osoba koja dobiva taj pristup te podatke upotrebljava samo u svrhu za koju su dali suglasnost članovi ESSB-a i, ako je primjenjivo, izvještajne jedinice ili druge pravne ili fizičke osobe, subjekti ili podružnice koji se mogu identificirati. Ako ih fizička ili pravna osoba koja dobiva pristup tim podacima može pohraniti, ta se pohrana osigurava kako bi se izbjegla svaka povreda povjerljivosti. Podaci se ne smiju pohraniti na duže od tri godine;</w:t>
            </w:r>
          </w:p>
        </w:tc>
      </w:tr>
    </w:tbl>
    <w:p w14:paraId="752E9D0F" w14:textId="77777777" w:rsidR="00B0029C" w:rsidRPr="0097110C" w:rsidRDefault="00B0029C" w:rsidP="00B0029C">
      <w:pPr>
        <w:pStyle w:val="AmNumberTabs"/>
        <w:keepNext/>
      </w:pPr>
      <w:r w:rsidRPr="0097110C">
        <w:t>Amandman</w:t>
      </w:r>
      <w:r w:rsidRPr="0097110C">
        <w:tab/>
      </w:r>
      <w:r w:rsidRPr="0097110C">
        <w:tab/>
        <w:t>13</w:t>
      </w:r>
    </w:p>
    <w:p w14:paraId="184C4668" w14:textId="77777777" w:rsidR="00B0029C" w:rsidRPr="0097110C" w:rsidRDefault="00B0029C" w:rsidP="00B0029C">
      <w:pPr>
        <w:pStyle w:val="NormalBold12b"/>
        <w:keepNext/>
      </w:pPr>
      <w:r w:rsidRPr="0097110C">
        <w:t>Nacrt uredbe</w:t>
      </w:r>
    </w:p>
    <w:p w14:paraId="4135C44B" w14:textId="77777777" w:rsidR="00B0029C" w:rsidRPr="0097110C" w:rsidRDefault="00B0029C" w:rsidP="00B0029C">
      <w:pPr>
        <w:pStyle w:val="NormalBold"/>
        <w:keepNext/>
        <w:rPr>
          <w:rFonts w:eastAsiaTheme="majorEastAsia"/>
        </w:rPr>
      </w:pPr>
      <w:r w:rsidRPr="0097110C">
        <w:t>Članak 1. – stavak 1. – točka 5.</w:t>
      </w:r>
    </w:p>
    <w:p w14:paraId="46B85A25" w14:textId="77777777" w:rsidR="00B0029C" w:rsidRPr="0097110C" w:rsidRDefault="00B0029C" w:rsidP="00B0029C">
      <w:pPr>
        <w:widowControl/>
      </w:pPr>
      <w:r w:rsidRPr="0097110C">
        <w:t>Uredba (EZ) br. 2533/98</w:t>
      </w:r>
    </w:p>
    <w:p w14:paraId="296722AC" w14:textId="77777777" w:rsidR="00B0029C" w:rsidRPr="0097110C" w:rsidRDefault="00B0029C" w:rsidP="00B0029C">
      <w:pPr>
        <w:widowControl/>
      </w:pPr>
      <w:r w:rsidRPr="0097110C">
        <w:t xml:space="preserve">Članak 8. – stavak 1. – točka 7. – </w:t>
      </w:r>
      <w:proofErr w:type="spellStart"/>
      <w:r w:rsidRPr="0097110C">
        <w:t>podtočka</w:t>
      </w:r>
      <w:proofErr w:type="spellEnd"/>
      <w:r w:rsidRPr="0097110C">
        <w:t xml:space="preserv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29C" w:rsidRPr="0097110C" w14:paraId="347CDBC9" w14:textId="77777777" w:rsidTr="00D3160D">
        <w:trPr>
          <w:jc w:val="center"/>
        </w:trPr>
        <w:tc>
          <w:tcPr>
            <w:tcW w:w="9752" w:type="dxa"/>
            <w:gridSpan w:val="2"/>
          </w:tcPr>
          <w:p w14:paraId="74A9E32B" w14:textId="77777777" w:rsidR="00B0029C" w:rsidRPr="0097110C" w:rsidRDefault="00B0029C" w:rsidP="00D3160D">
            <w:pPr>
              <w:keepNext/>
            </w:pPr>
          </w:p>
        </w:tc>
      </w:tr>
      <w:tr w:rsidR="00B0029C" w:rsidRPr="0097110C" w14:paraId="6CD38654" w14:textId="77777777" w:rsidTr="00D3160D">
        <w:trPr>
          <w:jc w:val="center"/>
        </w:trPr>
        <w:tc>
          <w:tcPr>
            <w:tcW w:w="4876" w:type="dxa"/>
          </w:tcPr>
          <w:p w14:paraId="35088EE7" w14:textId="77777777" w:rsidR="00B0029C" w:rsidRPr="0097110C" w:rsidRDefault="00B0029C" w:rsidP="00D3160D">
            <w:pPr>
              <w:pStyle w:val="AmColumnHeading"/>
              <w:keepNext/>
            </w:pPr>
            <w:r w:rsidRPr="0097110C">
              <w:t>Nacrt Europske središnje banke</w:t>
            </w:r>
          </w:p>
        </w:tc>
        <w:tc>
          <w:tcPr>
            <w:tcW w:w="4876" w:type="dxa"/>
          </w:tcPr>
          <w:p w14:paraId="245F0870" w14:textId="77777777" w:rsidR="00B0029C" w:rsidRPr="0097110C" w:rsidRDefault="00B0029C" w:rsidP="00D3160D">
            <w:pPr>
              <w:pStyle w:val="AmColumnHeading"/>
              <w:keepNext/>
            </w:pPr>
            <w:r w:rsidRPr="0097110C">
              <w:t>Izmjena</w:t>
            </w:r>
          </w:p>
        </w:tc>
      </w:tr>
      <w:tr w:rsidR="00B0029C" w:rsidRPr="0097110C" w14:paraId="03219CA1" w14:textId="77777777" w:rsidTr="00D3160D">
        <w:trPr>
          <w:jc w:val="center"/>
        </w:trPr>
        <w:tc>
          <w:tcPr>
            <w:tcW w:w="4876" w:type="dxa"/>
          </w:tcPr>
          <w:p w14:paraId="09D535F6" w14:textId="77777777" w:rsidR="00B0029C" w:rsidRPr="0097110C" w:rsidRDefault="00B0029C" w:rsidP="00D3160D">
            <w:pPr>
              <w:pStyle w:val="Normal6a"/>
            </w:pPr>
            <w:r w:rsidRPr="0097110C">
              <w:t>(a)</w:t>
            </w:r>
            <w:r w:rsidRPr="0097110C">
              <w:tab/>
            </w:r>
            <w:r w:rsidRPr="0097110C">
              <w:rPr>
                <w:b/>
                <w:i/>
              </w:rPr>
              <w:t xml:space="preserve">poduzima sve potrebne regulatorne, administrativne, tehničke i organizacijske mjere kako bi se osigurala </w:t>
            </w:r>
            <w:r w:rsidRPr="0097110C">
              <w:rPr>
                <w:b/>
                <w:i/>
              </w:rPr>
              <w:lastRenderedPageBreak/>
              <w:t>fizička</w:t>
            </w:r>
            <w:r w:rsidRPr="0097110C">
              <w:t xml:space="preserve"> i</w:t>
            </w:r>
            <w:r w:rsidRPr="0097110C">
              <w:rPr>
                <w:b/>
                <w:i/>
              </w:rPr>
              <w:t xml:space="preserve"> logička zaštita povjerljivih statističkih podataka u skladu sa zajedničkim pravilima i minimalnim standardima koje je utvrdio ESB</w:t>
            </w:r>
            <w:r w:rsidRPr="0097110C">
              <w:t>; i</w:t>
            </w:r>
          </w:p>
        </w:tc>
        <w:tc>
          <w:tcPr>
            <w:tcW w:w="4876" w:type="dxa"/>
          </w:tcPr>
          <w:p w14:paraId="5383D224" w14:textId="77777777" w:rsidR="00B0029C" w:rsidRPr="0097110C" w:rsidRDefault="00B0029C" w:rsidP="00D3160D">
            <w:pPr>
              <w:pStyle w:val="Normal6a"/>
              <w:rPr>
                <w:szCs w:val="24"/>
              </w:rPr>
            </w:pPr>
            <w:r w:rsidRPr="0097110C">
              <w:lastRenderedPageBreak/>
              <w:t>(a)</w:t>
            </w:r>
            <w:r w:rsidRPr="0097110C">
              <w:tab/>
            </w:r>
            <w:r w:rsidRPr="0097110C">
              <w:rPr>
                <w:b/>
                <w:i/>
              </w:rPr>
              <w:t xml:space="preserve">koristi se povjerljivim statističkim podacima isključivo u svrhu za koju je član ESSB-a koji dijeli podatke dao </w:t>
            </w:r>
            <w:r w:rsidRPr="0097110C">
              <w:rPr>
                <w:b/>
                <w:i/>
              </w:rPr>
              <w:lastRenderedPageBreak/>
              <w:t>suglasnost</w:t>
            </w:r>
            <w:r w:rsidRPr="0097110C">
              <w:t xml:space="preserve"> i</w:t>
            </w:r>
            <w:r w:rsidRPr="0097110C">
              <w:rPr>
                <w:b/>
                <w:i/>
              </w:rPr>
              <w:t>, ako je primjenjivo, izvještajne jedinice ili druge pravne ili fizičke osobe, subjekti ili podružnice koji se mogu identificirati povjerljivim statističkim podacima</w:t>
            </w:r>
            <w:r w:rsidRPr="0097110C">
              <w:t>; i</w:t>
            </w:r>
          </w:p>
        </w:tc>
      </w:tr>
    </w:tbl>
    <w:p w14:paraId="1541033A" w14:textId="3BD055FD" w:rsidR="00E365E1" w:rsidRPr="0097110C" w:rsidRDefault="00E365E1" w:rsidP="00EC1E63"/>
    <w:sectPr w:rsidR="00E365E1" w:rsidRPr="0097110C" w:rsidSect="00B42F9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F8B3E" w14:textId="77777777" w:rsidR="00EC1E63" w:rsidRPr="00B42F9C" w:rsidRDefault="00EC1E63">
      <w:r w:rsidRPr="00B42F9C">
        <w:separator/>
      </w:r>
    </w:p>
  </w:endnote>
  <w:endnote w:type="continuationSeparator" w:id="0">
    <w:p w14:paraId="07FC8EA6" w14:textId="77777777" w:rsidR="00EC1E63" w:rsidRPr="00B42F9C" w:rsidRDefault="00EC1E63">
      <w:r w:rsidRPr="00B42F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C9075" w14:textId="77777777" w:rsidR="00064002" w:rsidRPr="00B42F9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E8CC" w14:textId="77777777" w:rsidR="00064002" w:rsidRPr="00B42F9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9707D" w14:textId="77777777" w:rsidR="00064002" w:rsidRPr="00B42F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97D1C" w14:textId="77777777" w:rsidR="00EC1E63" w:rsidRPr="00B42F9C" w:rsidRDefault="00EC1E63">
      <w:r w:rsidRPr="00B42F9C">
        <w:separator/>
      </w:r>
    </w:p>
  </w:footnote>
  <w:footnote w:type="continuationSeparator" w:id="0">
    <w:p w14:paraId="732D20F9" w14:textId="77777777" w:rsidR="00EC1E63" w:rsidRPr="00B42F9C" w:rsidRDefault="00EC1E63">
      <w:r w:rsidRPr="00B42F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1CF75" w14:textId="77777777" w:rsidR="00064002" w:rsidRPr="00B42F9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DDC2D" w14:textId="77777777" w:rsidR="00064002" w:rsidRPr="00B42F9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5BC7" w14:textId="77777777" w:rsidR="00064002" w:rsidRPr="00B42F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7434513">
    <w:abstractNumId w:val="9"/>
  </w:num>
  <w:num w:numId="2" w16cid:durableId="1128620781">
    <w:abstractNumId w:val="9"/>
  </w:num>
  <w:num w:numId="3" w16cid:durableId="1471552709">
    <w:abstractNumId w:val="7"/>
  </w:num>
  <w:num w:numId="4" w16cid:durableId="289896361">
    <w:abstractNumId w:val="7"/>
  </w:num>
  <w:num w:numId="5" w16cid:durableId="1280406763">
    <w:abstractNumId w:val="6"/>
  </w:num>
  <w:num w:numId="6" w16cid:durableId="925269221">
    <w:abstractNumId w:val="6"/>
  </w:num>
  <w:num w:numId="7" w16cid:durableId="1828355689">
    <w:abstractNumId w:val="5"/>
  </w:num>
  <w:num w:numId="8" w16cid:durableId="807821218">
    <w:abstractNumId w:val="5"/>
  </w:num>
  <w:num w:numId="9" w16cid:durableId="174199589">
    <w:abstractNumId w:val="4"/>
  </w:num>
  <w:num w:numId="10" w16cid:durableId="433745749">
    <w:abstractNumId w:val="4"/>
  </w:num>
  <w:num w:numId="11" w16cid:durableId="1413431095">
    <w:abstractNumId w:val="8"/>
  </w:num>
  <w:num w:numId="12" w16cid:durableId="990594804">
    <w:abstractNumId w:val="8"/>
  </w:num>
  <w:num w:numId="13" w16cid:durableId="2071297342">
    <w:abstractNumId w:val="3"/>
  </w:num>
  <w:num w:numId="14" w16cid:durableId="140928494">
    <w:abstractNumId w:val="3"/>
  </w:num>
  <w:num w:numId="15" w16cid:durableId="1577857219">
    <w:abstractNumId w:val="2"/>
  </w:num>
  <w:num w:numId="16" w16cid:durableId="806046118">
    <w:abstractNumId w:val="2"/>
  </w:num>
  <w:num w:numId="17" w16cid:durableId="414135845">
    <w:abstractNumId w:val="1"/>
  </w:num>
  <w:num w:numId="18" w16cid:durableId="2073842762">
    <w:abstractNumId w:val="1"/>
  </w:num>
  <w:num w:numId="19" w16cid:durableId="1073431927">
    <w:abstractNumId w:val="0"/>
  </w:num>
  <w:num w:numId="20" w16cid:durableId="2054763739">
    <w:abstractNumId w:val="0"/>
  </w:num>
  <w:num w:numId="21" w16cid:durableId="2008553208">
    <w:abstractNumId w:val="9"/>
  </w:num>
  <w:num w:numId="22" w16cid:durableId="1346860137">
    <w:abstractNumId w:val="7"/>
  </w:num>
  <w:num w:numId="23" w16cid:durableId="602499151">
    <w:abstractNumId w:val="6"/>
  </w:num>
  <w:num w:numId="24" w16cid:durableId="1964068319">
    <w:abstractNumId w:val="5"/>
  </w:num>
  <w:num w:numId="25" w16cid:durableId="2121795427">
    <w:abstractNumId w:val="4"/>
  </w:num>
  <w:num w:numId="26" w16cid:durableId="1834956449">
    <w:abstractNumId w:val="8"/>
  </w:num>
  <w:num w:numId="27" w16cid:durableId="980623409">
    <w:abstractNumId w:val="3"/>
  </w:num>
  <w:num w:numId="28" w16cid:durableId="2045474921">
    <w:abstractNumId w:val="2"/>
  </w:num>
  <w:num w:numId="29" w16cid:durableId="698049863">
    <w:abstractNumId w:val="1"/>
  </w:num>
  <w:num w:numId="30" w16cid:durableId="1495224769">
    <w:abstractNumId w:val="0"/>
  </w:num>
  <w:num w:numId="31" w16cid:durableId="1138453031">
    <w:abstractNumId w:val="9"/>
  </w:num>
  <w:num w:numId="32" w16cid:durableId="382604765">
    <w:abstractNumId w:val="7"/>
  </w:num>
  <w:num w:numId="33" w16cid:durableId="1123963740">
    <w:abstractNumId w:val="6"/>
  </w:num>
  <w:num w:numId="34" w16cid:durableId="1623077091">
    <w:abstractNumId w:val="5"/>
  </w:num>
  <w:num w:numId="35" w16cid:durableId="1988977140">
    <w:abstractNumId w:val="4"/>
  </w:num>
  <w:num w:numId="36" w16cid:durableId="899482696">
    <w:abstractNumId w:val="8"/>
  </w:num>
  <w:num w:numId="37" w16cid:durableId="1380784743">
    <w:abstractNumId w:val="3"/>
  </w:num>
  <w:num w:numId="38" w16cid:durableId="1256480620">
    <w:abstractNumId w:val="2"/>
  </w:num>
  <w:num w:numId="39" w16cid:durableId="1522938587">
    <w:abstractNumId w:val="1"/>
  </w:num>
  <w:num w:numId="40" w16cid:durableId="440151244">
    <w:abstractNumId w:val="0"/>
  </w:num>
  <w:num w:numId="41" w16cid:durableId="28115459">
    <w:abstractNumId w:val="10"/>
  </w:num>
  <w:num w:numId="42" w16cid:durableId="1385369717">
    <w:abstractNumId w:val="10"/>
  </w:num>
  <w:num w:numId="43" w16cid:durableId="1949920780">
    <w:abstractNumId w:val="10"/>
  </w:num>
  <w:num w:numId="44" w16cid:durableId="9762989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HR"/>
    <w:docVar w:name="dvnumam" w:val="13"/>
    <w:docVar w:name="dvpe" w:val="777.060"/>
    <w:docVar w:name="dvrapporteur" w:val="Izvjestiteljica: "/>
    <w:docVar w:name="dvstar" w:val="*"/>
    <w:docVar w:name="dvtitre" w:val="Zakonodavna rezolucija Europskog parlamenta od .... 2025. o Nacrtu uredbe Vijeća o izmjeni Uredbe (EZ) br. 2533/98 o prikupljanju statističkih podataka od strane Europske središnje banke (ESB/2025/17)(09737/2025 – C10-0118/2025 – 2025/0806(CNS))"/>
  </w:docVars>
  <w:rsids>
    <w:rsidRoot w:val="00EC1E63"/>
    <w:rsid w:val="00002272"/>
    <w:rsid w:val="00064002"/>
    <w:rsid w:val="000677B9"/>
    <w:rsid w:val="000831BA"/>
    <w:rsid w:val="000A42CC"/>
    <w:rsid w:val="000E7DD9"/>
    <w:rsid w:val="0010095E"/>
    <w:rsid w:val="00125B37"/>
    <w:rsid w:val="0014365B"/>
    <w:rsid w:val="00160CCB"/>
    <w:rsid w:val="00187494"/>
    <w:rsid w:val="001B1ED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0E1"/>
    <w:rsid w:val="004E6B6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5E29"/>
    <w:rsid w:val="007D1690"/>
    <w:rsid w:val="007E22AD"/>
    <w:rsid w:val="00817416"/>
    <w:rsid w:val="00842779"/>
    <w:rsid w:val="00865F67"/>
    <w:rsid w:val="00881A7B"/>
    <w:rsid w:val="008840E5"/>
    <w:rsid w:val="00887B3E"/>
    <w:rsid w:val="008C2AC6"/>
    <w:rsid w:val="00904A42"/>
    <w:rsid w:val="00930C23"/>
    <w:rsid w:val="0093193B"/>
    <w:rsid w:val="0093237A"/>
    <w:rsid w:val="009509D8"/>
    <w:rsid w:val="00950B64"/>
    <w:rsid w:val="0097110C"/>
    <w:rsid w:val="00981893"/>
    <w:rsid w:val="00A1687D"/>
    <w:rsid w:val="00A43E52"/>
    <w:rsid w:val="00A4678D"/>
    <w:rsid w:val="00A778C7"/>
    <w:rsid w:val="00AB441E"/>
    <w:rsid w:val="00AB6293"/>
    <w:rsid w:val="00AE0928"/>
    <w:rsid w:val="00AF3B82"/>
    <w:rsid w:val="00B0029C"/>
    <w:rsid w:val="00B12E95"/>
    <w:rsid w:val="00B22876"/>
    <w:rsid w:val="00B42F9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E6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3E1F9"/>
  <w15:chartTrackingRefBased/>
  <w15:docId w15:val="{3B6B5EA3-7376-42A8-8992-796D1A34A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029C"/>
    <w:pPr>
      <w:spacing w:before="480" w:after="240"/>
    </w:pPr>
  </w:style>
  <w:style w:type="paragraph" w:customStyle="1" w:styleId="Normal6a">
    <w:name w:val="Normal6a"/>
    <w:basedOn w:val="Normal"/>
    <w:rsid w:val="00B0029C"/>
    <w:pPr>
      <w:spacing w:after="120"/>
    </w:pPr>
  </w:style>
  <w:style w:type="paragraph" w:customStyle="1" w:styleId="NormalBold">
    <w:name w:val="NormalBold"/>
    <w:basedOn w:val="Normal"/>
    <w:link w:val="NormalBoldChar"/>
    <w:rsid w:val="00B0029C"/>
    <w:rPr>
      <w:b/>
    </w:rPr>
  </w:style>
  <w:style w:type="paragraph" w:customStyle="1" w:styleId="NormalHanging12a">
    <w:name w:val="NormalHanging12a"/>
    <w:basedOn w:val="Normal"/>
    <w:rsid w:val="00B0029C"/>
    <w:pPr>
      <w:spacing w:after="240"/>
      <w:ind w:left="567" w:hanging="567"/>
    </w:pPr>
  </w:style>
  <w:style w:type="paragraph" w:customStyle="1" w:styleId="AmColumnHeading">
    <w:name w:val="AmColumnHeading"/>
    <w:basedOn w:val="Normal"/>
    <w:rsid w:val="00B0029C"/>
    <w:pPr>
      <w:spacing w:after="240"/>
      <w:jc w:val="center"/>
    </w:pPr>
    <w:rPr>
      <w:i/>
    </w:rPr>
  </w:style>
  <w:style w:type="paragraph" w:customStyle="1" w:styleId="AmNumberTabs">
    <w:name w:val="AmNumberTabs"/>
    <w:basedOn w:val="Normal"/>
    <w:rsid w:val="00B0029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0029C"/>
    <w:pPr>
      <w:spacing w:before="240"/>
    </w:pPr>
    <w:rPr>
      <w:b/>
    </w:rPr>
  </w:style>
  <w:style w:type="character" w:customStyle="1" w:styleId="NormalBoldChar">
    <w:name w:val="NormalBold Char"/>
    <w:basedOn w:val="DefaultParagraphFont"/>
    <w:link w:val="NormalBold"/>
    <w:locked/>
    <w:rsid w:val="00B0029C"/>
    <w:rPr>
      <w:b/>
      <w:sz w:val="24"/>
      <w:lang w:val="hr-HR"/>
    </w:rPr>
  </w:style>
  <w:style w:type="paragraph" w:styleId="Revision">
    <w:name w:val="Revision"/>
    <w:hidden/>
    <w:uiPriority w:val="99"/>
    <w:semiHidden/>
    <w:rsid w:val="001B1EDB"/>
    <w:rPr>
      <w:sz w:val="24"/>
      <w:lang w:val="hr-HR"/>
    </w:rPr>
  </w:style>
  <w:style w:type="character" w:styleId="CommentReference">
    <w:name w:val="annotation reference"/>
    <w:basedOn w:val="DefaultParagraphFont"/>
    <w:rsid w:val="0093237A"/>
    <w:rPr>
      <w:sz w:val="16"/>
      <w:szCs w:val="16"/>
    </w:rPr>
  </w:style>
  <w:style w:type="paragraph" w:styleId="CommentText">
    <w:name w:val="annotation text"/>
    <w:basedOn w:val="Normal"/>
    <w:link w:val="CommentTextChar"/>
    <w:rsid w:val="0093237A"/>
    <w:rPr>
      <w:sz w:val="20"/>
    </w:rPr>
  </w:style>
  <w:style w:type="character" w:customStyle="1" w:styleId="CommentTextChar">
    <w:name w:val="Comment Text Char"/>
    <w:basedOn w:val="DefaultParagraphFont"/>
    <w:link w:val="CommentText"/>
    <w:rsid w:val="0093237A"/>
    <w:rPr>
      <w:lang w:val="hr-HR"/>
    </w:rPr>
  </w:style>
  <w:style w:type="paragraph" w:styleId="CommentSubject">
    <w:name w:val="annotation subject"/>
    <w:basedOn w:val="CommentText"/>
    <w:next w:val="CommentText"/>
    <w:link w:val="CommentSubjectChar"/>
    <w:rsid w:val="0093237A"/>
    <w:rPr>
      <w:b/>
      <w:bCs/>
    </w:rPr>
  </w:style>
  <w:style w:type="character" w:customStyle="1" w:styleId="CommentSubjectChar">
    <w:name w:val="Comment Subject Char"/>
    <w:basedOn w:val="CommentTextChar"/>
    <w:link w:val="CommentSubject"/>
    <w:rsid w:val="0093237A"/>
    <w:rPr>
      <w:b/>
      <w:bCs/>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2368</Words>
  <Characters>15014</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2025-11-26T13:18:00Z</dcterms:created>
  <dcterms:modified xsi:type="dcterms:W3CDTF">2025-11-26T13:18:00Z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A10-0222/2025</vt:lpwstr>
  </property>
  <property fmtid="{D5CDD505-2E9C-101B-9397-08002B2CF9AE}" pid="4" name="&lt;Type&gt;">
    <vt:lpwstr>RR</vt:lpwstr>
  </property>
</Properties>
</file>