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1BC2" w14:paraId="6F5B6AAB" w14:textId="77777777" w:rsidTr="0010095E">
        <w:trPr>
          <w:trHeight w:hRule="exact" w:val="1418"/>
        </w:trPr>
        <w:tc>
          <w:tcPr>
            <w:tcW w:w="6804" w:type="dxa"/>
            <w:shd w:val="clear" w:color="auto" w:fill="auto"/>
            <w:vAlign w:val="center"/>
          </w:tcPr>
          <w:p w14:paraId="5AE85065" w14:textId="77777777" w:rsidR="00751A4A" w:rsidRPr="00001BC2" w:rsidRDefault="004F19C4" w:rsidP="0010095E">
            <w:pPr>
              <w:pStyle w:val="EPName"/>
            </w:pPr>
            <w:r w:rsidRPr="00001BC2">
              <w:t>Eiropas Parlaments</w:t>
            </w:r>
          </w:p>
          <w:p w14:paraId="1D610F62" w14:textId="77777777" w:rsidR="00751A4A" w:rsidRPr="00001BC2" w:rsidRDefault="005F1B17" w:rsidP="005F1B17">
            <w:pPr>
              <w:pStyle w:val="EPTerm"/>
              <w:rPr>
                <w:rStyle w:val="HideTWBExt"/>
                <w:noProof w:val="0"/>
                <w:vanish w:val="0"/>
                <w:color w:val="auto"/>
              </w:rPr>
            </w:pPr>
            <w:r w:rsidRPr="00001BC2">
              <w:t>2024</w:t>
            </w:r>
            <w:r w:rsidR="00817416" w:rsidRPr="00001BC2">
              <w:t>-202</w:t>
            </w:r>
            <w:r w:rsidRPr="00001BC2">
              <w:t>9</w:t>
            </w:r>
          </w:p>
        </w:tc>
        <w:tc>
          <w:tcPr>
            <w:tcW w:w="2268" w:type="dxa"/>
            <w:shd w:val="clear" w:color="auto" w:fill="auto"/>
          </w:tcPr>
          <w:p w14:paraId="2F97D88D" w14:textId="77777777" w:rsidR="00751A4A" w:rsidRPr="00001BC2" w:rsidRDefault="00187494" w:rsidP="0010095E">
            <w:pPr>
              <w:pStyle w:val="EPLogo"/>
            </w:pPr>
            <w:r w:rsidRPr="00001BC2">
              <w:rPr>
                <w:noProof/>
                <w:lang w:eastAsia="ja-JP"/>
              </w:rPr>
              <w:drawing>
                <wp:inline distT="0" distB="0" distL="0" distR="0" wp14:anchorId="7E5377C3" wp14:editId="632675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180CF9" w14:textId="77777777" w:rsidR="00D058B8" w:rsidRPr="00001BC2" w:rsidRDefault="00D058B8" w:rsidP="004C5D52">
      <w:pPr>
        <w:pStyle w:val="LineTop"/>
      </w:pPr>
    </w:p>
    <w:p w14:paraId="32B660D5" w14:textId="77777777" w:rsidR="00680577" w:rsidRPr="00001BC2" w:rsidRDefault="004F19C4" w:rsidP="00680577">
      <w:pPr>
        <w:pStyle w:val="EPBodyTA1"/>
      </w:pPr>
      <w:r w:rsidRPr="00001BC2">
        <w:t>PIEŅEMTIE TEKSTI</w:t>
      </w:r>
    </w:p>
    <w:p w14:paraId="19ADA3F2" w14:textId="77777777" w:rsidR="00D058B8" w:rsidRPr="00001BC2" w:rsidRDefault="00D058B8" w:rsidP="00D058B8">
      <w:pPr>
        <w:pStyle w:val="LineBottom"/>
      </w:pPr>
    </w:p>
    <w:p w14:paraId="35774937" w14:textId="408AC736" w:rsidR="004F19C4" w:rsidRPr="00001BC2" w:rsidRDefault="004F19C4" w:rsidP="004F19C4">
      <w:pPr>
        <w:pStyle w:val="ATHeading1"/>
      </w:pPr>
      <w:bookmarkStart w:id="0" w:name="TANumber"/>
      <w:r w:rsidRPr="00001BC2">
        <w:t>P10_TA(2025)0</w:t>
      </w:r>
      <w:r w:rsidR="00001BC2" w:rsidRPr="00001BC2">
        <w:t>297</w:t>
      </w:r>
      <w:bookmarkEnd w:id="0"/>
    </w:p>
    <w:p w14:paraId="3C4095B4" w14:textId="0FF4E73E" w:rsidR="004F19C4" w:rsidRPr="00001BC2" w:rsidRDefault="002078A4" w:rsidP="004F19C4">
      <w:pPr>
        <w:pStyle w:val="ATHeading2"/>
      </w:pPr>
      <w:bookmarkStart w:id="1" w:name="title"/>
      <w:r w:rsidRPr="00001BC2">
        <w:rPr>
          <w:bCs/>
        </w:rPr>
        <w:t>Statistikas informācija, ko vāc Eiropas Centrālā banka</w:t>
      </w:r>
      <w:bookmarkEnd w:id="1"/>
    </w:p>
    <w:p w14:paraId="14BBE240" w14:textId="77777777" w:rsidR="004F19C4" w:rsidRPr="00001BC2" w:rsidRDefault="004F19C4" w:rsidP="004F19C4">
      <w:pPr>
        <w:rPr>
          <w:i/>
          <w:vanish/>
        </w:rPr>
      </w:pPr>
      <w:r w:rsidRPr="00001BC2">
        <w:rPr>
          <w:i/>
        </w:rPr>
        <w:fldChar w:fldCharType="begin"/>
      </w:r>
      <w:r w:rsidRPr="00001BC2">
        <w:rPr>
          <w:i/>
        </w:rPr>
        <w:instrText xml:space="preserve"> TC"(</w:instrText>
      </w:r>
      <w:bookmarkStart w:id="2" w:name="DocNumber"/>
      <w:r w:rsidRPr="00001BC2">
        <w:rPr>
          <w:i/>
        </w:rPr>
        <w:instrText>A10-0222/2025</w:instrText>
      </w:r>
      <w:bookmarkEnd w:id="2"/>
      <w:r w:rsidRPr="00001BC2">
        <w:rPr>
          <w:i/>
        </w:rPr>
        <w:instrText xml:space="preserve"> - Referente: Aurore Lalucq)"\l3 \n&gt; \* MERGEFORMAT </w:instrText>
      </w:r>
      <w:r w:rsidRPr="00001BC2">
        <w:rPr>
          <w:i/>
        </w:rPr>
        <w:fldChar w:fldCharType="end"/>
      </w:r>
    </w:p>
    <w:p w14:paraId="06E36C26" w14:textId="77777777" w:rsidR="004F19C4" w:rsidRPr="00001BC2" w:rsidRDefault="004F19C4" w:rsidP="004F19C4">
      <w:pPr>
        <w:rPr>
          <w:vanish/>
        </w:rPr>
      </w:pPr>
      <w:bookmarkStart w:id="3" w:name="Commission"/>
      <w:r w:rsidRPr="00001BC2">
        <w:rPr>
          <w:vanish/>
        </w:rPr>
        <w:t>Ekonomikas un monetārā komiteja</w:t>
      </w:r>
      <w:bookmarkEnd w:id="3"/>
    </w:p>
    <w:p w14:paraId="5DB89870" w14:textId="77777777" w:rsidR="004F19C4" w:rsidRPr="00001BC2" w:rsidRDefault="004F19C4" w:rsidP="004F19C4">
      <w:pPr>
        <w:rPr>
          <w:vanish/>
        </w:rPr>
      </w:pPr>
      <w:bookmarkStart w:id="4" w:name="PE"/>
      <w:r w:rsidRPr="00001BC2">
        <w:rPr>
          <w:vanish/>
        </w:rPr>
        <w:t>PE777.060</w:t>
      </w:r>
      <w:bookmarkEnd w:id="4"/>
    </w:p>
    <w:p w14:paraId="0DBCE818" w14:textId="33799369" w:rsidR="004F19C4" w:rsidRPr="00001BC2" w:rsidRDefault="004F19C4" w:rsidP="004F19C4">
      <w:pPr>
        <w:pStyle w:val="ATHeading3"/>
      </w:pPr>
      <w:bookmarkStart w:id="5" w:name="Sujet"/>
      <w:r w:rsidRPr="00001BC2">
        <w:t xml:space="preserve">Eiropas Parlamenta 2025. gada </w:t>
      </w:r>
      <w:r w:rsidR="002078A4" w:rsidRPr="00001BC2">
        <w:t>26. novembra</w:t>
      </w:r>
      <w:r w:rsidRPr="00001BC2">
        <w:t xml:space="preserve"> normatīvā rezolūcija par projektu Padomes regulai, ar ko groza Regulu (EK) Nr. 2533/98 par statistikas informācijas vākšanu, ko veic Eiropas Centrālā banka </w:t>
      </w:r>
      <w:bookmarkStart w:id="6" w:name="References"/>
      <w:bookmarkEnd w:id="5"/>
      <w:r w:rsidRPr="00001BC2">
        <w:t>(09737/2025 – C10-0118/2025 – 2025/0806(CNS))</w:t>
      </w:r>
      <w:bookmarkEnd w:id="6"/>
    </w:p>
    <w:p w14:paraId="4B774260" w14:textId="0A845C59" w:rsidR="00250044" w:rsidRPr="00001BC2" w:rsidRDefault="00250044" w:rsidP="00250044">
      <w:pPr>
        <w:pStyle w:val="NormalBold"/>
      </w:pPr>
      <w:r w:rsidRPr="00001BC2">
        <w:t>(</w:t>
      </w:r>
      <w:r w:rsidR="002078A4" w:rsidRPr="00001BC2">
        <w:t>Apspriešanās</w:t>
      </w:r>
      <w:r w:rsidRPr="00001BC2">
        <w:t>)</w:t>
      </w:r>
    </w:p>
    <w:p w14:paraId="393A409B" w14:textId="77777777" w:rsidR="00250044" w:rsidRPr="00001BC2" w:rsidRDefault="00250044" w:rsidP="00250044">
      <w:pPr>
        <w:pStyle w:val="EPComma"/>
      </w:pPr>
      <w:r w:rsidRPr="00001BC2">
        <w:rPr>
          <w:i/>
        </w:rPr>
        <w:t>Eiropas Parlaments</w:t>
      </w:r>
      <w:r w:rsidRPr="00001BC2">
        <w:t>,</w:t>
      </w:r>
    </w:p>
    <w:p w14:paraId="0ACD4B16" w14:textId="77777777" w:rsidR="00250044" w:rsidRPr="00001BC2" w:rsidRDefault="00250044" w:rsidP="00250044">
      <w:pPr>
        <w:pStyle w:val="NormalHanging12a"/>
      </w:pPr>
      <w:r w:rsidRPr="00001BC2">
        <w:t>–</w:t>
      </w:r>
      <w:r w:rsidRPr="00001BC2">
        <w:tab/>
        <w:t>ņemot vērā Eiropas Centrālās bankas ieteikumu (09737/2025 – ECB/2025/17),</w:t>
      </w:r>
    </w:p>
    <w:p w14:paraId="00C63721" w14:textId="77777777" w:rsidR="00250044" w:rsidRPr="00001BC2" w:rsidRDefault="00250044" w:rsidP="00250044">
      <w:pPr>
        <w:pStyle w:val="NormalHanging12a"/>
      </w:pPr>
      <w:r w:rsidRPr="00001BC2">
        <w:t>–</w:t>
      </w:r>
      <w:r w:rsidRPr="00001BC2">
        <w:tab/>
        <w:t>ņemot vērā Līguma par Eiropas Savienības darbību 129. panta 4. punktu un Eiropas Centrālās bankas Statūtu 5. panta 4. punktu un 41. pantu, saskaņā ar kuriem Padome ir apspriedusies ar Parlamentu (C10</w:t>
      </w:r>
      <w:r w:rsidRPr="00001BC2">
        <w:noBreakHyphen/>
        <w:t>0118/2025),</w:t>
      </w:r>
    </w:p>
    <w:p w14:paraId="4F3D9FF0" w14:textId="77777777" w:rsidR="00250044" w:rsidRPr="00001BC2" w:rsidRDefault="00250044" w:rsidP="00250044">
      <w:pPr>
        <w:pStyle w:val="NormalHanging12a"/>
      </w:pPr>
      <w:r w:rsidRPr="00001BC2">
        <w:t>–</w:t>
      </w:r>
      <w:r w:rsidRPr="00001BC2">
        <w:tab/>
        <w:t>ņemot vērā Reglamenta 84. pantu,</w:t>
      </w:r>
    </w:p>
    <w:p w14:paraId="0A2DA7D0" w14:textId="77777777" w:rsidR="00250044" w:rsidRPr="00001BC2" w:rsidRDefault="00250044" w:rsidP="00250044">
      <w:pPr>
        <w:pStyle w:val="NormalHanging12a"/>
      </w:pPr>
      <w:r w:rsidRPr="00001BC2">
        <w:t>–</w:t>
      </w:r>
      <w:r w:rsidRPr="00001BC2">
        <w:tab/>
        <w:t>ņemot vērā Ekonomikas un monetārās komitejas ziņojumu (A10</w:t>
      </w:r>
      <w:r w:rsidRPr="00001BC2">
        <w:noBreakHyphen/>
        <w:t>0222/2025),</w:t>
      </w:r>
    </w:p>
    <w:p w14:paraId="148B8B8A" w14:textId="12D7809A" w:rsidR="00250044" w:rsidRPr="00001BC2" w:rsidRDefault="00250044" w:rsidP="00250044">
      <w:pPr>
        <w:pStyle w:val="NormalHanging12a"/>
      </w:pPr>
      <w:r w:rsidRPr="00001BC2">
        <w:t>1.</w:t>
      </w:r>
      <w:r w:rsidRPr="00001BC2">
        <w:tab/>
        <w:t xml:space="preserve">apstiprina Eiropas Centrālās bankas ieteikumā </w:t>
      </w:r>
      <w:r w:rsidR="002954FC" w:rsidRPr="00001BC2">
        <w:t xml:space="preserve">iekļauto </w:t>
      </w:r>
      <w:r w:rsidRPr="00001BC2">
        <w:t>grozīto projektu;</w:t>
      </w:r>
    </w:p>
    <w:p w14:paraId="4874F0B8" w14:textId="77777777" w:rsidR="00250044" w:rsidRPr="00001BC2" w:rsidRDefault="00250044" w:rsidP="00250044">
      <w:pPr>
        <w:pStyle w:val="NormalHanging12a"/>
      </w:pPr>
      <w:r w:rsidRPr="00001BC2">
        <w:t>2.</w:t>
      </w:r>
      <w:r w:rsidRPr="00001BC2">
        <w:tab/>
        <w:t>aicina Padomi informēt Parlamentu, ja tā ir paredzējusi izmaiņas Parlamenta apstiprinātajā tekstā;</w:t>
      </w:r>
    </w:p>
    <w:p w14:paraId="4943968A" w14:textId="30F65DEB" w:rsidR="00250044" w:rsidRPr="00001BC2" w:rsidRDefault="00250044" w:rsidP="00250044">
      <w:pPr>
        <w:pStyle w:val="NormalHanging12a"/>
      </w:pPr>
      <w:r w:rsidRPr="00001BC2">
        <w:t>3.</w:t>
      </w:r>
      <w:r w:rsidRPr="00001BC2">
        <w:tab/>
        <w:t xml:space="preserve">prasa Padomei vēlreiz </w:t>
      </w:r>
      <w:r w:rsidR="00107CA1" w:rsidRPr="00001BC2">
        <w:t xml:space="preserve">ar to </w:t>
      </w:r>
      <w:r w:rsidRPr="00001BC2">
        <w:t xml:space="preserve">apspriesties, ja tā ir paredzējusi būtiski grozīt Eiropas Centrālās bankas ieteikumā </w:t>
      </w:r>
      <w:r w:rsidR="002954FC" w:rsidRPr="00001BC2">
        <w:t xml:space="preserve">iekļauto </w:t>
      </w:r>
      <w:r w:rsidRPr="00001BC2">
        <w:t>projektu;</w:t>
      </w:r>
    </w:p>
    <w:p w14:paraId="40F301DA" w14:textId="52D6160F" w:rsidR="00250044" w:rsidRPr="00001BC2" w:rsidRDefault="00250044" w:rsidP="00250044">
      <w:pPr>
        <w:pStyle w:val="NormalHanging12a"/>
      </w:pPr>
      <w:r w:rsidRPr="00001BC2">
        <w:t>4.</w:t>
      </w:r>
      <w:r w:rsidRPr="00001BC2">
        <w:tab/>
        <w:t xml:space="preserve">uzdod priekšsēdētājai nosūtīt šo nostāju Padomei, </w:t>
      </w:r>
      <w:r w:rsidR="00710AE9" w:rsidRPr="00001BC2">
        <w:t xml:space="preserve">Eiropas Centrālajai bankai un </w:t>
      </w:r>
      <w:r w:rsidRPr="00001BC2">
        <w:t>Komisijai.</w:t>
      </w:r>
    </w:p>
    <w:p w14:paraId="3A816094" w14:textId="77777777" w:rsidR="002078A4" w:rsidRPr="00001BC2" w:rsidRDefault="002078A4" w:rsidP="00250044">
      <w:pPr>
        <w:sectPr w:rsidR="002078A4" w:rsidRPr="00001BC2" w:rsidSect="00047C8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B35264" w14:textId="77777777" w:rsidR="00250044" w:rsidRPr="00001BC2" w:rsidRDefault="00250044" w:rsidP="00250044">
      <w:pPr>
        <w:pStyle w:val="AmNumberTabs"/>
        <w:keepNext/>
      </w:pPr>
      <w:r w:rsidRPr="00001BC2">
        <w:lastRenderedPageBreak/>
        <w:t>Grozījums Nr.</w:t>
      </w:r>
      <w:r w:rsidRPr="00001BC2">
        <w:tab/>
      </w:r>
      <w:r w:rsidRPr="00001BC2">
        <w:tab/>
        <w:t>1</w:t>
      </w:r>
    </w:p>
    <w:p w14:paraId="5A6CA64F" w14:textId="77777777" w:rsidR="00250044" w:rsidRPr="00001BC2" w:rsidRDefault="00250044" w:rsidP="00250044">
      <w:pPr>
        <w:pStyle w:val="NormalBold12b"/>
        <w:keepNext/>
      </w:pPr>
      <w:r w:rsidRPr="00001BC2">
        <w:t>Regulas projekts</w:t>
      </w:r>
    </w:p>
    <w:p w14:paraId="153518B1" w14:textId="77777777" w:rsidR="00250044" w:rsidRPr="00001BC2" w:rsidRDefault="00250044" w:rsidP="00250044">
      <w:pPr>
        <w:pStyle w:val="NormalBold"/>
        <w:keepNext/>
      </w:pPr>
      <w:r w:rsidRPr="00001BC2">
        <w:t>1.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0044" w:rsidRPr="00001BC2" w14:paraId="0D50A512" w14:textId="77777777" w:rsidTr="00DE4C73">
        <w:trPr>
          <w:jc w:val="center"/>
        </w:trPr>
        <w:tc>
          <w:tcPr>
            <w:tcW w:w="9752" w:type="dxa"/>
            <w:gridSpan w:val="2"/>
          </w:tcPr>
          <w:p w14:paraId="3100F8AC" w14:textId="77777777" w:rsidR="00250044" w:rsidRPr="00001BC2" w:rsidRDefault="00250044" w:rsidP="00DE4C73">
            <w:pPr>
              <w:keepNext/>
            </w:pPr>
          </w:p>
        </w:tc>
      </w:tr>
      <w:tr w:rsidR="00250044" w:rsidRPr="00001BC2" w14:paraId="298E291D" w14:textId="77777777" w:rsidTr="00DE4C73">
        <w:trPr>
          <w:jc w:val="center"/>
        </w:trPr>
        <w:tc>
          <w:tcPr>
            <w:tcW w:w="4876" w:type="dxa"/>
          </w:tcPr>
          <w:p w14:paraId="69D95B0F" w14:textId="77777777" w:rsidR="00250044" w:rsidRPr="00001BC2" w:rsidRDefault="00250044" w:rsidP="00DE4C73">
            <w:pPr>
              <w:pStyle w:val="AmColumnHeading"/>
              <w:keepNext/>
            </w:pPr>
            <w:r w:rsidRPr="00001BC2">
              <w:t>Eiropas Centrālās bankas projekts</w:t>
            </w:r>
          </w:p>
        </w:tc>
        <w:tc>
          <w:tcPr>
            <w:tcW w:w="4876" w:type="dxa"/>
          </w:tcPr>
          <w:p w14:paraId="52873F24" w14:textId="77777777" w:rsidR="00250044" w:rsidRPr="00001BC2" w:rsidRDefault="00250044" w:rsidP="00DE4C73">
            <w:pPr>
              <w:pStyle w:val="AmColumnHeading"/>
              <w:keepNext/>
            </w:pPr>
            <w:r w:rsidRPr="00001BC2">
              <w:t xml:space="preserve">Grozījums </w:t>
            </w:r>
          </w:p>
        </w:tc>
      </w:tr>
      <w:tr w:rsidR="00250044" w:rsidRPr="00001BC2" w14:paraId="65C290A7" w14:textId="77777777" w:rsidTr="00DE4C73">
        <w:trPr>
          <w:jc w:val="center"/>
        </w:trPr>
        <w:tc>
          <w:tcPr>
            <w:tcW w:w="4876" w:type="dxa"/>
          </w:tcPr>
          <w:p w14:paraId="4DCBF9A1" w14:textId="77777777" w:rsidR="00250044" w:rsidRPr="00001BC2" w:rsidRDefault="00250044" w:rsidP="00DE4C73">
            <w:pPr>
              <w:pStyle w:val="Normal6a"/>
            </w:pPr>
            <w:r w:rsidRPr="00001BC2">
              <w:t>(1)</w:t>
            </w:r>
            <w:r w:rsidRPr="00001BC2">
              <w:tab/>
              <w:t>Padomes Regula (EK) Nr. 2533/98</w:t>
            </w:r>
            <w:r w:rsidRPr="00001BC2">
              <w:rPr>
                <w:vertAlign w:val="superscript"/>
              </w:rPr>
              <w:t>1</w:t>
            </w:r>
            <w:r w:rsidRPr="00001BC2">
              <w:t xml:space="preserve"> ir būtiska sastāvdaļa tiesiskajā regulējumā, kas ir Eiropas Centrālās bankas (ECB), kurai palīdz valstu centrālās bankas, statistikas vākšanas uzdevumu izpildes pamatā. ECB konsekventi balstījusies uz minēto regulu, </w:t>
            </w:r>
            <w:r w:rsidRPr="00001BC2">
              <w:rPr>
                <w:b/>
                <w:i/>
              </w:rPr>
              <w:t>veicot</w:t>
            </w:r>
            <w:r w:rsidRPr="00001BC2">
              <w:t xml:space="preserve"> un </w:t>
            </w:r>
            <w:r w:rsidRPr="00001BC2">
              <w:rPr>
                <w:b/>
                <w:i/>
              </w:rPr>
              <w:t>uzraugot Eiropas Centrālo banku sistēmas (ECBS) uzdevumu izpildei vajadzīgās statistiskās informācijas koordinētu vākšanu</w:t>
            </w:r>
            <w:r w:rsidRPr="00001BC2">
              <w:t>.</w:t>
            </w:r>
          </w:p>
        </w:tc>
        <w:tc>
          <w:tcPr>
            <w:tcW w:w="4876" w:type="dxa"/>
          </w:tcPr>
          <w:p w14:paraId="253462E4" w14:textId="77777777" w:rsidR="00250044" w:rsidRPr="00001BC2" w:rsidRDefault="00250044" w:rsidP="00DE4C73">
            <w:pPr>
              <w:pStyle w:val="Normal6a"/>
              <w:rPr>
                <w:szCs w:val="24"/>
              </w:rPr>
            </w:pPr>
            <w:r w:rsidRPr="00001BC2">
              <w:t>(1)</w:t>
            </w:r>
            <w:r w:rsidRPr="00001BC2">
              <w:tab/>
              <w:t>Padomes Regula (EK) Nr. 2533/98</w:t>
            </w:r>
            <w:r w:rsidRPr="00001BC2">
              <w:rPr>
                <w:vertAlign w:val="superscript"/>
              </w:rPr>
              <w:t>1</w:t>
            </w:r>
            <w:r w:rsidRPr="00001BC2">
              <w:t xml:space="preserve"> ir būtiska sastāvdaļa tiesiskajā regulējumā, kas ir Eiropas Centrālās bankas (ECB), kurai palīdz valstu centrālās bankas, statistikas vākšanas uzdevumu izpildes pamatā. </w:t>
            </w:r>
            <w:r w:rsidRPr="00001BC2">
              <w:rPr>
                <w:b/>
                <w:i/>
              </w:rPr>
              <w:t xml:space="preserve">Veicot un uzraugot nepieciešamās statistiskās informācijas koordinētu vākšanu, </w:t>
            </w:r>
            <w:r w:rsidRPr="00001BC2">
              <w:t>ECB konsekventi</w:t>
            </w:r>
            <w:r w:rsidRPr="00001BC2">
              <w:rPr>
                <w:b/>
                <w:i/>
              </w:rPr>
              <w:t xml:space="preserve"> ir</w:t>
            </w:r>
            <w:r w:rsidRPr="00001BC2">
              <w:t xml:space="preserve"> balstījusies uz minēto regulu, </w:t>
            </w:r>
            <w:r w:rsidRPr="00001BC2">
              <w:rPr>
                <w:b/>
                <w:i/>
              </w:rPr>
              <w:t>lai efektīvāk īstenotu savus mērķus</w:t>
            </w:r>
            <w:r w:rsidRPr="00001BC2">
              <w:t xml:space="preserve"> un </w:t>
            </w:r>
            <w:r w:rsidRPr="00001BC2">
              <w:rPr>
                <w:b/>
                <w:i/>
              </w:rPr>
              <w:t>veiktu uzdevumus, kas tai noteikti Statūtu 2. pantā, un labāk reaģētu uz pašreizējiem un nākotnes izaicinājumiem</w:t>
            </w:r>
            <w:r w:rsidRPr="00001BC2">
              <w:t>.</w:t>
            </w:r>
          </w:p>
        </w:tc>
      </w:tr>
      <w:tr w:rsidR="00250044" w:rsidRPr="00001BC2" w14:paraId="4122572C" w14:textId="77777777" w:rsidTr="00DE4C73">
        <w:trPr>
          <w:jc w:val="center"/>
        </w:trPr>
        <w:tc>
          <w:tcPr>
            <w:tcW w:w="4876" w:type="dxa"/>
          </w:tcPr>
          <w:p w14:paraId="74344FF9" w14:textId="77777777" w:rsidR="00250044" w:rsidRPr="00001BC2" w:rsidRDefault="00250044" w:rsidP="00DE4C73">
            <w:pPr>
              <w:pStyle w:val="Normal6a"/>
            </w:pPr>
            <w:r w:rsidRPr="00001BC2">
              <w:t>__________________</w:t>
            </w:r>
          </w:p>
        </w:tc>
        <w:tc>
          <w:tcPr>
            <w:tcW w:w="4876" w:type="dxa"/>
          </w:tcPr>
          <w:p w14:paraId="15ED0696" w14:textId="77777777" w:rsidR="00250044" w:rsidRPr="00001BC2" w:rsidRDefault="00250044" w:rsidP="00DE4C73">
            <w:pPr>
              <w:pStyle w:val="Normal6a"/>
            </w:pPr>
            <w:r w:rsidRPr="00001BC2">
              <w:t>__________________</w:t>
            </w:r>
          </w:p>
        </w:tc>
      </w:tr>
      <w:tr w:rsidR="00250044" w:rsidRPr="00001BC2" w14:paraId="0E06BA78" w14:textId="77777777" w:rsidTr="00DE4C73">
        <w:trPr>
          <w:jc w:val="center"/>
        </w:trPr>
        <w:tc>
          <w:tcPr>
            <w:tcW w:w="4876" w:type="dxa"/>
          </w:tcPr>
          <w:p w14:paraId="5D77130A" w14:textId="77777777" w:rsidR="00250044" w:rsidRPr="00001BC2" w:rsidRDefault="00250044" w:rsidP="00DE4C73">
            <w:pPr>
              <w:pStyle w:val="Normal6a"/>
            </w:pPr>
            <w:r w:rsidRPr="00001BC2">
              <w:rPr>
                <w:vertAlign w:val="superscript"/>
              </w:rPr>
              <w:t>1</w:t>
            </w:r>
            <w:r w:rsidRPr="00001BC2">
              <w:t xml:space="preserve"> Padomes Regula (EK) Nr. 2533/98 (1998. gada 23. novembris) par statistikas informācijas vākšanu, ko veic Eiropas Centrālā banka (OV L 318, 27.11.1998., 8. lpp., ELI: http://data.europa.eu/eli/reg/1998/2533/oj).</w:t>
            </w:r>
          </w:p>
        </w:tc>
        <w:tc>
          <w:tcPr>
            <w:tcW w:w="4876" w:type="dxa"/>
          </w:tcPr>
          <w:p w14:paraId="3C226197" w14:textId="77777777" w:rsidR="00250044" w:rsidRPr="00001BC2" w:rsidRDefault="00250044" w:rsidP="00DE4C73">
            <w:pPr>
              <w:pStyle w:val="Normal6a"/>
            </w:pPr>
            <w:r w:rsidRPr="00001BC2">
              <w:rPr>
                <w:vertAlign w:val="superscript"/>
              </w:rPr>
              <w:t>1</w:t>
            </w:r>
            <w:r w:rsidRPr="00001BC2">
              <w:t xml:space="preserve"> Padomes Regula (EK) Nr. 2533/98 (1998. gada 23. novembris) par statistikas informācijas vākšanu, ko veic Eiropas Centrālā banka (OV L 318, 27.11.1998., 8. lpp., ELI: http://data.europa.eu/eli/reg/1998/2533/oj).</w:t>
            </w:r>
          </w:p>
        </w:tc>
      </w:tr>
    </w:tbl>
    <w:p w14:paraId="332C548D" w14:textId="77777777" w:rsidR="00250044" w:rsidRPr="00001BC2" w:rsidRDefault="00250044" w:rsidP="00250044"/>
    <w:p w14:paraId="46B47F96" w14:textId="77777777" w:rsidR="00250044" w:rsidRPr="00001BC2" w:rsidRDefault="00250044" w:rsidP="00250044">
      <w:pPr>
        <w:pStyle w:val="AmNumberTabs"/>
        <w:keepNext/>
      </w:pPr>
      <w:r w:rsidRPr="00001BC2">
        <w:t>Grozījums Nr.</w:t>
      </w:r>
      <w:r w:rsidRPr="00001BC2">
        <w:tab/>
      </w:r>
      <w:r w:rsidRPr="00001BC2">
        <w:tab/>
        <w:t>2</w:t>
      </w:r>
    </w:p>
    <w:p w14:paraId="158F7995" w14:textId="77777777" w:rsidR="00250044" w:rsidRPr="00001BC2" w:rsidRDefault="00250044" w:rsidP="00250044">
      <w:pPr>
        <w:pStyle w:val="NormalBold12b"/>
        <w:keepNext/>
      </w:pPr>
      <w:r w:rsidRPr="00001BC2">
        <w:t>Regulas projekts</w:t>
      </w:r>
    </w:p>
    <w:p w14:paraId="3C3805AC" w14:textId="77777777" w:rsidR="00250044" w:rsidRPr="00001BC2" w:rsidRDefault="00250044" w:rsidP="00250044">
      <w:pPr>
        <w:pStyle w:val="NormalBold"/>
        <w:keepNext/>
      </w:pPr>
      <w:r w:rsidRPr="00001BC2">
        <w:t>3.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0044" w:rsidRPr="00001BC2" w14:paraId="11355E59" w14:textId="77777777" w:rsidTr="00DE4C73">
        <w:trPr>
          <w:jc w:val="center"/>
        </w:trPr>
        <w:tc>
          <w:tcPr>
            <w:tcW w:w="9752" w:type="dxa"/>
            <w:gridSpan w:val="2"/>
          </w:tcPr>
          <w:p w14:paraId="4C3E6855" w14:textId="77777777" w:rsidR="00250044" w:rsidRPr="00001BC2" w:rsidRDefault="00250044" w:rsidP="00DE4C73">
            <w:pPr>
              <w:keepNext/>
            </w:pPr>
          </w:p>
        </w:tc>
      </w:tr>
      <w:tr w:rsidR="00250044" w:rsidRPr="00001BC2" w14:paraId="7F62442D" w14:textId="77777777" w:rsidTr="00DE4C73">
        <w:trPr>
          <w:jc w:val="center"/>
        </w:trPr>
        <w:tc>
          <w:tcPr>
            <w:tcW w:w="4876" w:type="dxa"/>
          </w:tcPr>
          <w:p w14:paraId="47712B29" w14:textId="77777777" w:rsidR="00250044" w:rsidRPr="00001BC2" w:rsidRDefault="00250044" w:rsidP="00DE4C73">
            <w:pPr>
              <w:pStyle w:val="AmColumnHeading"/>
              <w:keepNext/>
            </w:pPr>
            <w:r w:rsidRPr="00001BC2">
              <w:t>Eiropas Centrālās bankas projekts</w:t>
            </w:r>
          </w:p>
        </w:tc>
        <w:tc>
          <w:tcPr>
            <w:tcW w:w="4876" w:type="dxa"/>
          </w:tcPr>
          <w:p w14:paraId="5B91B1E3" w14:textId="77777777" w:rsidR="00250044" w:rsidRPr="00001BC2" w:rsidRDefault="00250044" w:rsidP="00DE4C73">
            <w:pPr>
              <w:pStyle w:val="AmColumnHeading"/>
              <w:keepNext/>
            </w:pPr>
            <w:r w:rsidRPr="00001BC2">
              <w:t xml:space="preserve">Grozījums </w:t>
            </w:r>
          </w:p>
        </w:tc>
      </w:tr>
      <w:tr w:rsidR="00250044" w:rsidRPr="00001BC2" w14:paraId="2534C743" w14:textId="77777777" w:rsidTr="00DE4C73">
        <w:trPr>
          <w:jc w:val="center"/>
        </w:trPr>
        <w:tc>
          <w:tcPr>
            <w:tcW w:w="4876" w:type="dxa"/>
          </w:tcPr>
          <w:p w14:paraId="77DE7612" w14:textId="77777777" w:rsidR="00250044" w:rsidRPr="00001BC2" w:rsidRDefault="00250044" w:rsidP="00DE4C73">
            <w:pPr>
              <w:pStyle w:val="Normal6a"/>
            </w:pPr>
            <w:r w:rsidRPr="00001BC2">
              <w:t>(3)</w:t>
            </w:r>
            <w:r w:rsidRPr="00001BC2">
              <w:tab/>
              <w:t xml:space="preserve">Digitālā transformācija ieviesusi radikālas un jaunas iespējas digitālo tehnoloģiju integrēšanai ne tikai uzņēmumos, bet arī sabiedrisko pakalpojumu sniegšanā. Tā radījusi bezprecedenta vidi ar jaunām statistikas vajadzībām ECBS uzdevumu veikšanai un jaunām iespējām efektīvāk vākt detalizētu informāciju. Turklāt nesenās norises tautsaimniecībā un finansēs, piemēram, ārkārtas situācija klimata jomā, Covid-19 pandēmija un enerģētikas un dzīves dārdzības krīze, ko izraisīja Krievijas </w:t>
            </w:r>
            <w:r w:rsidRPr="00001BC2">
              <w:lastRenderedPageBreak/>
              <w:t>agresijas karš pret Ukrainu, palielinājušas prasības un gaidas pēc savlaicīgākas, biežākas un detalizētākas statistikas, kas vajadzīga ECBS uzdevumu izpildes atbalstam. Tajā pašā laikā ir svarīgi līdzsvarot šīs prasības un gaidas ar vajadzību līdz minimumam samazināt pārskatu sniedzējiem uzlikto slogu, ņemot vērā to, ka konkurētspēja un ražīgums ir būtiski nosacījumi uzņēmumu uzplaukumam. Šā iemesla dēļ ir svarīgi pielāgot tiesisko regulējumu, lai atbalstītu vienreizējas iesniegšanas principu attiecībā uz statistisko un regulatīvo pārskatu sniegšanu, kad vien tas ir iespējams, un nodrošinātu, ka pārskatu sniedzējiem nav jāsniedz vieni un tie paši dati vairāk kā vienu reizi. Šādos pielāgojumos būtu jāņem vērā ECB neatkarība un statistikas principi, kas noteikti Regulā (EK) Nr. 2533/98.</w:t>
            </w:r>
          </w:p>
        </w:tc>
        <w:tc>
          <w:tcPr>
            <w:tcW w:w="4876" w:type="dxa"/>
          </w:tcPr>
          <w:p w14:paraId="2C6476F8" w14:textId="77777777" w:rsidR="00250044" w:rsidRPr="00001BC2" w:rsidRDefault="00250044" w:rsidP="00DE4C73">
            <w:pPr>
              <w:pStyle w:val="Normal6a"/>
              <w:rPr>
                <w:szCs w:val="24"/>
              </w:rPr>
            </w:pPr>
            <w:r w:rsidRPr="00001BC2">
              <w:lastRenderedPageBreak/>
              <w:t>(3)</w:t>
            </w:r>
            <w:r w:rsidRPr="00001BC2">
              <w:tab/>
              <w:t xml:space="preserve">Digitālā transformācija ieviesusi radikālas un jaunas iespējas digitālo tehnoloģiju integrēšanai ne tikai uzņēmumos, bet arī sabiedrisko pakalpojumu sniegšanā. Tā radījusi bezprecedenta vidi ar jaunām statistikas vajadzībām ECBS uzdevumu veikšanai un jaunām iespējām efektīvāk vākt detalizētu informāciju. Turklāt nesenās norises tautsaimniecībā un finansēs, piemēram, ārkārtas situācija klimata jomā, Covid-19 pandēmija un enerģētikas un dzīves dārdzības krīze, ko izraisīja Krievijas </w:t>
            </w:r>
            <w:r w:rsidRPr="00001BC2">
              <w:lastRenderedPageBreak/>
              <w:t xml:space="preserve">agresijas karš pret Ukrainu, palielinājušas prasības un gaidas pēc savlaicīgākas, biežākas un detalizētākas statistikas, kas vajadzīga ECBS uzdevumu izpildes atbalstam. Tajā pašā laikā ir svarīgi līdzsvarot šīs prasības un gaidas ar vajadzību līdz minimumam samazināt pārskatu sniedzējiem uzlikto slogu, ņemot vērā to, ka konkurētspēja un ražīgums ir būtiski nosacījumi uzņēmumu uzplaukumam. Šā iemesla dēļ ir svarīgi pielāgot tiesisko regulējumu, lai atbalstītu vienreizējas iesniegšanas principu attiecībā uz statistisko un regulatīvo pārskatu sniegšanu, kad vien tas ir iespējams, un nodrošinātu, ka pārskatu sniedzējiem nav jāsniedz vieni un tie paši dati vairāk kā vienu reizi. </w:t>
            </w:r>
            <w:r w:rsidRPr="00001BC2">
              <w:rPr>
                <w:b/>
                <w:i/>
              </w:rPr>
              <w:t xml:space="preserve">Šajā kontekstā un ņemot vērā </w:t>
            </w:r>
            <w:proofErr w:type="spellStart"/>
            <w:r w:rsidRPr="00001BC2">
              <w:rPr>
                <w:b/>
                <w:i/>
              </w:rPr>
              <w:t>digitalizācijas</w:t>
            </w:r>
            <w:proofErr w:type="spellEnd"/>
            <w:r w:rsidRPr="00001BC2">
              <w:rPr>
                <w:b/>
                <w:i/>
              </w:rPr>
              <w:t xml:space="preserve"> sniegto potenciālu, ECB būtu jāturpina pētīt instrumentus, kas ļauj maksimāli izmantot </w:t>
            </w:r>
            <w:proofErr w:type="spellStart"/>
            <w:r w:rsidRPr="00001BC2">
              <w:rPr>
                <w:b/>
                <w:i/>
              </w:rPr>
              <w:t>digitalizāciju</w:t>
            </w:r>
            <w:proofErr w:type="spellEnd"/>
            <w:r w:rsidRPr="00001BC2">
              <w:rPr>
                <w:b/>
                <w:i/>
              </w:rPr>
              <w:t xml:space="preserve">, lai racionalizētu datu vākšanas procesu un mazinātu ECBS un ziņotājiem veicamo uzdevumu slogu. ECB būtu jāturpina izvērtēt iespējas un izaicinājumus, ko statistiskās informācijas vākšanā rada jauno digitālo tehnoloģiju izmantošana, un būtu jāsniedz jauns ieteikums atbilstoši grozīt šo regulu, ja tā savā </w:t>
            </w:r>
            <w:proofErr w:type="spellStart"/>
            <w:r w:rsidRPr="00001BC2">
              <w:rPr>
                <w:b/>
                <w:i/>
              </w:rPr>
              <w:t>izvērtējuma</w:t>
            </w:r>
            <w:proofErr w:type="spellEnd"/>
            <w:r w:rsidRPr="00001BC2">
              <w:rPr>
                <w:b/>
                <w:i/>
              </w:rPr>
              <w:t xml:space="preserve"> secina, ka tas ir nepieciešams.</w:t>
            </w:r>
            <w:r w:rsidRPr="00001BC2">
              <w:t xml:space="preserve"> Šādos pielāgojumos būtu jāņem vērā ECB neatkarība un statistikas principi, kas noteikti Regulā (EK) Nr. 2533/98.</w:t>
            </w:r>
          </w:p>
        </w:tc>
      </w:tr>
    </w:tbl>
    <w:p w14:paraId="74CD0D88" w14:textId="77777777" w:rsidR="00250044" w:rsidRPr="00001BC2" w:rsidRDefault="00250044" w:rsidP="00250044"/>
    <w:p w14:paraId="798D2372" w14:textId="77777777" w:rsidR="00250044" w:rsidRPr="00001BC2" w:rsidRDefault="00250044" w:rsidP="00250044">
      <w:pPr>
        <w:pStyle w:val="AmNumberTabs"/>
        <w:keepNext/>
      </w:pPr>
      <w:r w:rsidRPr="00001BC2">
        <w:t>Grozījums Nr.</w:t>
      </w:r>
      <w:r w:rsidRPr="00001BC2">
        <w:tab/>
      </w:r>
      <w:r w:rsidRPr="00001BC2">
        <w:tab/>
        <w:t>3</w:t>
      </w:r>
    </w:p>
    <w:p w14:paraId="3695D529" w14:textId="77777777" w:rsidR="00250044" w:rsidRPr="00001BC2" w:rsidRDefault="00250044" w:rsidP="00250044">
      <w:pPr>
        <w:pStyle w:val="NormalBold12b"/>
        <w:keepNext/>
      </w:pPr>
      <w:r w:rsidRPr="00001BC2">
        <w:t>Regulas projekts</w:t>
      </w:r>
    </w:p>
    <w:p w14:paraId="2D1F4C67" w14:textId="77777777" w:rsidR="00250044" w:rsidRPr="00001BC2" w:rsidRDefault="00250044" w:rsidP="00250044">
      <w:pPr>
        <w:pStyle w:val="NormalBold"/>
        <w:keepNext/>
      </w:pPr>
      <w:r w:rsidRPr="00001BC2">
        <w:t>3.a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0044" w:rsidRPr="00001BC2" w14:paraId="6371CBB1" w14:textId="77777777" w:rsidTr="00DE4C73">
        <w:trPr>
          <w:jc w:val="center"/>
        </w:trPr>
        <w:tc>
          <w:tcPr>
            <w:tcW w:w="9752" w:type="dxa"/>
            <w:gridSpan w:val="2"/>
          </w:tcPr>
          <w:p w14:paraId="24C2E256" w14:textId="77777777" w:rsidR="00250044" w:rsidRPr="00001BC2" w:rsidRDefault="00250044" w:rsidP="00DE4C73">
            <w:pPr>
              <w:keepNext/>
            </w:pPr>
          </w:p>
        </w:tc>
      </w:tr>
      <w:tr w:rsidR="00250044" w:rsidRPr="00001BC2" w14:paraId="046E3832" w14:textId="77777777" w:rsidTr="00DE4C73">
        <w:trPr>
          <w:jc w:val="center"/>
        </w:trPr>
        <w:tc>
          <w:tcPr>
            <w:tcW w:w="4876" w:type="dxa"/>
          </w:tcPr>
          <w:p w14:paraId="1FA025F6" w14:textId="77777777" w:rsidR="00250044" w:rsidRPr="00001BC2" w:rsidRDefault="00250044" w:rsidP="00DE4C73">
            <w:pPr>
              <w:pStyle w:val="AmColumnHeading"/>
              <w:keepNext/>
            </w:pPr>
            <w:r w:rsidRPr="00001BC2">
              <w:t>Eiropas Centrālās bankas projekts</w:t>
            </w:r>
          </w:p>
        </w:tc>
        <w:tc>
          <w:tcPr>
            <w:tcW w:w="4876" w:type="dxa"/>
          </w:tcPr>
          <w:p w14:paraId="5DDD0DFB" w14:textId="77777777" w:rsidR="00250044" w:rsidRPr="00001BC2" w:rsidRDefault="00250044" w:rsidP="00DE4C73">
            <w:pPr>
              <w:pStyle w:val="AmColumnHeading"/>
              <w:keepNext/>
            </w:pPr>
            <w:r w:rsidRPr="00001BC2">
              <w:t xml:space="preserve">Grozījums </w:t>
            </w:r>
          </w:p>
        </w:tc>
      </w:tr>
      <w:tr w:rsidR="00250044" w:rsidRPr="00001BC2" w14:paraId="464901D2" w14:textId="77777777" w:rsidTr="00DE4C73">
        <w:trPr>
          <w:jc w:val="center"/>
        </w:trPr>
        <w:tc>
          <w:tcPr>
            <w:tcW w:w="4876" w:type="dxa"/>
          </w:tcPr>
          <w:p w14:paraId="136E79C2" w14:textId="77777777" w:rsidR="00250044" w:rsidRPr="00001BC2" w:rsidRDefault="00250044" w:rsidP="00DE4C73">
            <w:pPr>
              <w:pStyle w:val="Normal6a"/>
            </w:pPr>
          </w:p>
        </w:tc>
        <w:tc>
          <w:tcPr>
            <w:tcW w:w="4876" w:type="dxa"/>
          </w:tcPr>
          <w:p w14:paraId="1041C5AC" w14:textId="77777777" w:rsidR="00250044" w:rsidRPr="00001BC2" w:rsidRDefault="00250044" w:rsidP="00DE4C73">
            <w:pPr>
              <w:pStyle w:val="Normal6a"/>
              <w:rPr>
                <w:szCs w:val="24"/>
              </w:rPr>
            </w:pPr>
            <w:r w:rsidRPr="00001BC2">
              <w:rPr>
                <w:b/>
                <w:i/>
              </w:rPr>
              <w:t>(3a)</w:t>
            </w:r>
            <w:r w:rsidRPr="00001BC2">
              <w:rPr>
                <w:b/>
                <w:i/>
              </w:rPr>
              <w:tab/>
              <w:t xml:space="preserve">Lai nodrošinātu savu analītisko instrumentu pamatīgumu un atbilstību un saskaņā ar galveno uzdevumu, proti, garantēt cenu stabilitāti, ko papildina tās sekundārie mērķi – atbalstīt vispārējās ekonomikas politikas Savienībā, to skaitā tās, kuras attiecas uz vides un ilgtspējas apsvērumiem –, ECB būtu jāturpina </w:t>
            </w:r>
            <w:r w:rsidRPr="00001BC2">
              <w:rPr>
                <w:b/>
                <w:i/>
              </w:rPr>
              <w:lastRenderedPageBreak/>
              <w:t>uzlabot savu statistikas satvaru nolūkā atspoguļot mainīgos ekonomiskos un strukturālos izaicinājumus.</w:t>
            </w:r>
          </w:p>
        </w:tc>
      </w:tr>
    </w:tbl>
    <w:p w14:paraId="79D7A0D0" w14:textId="77777777" w:rsidR="00250044" w:rsidRPr="00001BC2" w:rsidRDefault="00250044" w:rsidP="00250044"/>
    <w:p w14:paraId="60414F5C" w14:textId="77777777" w:rsidR="00250044" w:rsidRPr="00001BC2" w:rsidRDefault="00250044" w:rsidP="00250044">
      <w:pPr>
        <w:pStyle w:val="AmNumberTabs"/>
        <w:keepNext/>
      </w:pPr>
      <w:r w:rsidRPr="00001BC2">
        <w:t>Grozījums Nr.</w:t>
      </w:r>
      <w:r w:rsidRPr="00001BC2">
        <w:tab/>
      </w:r>
      <w:r w:rsidRPr="00001BC2">
        <w:tab/>
        <w:t>4</w:t>
      </w:r>
    </w:p>
    <w:p w14:paraId="448E69BE" w14:textId="77777777" w:rsidR="00250044" w:rsidRPr="00001BC2" w:rsidRDefault="00250044" w:rsidP="00250044">
      <w:pPr>
        <w:pStyle w:val="NormalBold12b"/>
        <w:keepNext/>
      </w:pPr>
      <w:r w:rsidRPr="00001BC2">
        <w:t>Regulas projekts</w:t>
      </w:r>
    </w:p>
    <w:p w14:paraId="267B7864" w14:textId="77777777" w:rsidR="00250044" w:rsidRPr="00001BC2" w:rsidRDefault="00250044" w:rsidP="00250044">
      <w:pPr>
        <w:pStyle w:val="NormalBold"/>
        <w:keepNext/>
      </w:pPr>
      <w:r w:rsidRPr="00001BC2">
        <w:t>3.b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0044" w:rsidRPr="00001BC2" w14:paraId="7713B7A0" w14:textId="77777777" w:rsidTr="00DE4C73">
        <w:trPr>
          <w:jc w:val="center"/>
        </w:trPr>
        <w:tc>
          <w:tcPr>
            <w:tcW w:w="9752" w:type="dxa"/>
            <w:gridSpan w:val="2"/>
          </w:tcPr>
          <w:p w14:paraId="69C64A0D" w14:textId="77777777" w:rsidR="00250044" w:rsidRPr="00001BC2" w:rsidRDefault="00250044" w:rsidP="00DE4C73">
            <w:pPr>
              <w:keepNext/>
            </w:pPr>
          </w:p>
        </w:tc>
      </w:tr>
      <w:tr w:rsidR="00250044" w:rsidRPr="00001BC2" w14:paraId="39B4ECD2" w14:textId="77777777" w:rsidTr="00DE4C73">
        <w:trPr>
          <w:jc w:val="center"/>
        </w:trPr>
        <w:tc>
          <w:tcPr>
            <w:tcW w:w="4876" w:type="dxa"/>
          </w:tcPr>
          <w:p w14:paraId="4A786C56" w14:textId="77777777" w:rsidR="00250044" w:rsidRPr="00001BC2" w:rsidRDefault="00250044" w:rsidP="00DE4C73">
            <w:pPr>
              <w:pStyle w:val="AmColumnHeading"/>
              <w:keepNext/>
            </w:pPr>
            <w:r w:rsidRPr="00001BC2">
              <w:t>Eiropas Centrālās bankas projekts</w:t>
            </w:r>
          </w:p>
        </w:tc>
        <w:tc>
          <w:tcPr>
            <w:tcW w:w="4876" w:type="dxa"/>
          </w:tcPr>
          <w:p w14:paraId="08E0F8C9" w14:textId="77777777" w:rsidR="00250044" w:rsidRPr="00001BC2" w:rsidRDefault="00250044" w:rsidP="00DE4C73">
            <w:pPr>
              <w:pStyle w:val="AmColumnHeading"/>
              <w:keepNext/>
            </w:pPr>
            <w:r w:rsidRPr="00001BC2">
              <w:t xml:space="preserve">Grozījums </w:t>
            </w:r>
          </w:p>
        </w:tc>
      </w:tr>
      <w:tr w:rsidR="00250044" w:rsidRPr="00001BC2" w14:paraId="6ED3BE5D" w14:textId="77777777" w:rsidTr="00DE4C73">
        <w:trPr>
          <w:jc w:val="center"/>
        </w:trPr>
        <w:tc>
          <w:tcPr>
            <w:tcW w:w="4876" w:type="dxa"/>
          </w:tcPr>
          <w:p w14:paraId="6CEDF7CC" w14:textId="77777777" w:rsidR="00250044" w:rsidRPr="00001BC2" w:rsidRDefault="00250044" w:rsidP="00DE4C73">
            <w:pPr>
              <w:pStyle w:val="Normal6a"/>
            </w:pPr>
          </w:p>
        </w:tc>
        <w:tc>
          <w:tcPr>
            <w:tcW w:w="4876" w:type="dxa"/>
          </w:tcPr>
          <w:p w14:paraId="00484034" w14:textId="30ECB48E" w:rsidR="00250044" w:rsidRPr="00001BC2" w:rsidRDefault="00250044" w:rsidP="00DE4C73">
            <w:pPr>
              <w:pStyle w:val="Normal6a"/>
              <w:rPr>
                <w:szCs w:val="24"/>
              </w:rPr>
            </w:pPr>
            <w:r w:rsidRPr="00001BC2">
              <w:rPr>
                <w:b/>
                <w:i/>
              </w:rPr>
              <w:t>(3b)</w:t>
            </w:r>
            <w:r w:rsidRPr="00001BC2">
              <w:rPr>
                <w:b/>
                <w:i/>
              </w:rPr>
              <w:tab/>
              <w:t xml:space="preserve">Mākslīgā intelekta izmantošana sniedz iespējas uzlabot datu vākšanas un apstrādes efektivitāti, precizitāti un savlaicīgumu. Tomēr tā izmantošana arī rada īpašus riskus, kas saistīti ar </w:t>
            </w:r>
            <w:proofErr w:type="spellStart"/>
            <w:r w:rsidRPr="00001BC2">
              <w:rPr>
                <w:b/>
                <w:i/>
              </w:rPr>
              <w:t>pārredzamību</w:t>
            </w:r>
            <w:proofErr w:type="spellEnd"/>
            <w:r w:rsidRPr="00001BC2">
              <w:rPr>
                <w:b/>
                <w:i/>
              </w:rPr>
              <w:t xml:space="preserve">, neobjektivitāti, drošību, privātumu un </w:t>
            </w:r>
            <w:proofErr w:type="spellStart"/>
            <w:r w:rsidRPr="00001BC2">
              <w:rPr>
                <w:b/>
                <w:i/>
              </w:rPr>
              <w:t>pārskatatbildību</w:t>
            </w:r>
            <w:proofErr w:type="spellEnd"/>
            <w:r w:rsidRPr="00001BC2">
              <w:rPr>
                <w:b/>
                <w:i/>
              </w:rPr>
              <w:t xml:space="preserve">. Tādēļ ir nepieciešams nodrošināt, ka visas mākslīgā intelekta sistēmas, ko ECB vai valstu centrālās bankas ievieš savu statistisko uzdevumu veikšanai, tiek izmantotas atbildīgā, pārredzamā un drošā veidā, nodrošinot atbilstošu cilvēka veiktu pārraudzību un pilnīgu </w:t>
            </w:r>
            <w:proofErr w:type="spellStart"/>
            <w:r w:rsidRPr="00001BC2">
              <w:rPr>
                <w:b/>
                <w:i/>
              </w:rPr>
              <w:t>pārskatatbildību</w:t>
            </w:r>
            <w:proofErr w:type="spellEnd"/>
            <w:r w:rsidRPr="00001BC2">
              <w:rPr>
                <w:b/>
                <w:i/>
              </w:rPr>
              <w:t xml:space="preserve"> saskaņā ar </w:t>
            </w:r>
            <w:r w:rsidR="002D61FD" w:rsidRPr="00001BC2">
              <w:rPr>
                <w:b/>
                <w:i/>
              </w:rPr>
              <w:t xml:space="preserve">Savienības </w:t>
            </w:r>
            <w:r w:rsidRPr="00001BC2">
              <w:rPr>
                <w:b/>
                <w:i/>
              </w:rPr>
              <w:t>tiesisko regulējumu un ECB neatkarības principu.</w:t>
            </w:r>
          </w:p>
        </w:tc>
      </w:tr>
    </w:tbl>
    <w:p w14:paraId="4C3AEDD2" w14:textId="77777777" w:rsidR="00250044" w:rsidRPr="00001BC2" w:rsidRDefault="00250044" w:rsidP="00250044"/>
    <w:p w14:paraId="0BC27911" w14:textId="77777777" w:rsidR="00250044" w:rsidRPr="00001BC2" w:rsidRDefault="00250044" w:rsidP="00250044">
      <w:pPr>
        <w:pStyle w:val="AmNumberTabs"/>
        <w:keepNext/>
      </w:pPr>
      <w:r w:rsidRPr="00001BC2">
        <w:t>Grozījums Nr.</w:t>
      </w:r>
      <w:r w:rsidRPr="00001BC2">
        <w:tab/>
      </w:r>
      <w:r w:rsidRPr="00001BC2">
        <w:tab/>
        <w:t>5</w:t>
      </w:r>
    </w:p>
    <w:p w14:paraId="3EAB4A9B" w14:textId="77777777" w:rsidR="00250044" w:rsidRPr="00001BC2" w:rsidRDefault="00250044" w:rsidP="00250044">
      <w:pPr>
        <w:pStyle w:val="NormalBold12b"/>
        <w:keepNext/>
      </w:pPr>
      <w:r w:rsidRPr="00001BC2">
        <w:t>Regulas projekts</w:t>
      </w:r>
    </w:p>
    <w:p w14:paraId="4C59F672" w14:textId="77777777" w:rsidR="00250044" w:rsidRPr="00001BC2" w:rsidRDefault="00250044" w:rsidP="00250044">
      <w:pPr>
        <w:pStyle w:val="NormalBold"/>
        <w:keepNext/>
      </w:pPr>
      <w:r w:rsidRPr="00001BC2">
        <w:t>9.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0044" w:rsidRPr="00001BC2" w14:paraId="50A48646" w14:textId="77777777" w:rsidTr="00DE4C73">
        <w:trPr>
          <w:jc w:val="center"/>
        </w:trPr>
        <w:tc>
          <w:tcPr>
            <w:tcW w:w="9752" w:type="dxa"/>
            <w:gridSpan w:val="2"/>
          </w:tcPr>
          <w:p w14:paraId="325060F6" w14:textId="77777777" w:rsidR="00250044" w:rsidRPr="00001BC2" w:rsidRDefault="00250044" w:rsidP="00DE4C73">
            <w:pPr>
              <w:keepNext/>
            </w:pPr>
          </w:p>
        </w:tc>
      </w:tr>
      <w:tr w:rsidR="00250044" w:rsidRPr="00001BC2" w14:paraId="32D5C9D0" w14:textId="77777777" w:rsidTr="00DE4C73">
        <w:trPr>
          <w:jc w:val="center"/>
        </w:trPr>
        <w:tc>
          <w:tcPr>
            <w:tcW w:w="4876" w:type="dxa"/>
          </w:tcPr>
          <w:p w14:paraId="52BFFB27" w14:textId="77777777" w:rsidR="00250044" w:rsidRPr="00001BC2" w:rsidRDefault="00250044" w:rsidP="00DE4C73">
            <w:pPr>
              <w:pStyle w:val="AmColumnHeading"/>
              <w:keepNext/>
            </w:pPr>
            <w:r w:rsidRPr="00001BC2">
              <w:t>Eiropas Centrālās bankas projekts</w:t>
            </w:r>
          </w:p>
        </w:tc>
        <w:tc>
          <w:tcPr>
            <w:tcW w:w="4876" w:type="dxa"/>
          </w:tcPr>
          <w:p w14:paraId="2A12EB33" w14:textId="77777777" w:rsidR="00250044" w:rsidRPr="00001BC2" w:rsidRDefault="00250044" w:rsidP="00DE4C73">
            <w:pPr>
              <w:pStyle w:val="AmColumnHeading"/>
              <w:keepNext/>
            </w:pPr>
            <w:r w:rsidRPr="00001BC2">
              <w:t xml:space="preserve">Grozījums </w:t>
            </w:r>
          </w:p>
        </w:tc>
      </w:tr>
      <w:tr w:rsidR="00250044" w:rsidRPr="00001BC2" w14:paraId="68F83983" w14:textId="77777777" w:rsidTr="00DE4C73">
        <w:trPr>
          <w:jc w:val="center"/>
        </w:trPr>
        <w:tc>
          <w:tcPr>
            <w:tcW w:w="4876" w:type="dxa"/>
          </w:tcPr>
          <w:p w14:paraId="4EABF293" w14:textId="77777777" w:rsidR="00250044" w:rsidRPr="00001BC2" w:rsidRDefault="00250044" w:rsidP="00DE4C73">
            <w:pPr>
              <w:pStyle w:val="Normal6a"/>
            </w:pPr>
            <w:r w:rsidRPr="00001BC2">
              <w:t>(9)</w:t>
            </w:r>
            <w:r w:rsidRPr="00001BC2">
              <w:tab/>
              <w:t xml:space="preserve">Konfidenciāla statistiskā informācija, ko ECB un valstu centrālās bankas iegūst ECBS uzdevumu veikšanai, jāaizsargā, lai novērstu tās nelikumīgu izmantošanu un izpaušanu. Tomēr konfidencialitātes režīms būtu jāpārskata un jāprecizē, lai nodrošinātu, ka ECB un valstu centrālās bankas izmanto konfidenciālu statistisko informāciju un kopīgo to, lai veiktu Līgumā minētos ECBS uzdevumus un efektīvi izstrādātu, sagatavotu vai izplatītu statistiku vai </w:t>
            </w:r>
            <w:r w:rsidRPr="00001BC2">
              <w:lastRenderedPageBreak/>
              <w:t xml:space="preserve">uzlabotu tās kvalitāti. Šāda pārskatīšana ir vajadzīga, lai nodrošinātu, ka ECB ar valstu centrālo banku palīdzību var vākt informāciju saskaņā ar vienreizējas iesniegšanas principu. Turklāt, lai samazinātu vajadzību pēc dublējošām statistikas un regulatīvām pārskatu sniegšanas prasībām, atvieglotu sadarbību starp dalībvalstu un Savienības iestādēm un struktūrām un samazinātu nevajadzīgu administratīvo slogu, ECBS dalībniecēm vajadzētu būt pienākumam kopīgot konfidenciālu statistisko informāciju ar noteiktām iestādēm un struktūrām, lai tās varētu pildīt savus uzdevumus saistībā ar </w:t>
            </w:r>
            <w:proofErr w:type="spellStart"/>
            <w:r w:rsidRPr="00001BC2">
              <w:t>prudenciālo</w:t>
            </w:r>
            <w:proofErr w:type="spellEnd"/>
            <w:r w:rsidRPr="00001BC2">
              <w:t xml:space="preserve"> uzraudzību un finanšu sistēmas stabilitāti, un ar Eiropas Statistikas sistēmas (ESS) dalībniecēm. ECBS dalībniecēm vajadzētu būt elastīgai iespējai konkrētos apstākļos kopīgot konfidenciālu statistisko informāciju ar citām dalībvalstu un Savienības iestādēm vai struktūrām vai ar pētniekiem, kas saistīti ar zinātniskās pētniecības struktūrām. Konkrētu samazinātu konfidenciālas statistiskās informācijas kopumu var kopīgot arī ar pārskatu sniedzējiem, ja tas vajadzīgs noteiktiem statistikas mērķiem vai ja pārskatu sniedzējam ir pieejami avoti, piemēram, ja attiecīgo informāciju sniegusi pārskatu sniedzēja kontrolēta vienība vai tā filiāles. Lai saglabātu pārskatu sniedzēju uzticēšanos, vajadzētu būt konsekventai kārtībai konfidenciālas statistiskās informācijas aizsardzībai un lielākai </w:t>
            </w:r>
            <w:proofErr w:type="spellStart"/>
            <w:r w:rsidRPr="00001BC2">
              <w:t>pārredzamībai</w:t>
            </w:r>
            <w:proofErr w:type="spellEnd"/>
            <w:r w:rsidRPr="00001BC2">
              <w:t xml:space="preserve"> attiecībā uz to, kā statistisko informāciju var izmantot.</w:t>
            </w:r>
          </w:p>
        </w:tc>
        <w:tc>
          <w:tcPr>
            <w:tcW w:w="4876" w:type="dxa"/>
          </w:tcPr>
          <w:p w14:paraId="3585CC37" w14:textId="77777777" w:rsidR="00250044" w:rsidRPr="00001BC2" w:rsidRDefault="00250044" w:rsidP="00DE4C73">
            <w:pPr>
              <w:pStyle w:val="Normal6a"/>
              <w:rPr>
                <w:szCs w:val="24"/>
              </w:rPr>
            </w:pPr>
            <w:r w:rsidRPr="00001BC2">
              <w:lastRenderedPageBreak/>
              <w:t>(9)</w:t>
            </w:r>
            <w:r w:rsidRPr="00001BC2">
              <w:tab/>
              <w:t xml:space="preserve">Konfidenciāla statistiskā informācija, ko ECB un valstu centrālās bankas iegūst ECBS uzdevumu veikšanai, jāaizsargā, lai novērstu tās nelikumīgu izmantošanu un izpaušanu. Tomēr konfidencialitātes režīms būtu jāpārskata un jāprecizē, lai nodrošinātu, ka ECB un valstu centrālās bankas izmanto konfidenciālu statistisko informāciju un kopīgo to, lai veiktu Līgumā minētos ECBS uzdevumus un efektīvi izstrādātu, sagatavotu vai izplatītu statistiku vai </w:t>
            </w:r>
            <w:r w:rsidRPr="00001BC2">
              <w:lastRenderedPageBreak/>
              <w:t xml:space="preserve">uzlabotu tās kvalitāti. Šāda pārskatīšana ir vajadzīga, lai nodrošinātu, ka ECB ar valstu centrālo banku palīdzību var vākt informāciju saskaņā ar vienreizējas iesniegšanas principu. Turklāt, lai samazinātu vajadzību pēc dublējošām statistikas un regulatīvām pārskatu sniegšanas prasībām, atvieglotu sadarbību starp dalībvalstu un Savienības iestādēm un struktūrām un samazinātu nevajadzīgu administratīvo slogu, ECBS dalībniecēm vajadzētu būt pienākumam kopīgot konfidenciālu statistisko informāciju ar noteiktām iestādēm un struktūrām, lai tās varētu pildīt savus uzdevumus saistībā ar </w:t>
            </w:r>
            <w:proofErr w:type="spellStart"/>
            <w:r w:rsidRPr="00001BC2">
              <w:t>prudenciālo</w:t>
            </w:r>
            <w:proofErr w:type="spellEnd"/>
            <w:r w:rsidRPr="00001BC2">
              <w:t xml:space="preserve"> uzraudzību un finanšu sistēmas stabilitāti, un ar Eiropas Statistikas sistēmas (ESS) dalībniecēm. ECBS dalībniecēm vajadzētu būt elastīgai iespējai konkrētos apstākļos kopīgot konfidenciālu statistisko informāciju ar citām dalībvalstu un Savienības iestādēm vai struktūrām vai ar pētniekiem, kas saistīti ar zinātniskās pētniecības struktūrām. Konkrētu samazinātu konfidenciālas statistiskās informācijas kopumu var kopīgot arī ar pārskatu sniedzējiem, ja tas vajadzīgs noteiktiem statistikas mērķiem vai ja pārskatu sniedzējam ir pieejami avoti, piemēram, ja attiecīgo informāciju sniegusi pārskatu sniedzēja kontrolēta vienība vai tā filiāles. Lai saglabātu pārskatu sniedzēju uzticēšanos, vajadzētu būt konsekventai kārtībai konfidenciālas statistiskās informācijas aizsardzībai un lielākai </w:t>
            </w:r>
            <w:proofErr w:type="spellStart"/>
            <w:r w:rsidRPr="00001BC2">
              <w:t>pārredzamībai</w:t>
            </w:r>
            <w:proofErr w:type="spellEnd"/>
            <w:r w:rsidRPr="00001BC2">
              <w:t xml:space="preserve"> attiecībā uz to, kā statistisko informāciju var izmantot. </w:t>
            </w:r>
            <w:r w:rsidRPr="00001BC2">
              <w:rPr>
                <w:b/>
                <w:i/>
              </w:rPr>
              <w:t xml:space="preserve">Lai veicinātu neatkarīgu izpēti un pārbaudi, ECB un valstu centrālajām bankām būtu jādara pieejama akreditētiem pētniekiem konfidenciāla statistiskā informācija no galvenajām ECBS datu kopām ikreiz, kad šādu piekļuvi iespējams nodrošināt bez informācijas atklāšanas riska. Tas uzlabos statistikas datu analītisko izmantošanu uz faktiem balstītas politikas veidošanai visā </w:t>
            </w:r>
            <w:proofErr w:type="spellStart"/>
            <w:r w:rsidRPr="00001BC2">
              <w:rPr>
                <w:b/>
                <w:i/>
              </w:rPr>
              <w:t>eurozonā</w:t>
            </w:r>
            <w:proofErr w:type="spellEnd"/>
            <w:r w:rsidRPr="00001BC2">
              <w:rPr>
                <w:b/>
                <w:i/>
              </w:rPr>
              <w:t>, vienlaikus saglabājot datu konfidencialitāti.</w:t>
            </w:r>
          </w:p>
        </w:tc>
      </w:tr>
    </w:tbl>
    <w:p w14:paraId="15C34723" w14:textId="77777777" w:rsidR="00250044" w:rsidRPr="00001BC2" w:rsidRDefault="00250044" w:rsidP="00250044"/>
    <w:p w14:paraId="7F8CB672" w14:textId="77777777" w:rsidR="00250044" w:rsidRPr="00001BC2" w:rsidRDefault="00250044" w:rsidP="00250044">
      <w:pPr>
        <w:pStyle w:val="AmNumberTabs"/>
        <w:keepNext/>
      </w:pPr>
      <w:r w:rsidRPr="00001BC2">
        <w:lastRenderedPageBreak/>
        <w:t>Grozījums Nr.</w:t>
      </w:r>
      <w:r w:rsidRPr="00001BC2">
        <w:tab/>
      </w:r>
      <w:r w:rsidRPr="00001BC2">
        <w:tab/>
        <w:t>6</w:t>
      </w:r>
    </w:p>
    <w:p w14:paraId="54401E1C" w14:textId="77777777" w:rsidR="00250044" w:rsidRPr="00001BC2" w:rsidRDefault="00250044" w:rsidP="00250044">
      <w:pPr>
        <w:pStyle w:val="NormalBold12b"/>
        <w:keepNext/>
      </w:pPr>
      <w:r w:rsidRPr="00001BC2">
        <w:t>Regulas projekts</w:t>
      </w:r>
    </w:p>
    <w:p w14:paraId="3AD00B30" w14:textId="77777777" w:rsidR="00250044" w:rsidRPr="00001BC2" w:rsidRDefault="00250044" w:rsidP="00250044">
      <w:pPr>
        <w:pStyle w:val="NormalBold"/>
        <w:keepNext/>
        <w:rPr>
          <w:rFonts w:eastAsiaTheme="majorEastAsia"/>
        </w:rPr>
      </w:pPr>
      <w:r w:rsidRPr="00001BC2">
        <w:t>1. pants – 1. daļa – 2. punkts – -a apakšpunkts (jauns)</w:t>
      </w:r>
    </w:p>
    <w:p w14:paraId="5A4A034F" w14:textId="77777777" w:rsidR="00250044" w:rsidRPr="00001BC2" w:rsidRDefault="00250044" w:rsidP="00250044">
      <w:pPr>
        <w:widowControl/>
      </w:pPr>
      <w:r w:rsidRPr="00001BC2">
        <w:t>Regula (EK) Nr. 2533/98</w:t>
      </w:r>
    </w:p>
    <w:p w14:paraId="646DC37D" w14:textId="77777777" w:rsidR="00250044" w:rsidRPr="00001BC2" w:rsidRDefault="00250044" w:rsidP="00250044">
      <w:pPr>
        <w:widowControl/>
      </w:pPr>
      <w:r w:rsidRPr="00001BC2">
        <w:t>2. pants – 1.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0044" w:rsidRPr="00001BC2" w14:paraId="0B72C422" w14:textId="77777777" w:rsidTr="00DE4C73">
        <w:trPr>
          <w:jc w:val="center"/>
        </w:trPr>
        <w:tc>
          <w:tcPr>
            <w:tcW w:w="9752" w:type="dxa"/>
            <w:gridSpan w:val="2"/>
          </w:tcPr>
          <w:p w14:paraId="61F191C9" w14:textId="77777777" w:rsidR="00250044" w:rsidRPr="00001BC2" w:rsidRDefault="00250044" w:rsidP="00DE4C73">
            <w:pPr>
              <w:keepNext/>
            </w:pPr>
          </w:p>
        </w:tc>
      </w:tr>
      <w:tr w:rsidR="00250044" w:rsidRPr="00001BC2" w14:paraId="59C0EAD0" w14:textId="77777777" w:rsidTr="00DE4C73">
        <w:trPr>
          <w:jc w:val="center"/>
        </w:trPr>
        <w:tc>
          <w:tcPr>
            <w:tcW w:w="4876" w:type="dxa"/>
          </w:tcPr>
          <w:p w14:paraId="4CDB0658" w14:textId="77777777" w:rsidR="00250044" w:rsidRPr="00001BC2" w:rsidRDefault="00250044" w:rsidP="00DE4C73">
            <w:pPr>
              <w:pStyle w:val="AmColumnHeading"/>
              <w:keepNext/>
            </w:pPr>
            <w:r w:rsidRPr="00001BC2">
              <w:t>Spēkā esošais teksts</w:t>
            </w:r>
          </w:p>
        </w:tc>
        <w:tc>
          <w:tcPr>
            <w:tcW w:w="4876" w:type="dxa"/>
          </w:tcPr>
          <w:p w14:paraId="098F4E71" w14:textId="77777777" w:rsidR="00250044" w:rsidRPr="00001BC2" w:rsidRDefault="00250044" w:rsidP="00DE4C73">
            <w:pPr>
              <w:pStyle w:val="AmColumnHeading"/>
              <w:keepNext/>
            </w:pPr>
            <w:r w:rsidRPr="00001BC2">
              <w:t xml:space="preserve">Grozījums </w:t>
            </w:r>
          </w:p>
        </w:tc>
      </w:tr>
      <w:tr w:rsidR="00250044" w:rsidRPr="00001BC2" w14:paraId="28D33922" w14:textId="77777777" w:rsidTr="00DE4C73">
        <w:trPr>
          <w:jc w:val="center"/>
        </w:trPr>
        <w:tc>
          <w:tcPr>
            <w:tcW w:w="4876" w:type="dxa"/>
          </w:tcPr>
          <w:p w14:paraId="58FD1C61" w14:textId="77777777" w:rsidR="00250044" w:rsidRPr="00001BC2" w:rsidRDefault="00250044" w:rsidP="00DE4C73">
            <w:pPr>
              <w:pStyle w:val="Normal6a"/>
            </w:pPr>
          </w:p>
        </w:tc>
        <w:tc>
          <w:tcPr>
            <w:tcW w:w="4876" w:type="dxa"/>
          </w:tcPr>
          <w:p w14:paraId="0136A7E2" w14:textId="77777777" w:rsidR="00250044" w:rsidRPr="00001BC2" w:rsidRDefault="00250044" w:rsidP="00DE4C73">
            <w:pPr>
              <w:pStyle w:val="Normal6a"/>
              <w:rPr>
                <w:szCs w:val="24"/>
              </w:rPr>
            </w:pPr>
            <w:r w:rsidRPr="00001BC2">
              <w:rPr>
                <w:b/>
                <w:i/>
              </w:rPr>
              <w:t>-a)</w:t>
            </w:r>
            <w:r w:rsidRPr="00001BC2">
              <w:rPr>
                <w:b/>
                <w:i/>
              </w:rPr>
              <w:tab/>
              <w:t>panta 1. punktu aizstāj ar šādu:</w:t>
            </w:r>
          </w:p>
        </w:tc>
      </w:tr>
      <w:tr w:rsidR="00250044" w:rsidRPr="00001BC2" w14:paraId="719FDD59" w14:textId="77777777" w:rsidTr="00DE4C73">
        <w:trPr>
          <w:jc w:val="center"/>
        </w:trPr>
        <w:tc>
          <w:tcPr>
            <w:tcW w:w="4876" w:type="dxa"/>
          </w:tcPr>
          <w:p w14:paraId="4A439163" w14:textId="77777777" w:rsidR="00250044" w:rsidRPr="00001BC2" w:rsidRDefault="00250044" w:rsidP="00DE4C73">
            <w:pPr>
              <w:pStyle w:val="Normal6a"/>
            </w:pPr>
            <w:r w:rsidRPr="00001BC2">
              <w:t>1.</w:t>
            </w:r>
            <w:r w:rsidRPr="00001BC2">
              <w:tab/>
              <w:t>Lai pildītu ECB statistikas ziņojumu prasības, ECB, kurai palīdz valstu centrālās bankas saskaņā ar Statūtu 5.2. pantu, ir tiesības vākt statistikas informāciju iedzīvotāju pārskata grupās par to, kas ir vajadzīgs ECBS uzdevumu veikšanai. Informāciju var vākt jo īpaši monetārās un finanšu statistikas, banknošu statistikas, maksājumu un maksājumu sistēmu statistikas, finanšu stabilitātes statistikas, maksājumu bilances statistikas un starptautisko ieguldījumu pozīcijas statistikas jomā. Kad tas ir vajadzīgs ECBS uzdevumu veikšanai, pienācīgi pamatotos gadījumos papildu informāciju var vākt arī citās jomās. Informāciju, ko vāc, lai izpildītu ECB statistikas ziņojumu prasības, sīkāk precizē ECBS statistikas darba programmā.</w:t>
            </w:r>
          </w:p>
        </w:tc>
        <w:tc>
          <w:tcPr>
            <w:tcW w:w="4876" w:type="dxa"/>
          </w:tcPr>
          <w:p w14:paraId="1D2D659C" w14:textId="77777777" w:rsidR="00250044" w:rsidRPr="00001BC2" w:rsidRDefault="00250044" w:rsidP="00DE4C73">
            <w:pPr>
              <w:pStyle w:val="Normal6a"/>
            </w:pPr>
            <w:r w:rsidRPr="00001BC2">
              <w:rPr>
                <w:b/>
                <w:i/>
              </w:rPr>
              <w:t>“</w:t>
            </w:r>
            <w:r w:rsidRPr="00001BC2">
              <w:t>1.</w:t>
            </w:r>
            <w:r w:rsidRPr="00001BC2">
              <w:tab/>
              <w:t xml:space="preserve">Lai pildītu ECB statistikas ziņojumu prasības, ECB, kurai palīdz valstu centrālās bankas saskaņā ar Statūtu 5.2. pantu, ir tiesības vākt statistikas informāciju iedzīvotāju pārskata grupās par to, kas ir vajadzīgs ECBS uzdevumu veikšanai. </w:t>
            </w:r>
            <w:r w:rsidRPr="00001BC2">
              <w:rPr>
                <w:b/>
                <w:i/>
              </w:rPr>
              <w:t xml:space="preserve">Lai labāk reaģētu uz pašreizējiem un nākotnes izaicinājumiem, </w:t>
            </w:r>
            <w:r w:rsidRPr="00001BC2">
              <w:t>informāciju var vākt jo īpaši monetārās un finanšu statistikas, banknošu statistikas, maksājumu un maksājumu sistēmu statistikas, finanšu stabilitātes statistikas, maksājumu bilances statistikas</w:t>
            </w:r>
            <w:r w:rsidRPr="00001BC2">
              <w:rPr>
                <w:b/>
                <w:i/>
              </w:rPr>
              <w:t>, makroekonomisko rādītāju</w:t>
            </w:r>
            <w:r w:rsidRPr="00001BC2">
              <w:t xml:space="preserve"> un starptautisko ieguldījumu pozīcijas statistikas jomā. Kad tas ir vajadzīgs ECBS uzdevumu veikšanai, pienācīgi pamatotos gadījumos papildu informāciju var vākt arī citās jomās. Informāciju, ko vāc, lai izpildītu ECB statistikas ziņojumu prasības, sīkāk precizē ECBS statistikas darba programmā.</w:t>
            </w:r>
            <w:r w:rsidRPr="00001BC2">
              <w:rPr>
                <w:b/>
                <w:bCs/>
                <w:i/>
                <w:iCs/>
              </w:rPr>
              <w:t>”;</w:t>
            </w:r>
          </w:p>
        </w:tc>
      </w:tr>
    </w:tbl>
    <w:p w14:paraId="1CFB8AB5" w14:textId="77777777" w:rsidR="00250044" w:rsidRPr="00001BC2" w:rsidRDefault="00250044" w:rsidP="00250044"/>
    <w:p w14:paraId="79050077" w14:textId="77777777" w:rsidR="00250044" w:rsidRPr="00001BC2" w:rsidRDefault="00250044" w:rsidP="00250044">
      <w:pPr>
        <w:pStyle w:val="AmNumberTabs"/>
        <w:keepNext/>
      </w:pPr>
      <w:r w:rsidRPr="00001BC2">
        <w:t>Grozījums Nr.</w:t>
      </w:r>
      <w:r w:rsidRPr="00001BC2">
        <w:tab/>
      </w:r>
      <w:r w:rsidRPr="00001BC2">
        <w:tab/>
        <w:t>7</w:t>
      </w:r>
    </w:p>
    <w:p w14:paraId="4FEFD6B5" w14:textId="77777777" w:rsidR="00250044" w:rsidRPr="00001BC2" w:rsidRDefault="00250044" w:rsidP="00250044">
      <w:pPr>
        <w:pStyle w:val="NormalBold12b"/>
        <w:keepNext/>
      </w:pPr>
      <w:r w:rsidRPr="00001BC2">
        <w:t>Regulas projekts</w:t>
      </w:r>
    </w:p>
    <w:p w14:paraId="3F0CB2CC" w14:textId="77777777" w:rsidR="00250044" w:rsidRPr="00001BC2" w:rsidRDefault="00250044" w:rsidP="00250044">
      <w:pPr>
        <w:pStyle w:val="NormalBold"/>
        <w:keepNext/>
        <w:rPr>
          <w:rFonts w:eastAsiaTheme="majorEastAsia"/>
        </w:rPr>
      </w:pPr>
      <w:r w:rsidRPr="00001BC2">
        <w:t>1. pants – 1. daļa – 3. punkts</w:t>
      </w:r>
    </w:p>
    <w:p w14:paraId="65341C2A" w14:textId="77777777" w:rsidR="00250044" w:rsidRPr="00001BC2" w:rsidRDefault="00250044" w:rsidP="00250044">
      <w:pPr>
        <w:widowControl/>
      </w:pPr>
      <w:r w:rsidRPr="00001BC2">
        <w:t>Regula (EK) Nr. 2533/98</w:t>
      </w:r>
    </w:p>
    <w:p w14:paraId="1B297238" w14:textId="77777777" w:rsidR="00250044" w:rsidRPr="00001BC2" w:rsidRDefault="00250044" w:rsidP="00250044">
      <w:pPr>
        <w:widowControl/>
      </w:pPr>
      <w:r w:rsidRPr="00001BC2">
        <w:t>3. pants – 1. punkts – 1. daļa – a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0044" w:rsidRPr="00001BC2" w14:paraId="0E5E822E" w14:textId="77777777" w:rsidTr="00DE4C73">
        <w:trPr>
          <w:jc w:val="center"/>
        </w:trPr>
        <w:tc>
          <w:tcPr>
            <w:tcW w:w="9752" w:type="dxa"/>
            <w:gridSpan w:val="2"/>
          </w:tcPr>
          <w:p w14:paraId="200F8498" w14:textId="77777777" w:rsidR="00250044" w:rsidRPr="00001BC2" w:rsidRDefault="00250044" w:rsidP="00DE4C73">
            <w:pPr>
              <w:keepNext/>
            </w:pPr>
          </w:p>
        </w:tc>
      </w:tr>
      <w:tr w:rsidR="00250044" w:rsidRPr="00001BC2" w14:paraId="52B7E9CC" w14:textId="77777777" w:rsidTr="00DE4C73">
        <w:trPr>
          <w:jc w:val="center"/>
        </w:trPr>
        <w:tc>
          <w:tcPr>
            <w:tcW w:w="4876" w:type="dxa"/>
          </w:tcPr>
          <w:p w14:paraId="5AB4D2B6" w14:textId="77777777" w:rsidR="00250044" w:rsidRPr="00001BC2" w:rsidRDefault="00250044" w:rsidP="00DE4C73">
            <w:pPr>
              <w:pStyle w:val="AmColumnHeading"/>
              <w:keepNext/>
            </w:pPr>
            <w:r w:rsidRPr="00001BC2">
              <w:t>Eiropas Centrālās bankas projekts</w:t>
            </w:r>
          </w:p>
        </w:tc>
        <w:tc>
          <w:tcPr>
            <w:tcW w:w="4876" w:type="dxa"/>
          </w:tcPr>
          <w:p w14:paraId="66046C34" w14:textId="77777777" w:rsidR="00250044" w:rsidRPr="00001BC2" w:rsidRDefault="00250044" w:rsidP="00DE4C73">
            <w:pPr>
              <w:pStyle w:val="AmColumnHeading"/>
              <w:keepNext/>
            </w:pPr>
            <w:r w:rsidRPr="00001BC2">
              <w:t xml:space="preserve">Grozījums </w:t>
            </w:r>
          </w:p>
        </w:tc>
      </w:tr>
      <w:tr w:rsidR="00250044" w:rsidRPr="00001BC2" w14:paraId="28899FF0" w14:textId="77777777" w:rsidTr="00DE4C73">
        <w:trPr>
          <w:jc w:val="center"/>
        </w:trPr>
        <w:tc>
          <w:tcPr>
            <w:tcW w:w="4876" w:type="dxa"/>
          </w:tcPr>
          <w:p w14:paraId="749107F4" w14:textId="77777777" w:rsidR="00250044" w:rsidRPr="00001BC2" w:rsidRDefault="00250044" w:rsidP="00DE4C73">
            <w:pPr>
              <w:pStyle w:val="Normal6a"/>
            </w:pPr>
            <w:r w:rsidRPr="00001BC2">
              <w:t>a)</w:t>
            </w:r>
            <w:r w:rsidRPr="00001BC2">
              <w:tab/>
              <w:t>pēc iespējas izmanto esošo statistiku;</w:t>
            </w:r>
          </w:p>
        </w:tc>
        <w:tc>
          <w:tcPr>
            <w:tcW w:w="4876" w:type="dxa"/>
          </w:tcPr>
          <w:p w14:paraId="7AEB1B77" w14:textId="77777777" w:rsidR="00250044" w:rsidRPr="00001BC2" w:rsidRDefault="00250044" w:rsidP="00DE4C73">
            <w:pPr>
              <w:pStyle w:val="Normal6a"/>
              <w:rPr>
                <w:szCs w:val="24"/>
              </w:rPr>
            </w:pPr>
            <w:r w:rsidRPr="00001BC2">
              <w:t>a)</w:t>
            </w:r>
            <w:r w:rsidRPr="00001BC2">
              <w:tab/>
            </w:r>
            <w:r w:rsidRPr="00001BC2">
              <w:rPr>
                <w:b/>
                <w:i/>
              </w:rPr>
              <w:t xml:space="preserve">saskaņā ar </w:t>
            </w:r>
            <w:proofErr w:type="spellStart"/>
            <w:r w:rsidRPr="00001BC2">
              <w:rPr>
                <w:b/>
                <w:i/>
              </w:rPr>
              <w:t>vienreizes</w:t>
            </w:r>
            <w:proofErr w:type="spellEnd"/>
            <w:r w:rsidRPr="00001BC2">
              <w:rPr>
                <w:b/>
                <w:i/>
              </w:rPr>
              <w:t xml:space="preserve"> principu </w:t>
            </w:r>
            <w:r w:rsidRPr="00001BC2">
              <w:t>pēc iespējas izmanto esošo statistiku</w:t>
            </w:r>
            <w:r w:rsidRPr="00001BC2">
              <w:rPr>
                <w:b/>
                <w:i/>
              </w:rPr>
              <w:t>, attiecīgā gadījumā to papildinot ar digitāliem risinājumiem</w:t>
            </w:r>
            <w:r w:rsidRPr="00001BC2">
              <w:t>;</w:t>
            </w:r>
          </w:p>
        </w:tc>
      </w:tr>
    </w:tbl>
    <w:p w14:paraId="42C98FD5" w14:textId="77777777" w:rsidR="00250044" w:rsidRPr="00001BC2" w:rsidRDefault="00250044" w:rsidP="00250044">
      <w:pPr>
        <w:pStyle w:val="AmNumberTabs"/>
        <w:keepNext/>
      </w:pPr>
      <w:r w:rsidRPr="00001BC2">
        <w:lastRenderedPageBreak/>
        <w:t>Grozījums Nr.</w:t>
      </w:r>
      <w:r w:rsidRPr="00001BC2">
        <w:tab/>
      </w:r>
      <w:r w:rsidRPr="00001BC2">
        <w:tab/>
        <w:t>8</w:t>
      </w:r>
    </w:p>
    <w:p w14:paraId="499FA975" w14:textId="77777777" w:rsidR="00250044" w:rsidRPr="00001BC2" w:rsidRDefault="00250044" w:rsidP="00250044">
      <w:pPr>
        <w:pStyle w:val="NormalBold12b"/>
        <w:keepNext/>
      </w:pPr>
      <w:r w:rsidRPr="00001BC2">
        <w:t>Regulas projekts</w:t>
      </w:r>
    </w:p>
    <w:p w14:paraId="0D34C77F" w14:textId="77777777" w:rsidR="00250044" w:rsidRPr="00001BC2" w:rsidRDefault="00250044" w:rsidP="00250044">
      <w:pPr>
        <w:pStyle w:val="NormalBold"/>
        <w:keepNext/>
        <w:rPr>
          <w:rFonts w:eastAsiaTheme="majorEastAsia"/>
        </w:rPr>
      </w:pPr>
      <w:r w:rsidRPr="00001BC2">
        <w:t>1. pants – 1. daļa – 3. punkts</w:t>
      </w:r>
    </w:p>
    <w:p w14:paraId="3CD60C62" w14:textId="77777777" w:rsidR="00250044" w:rsidRPr="00001BC2" w:rsidRDefault="00250044" w:rsidP="00250044">
      <w:pPr>
        <w:widowControl/>
      </w:pPr>
      <w:r w:rsidRPr="00001BC2">
        <w:t>Regula (EK) Nr. 2533/98</w:t>
      </w:r>
    </w:p>
    <w:p w14:paraId="7AA5DCBF" w14:textId="77777777" w:rsidR="00250044" w:rsidRPr="00001BC2" w:rsidRDefault="00250044" w:rsidP="00250044">
      <w:pPr>
        <w:widowControl/>
      </w:pPr>
      <w:r w:rsidRPr="00001BC2">
        <w:t xml:space="preserve">3. pants – 1. punkts – 1. daļa – </w:t>
      </w:r>
      <w:proofErr w:type="spellStart"/>
      <w:r w:rsidRPr="00001BC2">
        <w:t>ba</w:t>
      </w:r>
      <w:proofErr w:type="spellEnd"/>
      <w:r w:rsidRPr="00001BC2">
        <w:t>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0044" w:rsidRPr="00001BC2" w14:paraId="08E1246F" w14:textId="77777777" w:rsidTr="00DE4C73">
        <w:trPr>
          <w:jc w:val="center"/>
        </w:trPr>
        <w:tc>
          <w:tcPr>
            <w:tcW w:w="9752" w:type="dxa"/>
            <w:gridSpan w:val="2"/>
          </w:tcPr>
          <w:p w14:paraId="481280B9" w14:textId="77777777" w:rsidR="00250044" w:rsidRPr="00001BC2" w:rsidRDefault="00250044" w:rsidP="00DE4C73">
            <w:pPr>
              <w:keepNext/>
            </w:pPr>
          </w:p>
        </w:tc>
      </w:tr>
      <w:tr w:rsidR="00250044" w:rsidRPr="00001BC2" w14:paraId="1980A9E1" w14:textId="77777777" w:rsidTr="00DE4C73">
        <w:trPr>
          <w:jc w:val="center"/>
        </w:trPr>
        <w:tc>
          <w:tcPr>
            <w:tcW w:w="4876" w:type="dxa"/>
          </w:tcPr>
          <w:p w14:paraId="403F6707" w14:textId="77777777" w:rsidR="00250044" w:rsidRPr="00001BC2" w:rsidRDefault="00250044" w:rsidP="00DE4C73">
            <w:pPr>
              <w:pStyle w:val="AmColumnHeading"/>
              <w:keepNext/>
            </w:pPr>
            <w:r w:rsidRPr="00001BC2">
              <w:t>Eiropas Centrālās bankas projekts</w:t>
            </w:r>
          </w:p>
        </w:tc>
        <w:tc>
          <w:tcPr>
            <w:tcW w:w="4876" w:type="dxa"/>
          </w:tcPr>
          <w:p w14:paraId="5B6053EE" w14:textId="77777777" w:rsidR="00250044" w:rsidRPr="00001BC2" w:rsidRDefault="00250044" w:rsidP="00DE4C73">
            <w:pPr>
              <w:pStyle w:val="AmColumnHeading"/>
              <w:keepNext/>
            </w:pPr>
            <w:r w:rsidRPr="00001BC2">
              <w:t xml:space="preserve">Grozījums </w:t>
            </w:r>
          </w:p>
        </w:tc>
      </w:tr>
      <w:tr w:rsidR="00250044" w:rsidRPr="00001BC2" w14:paraId="6951C866" w14:textId="77777777" w:rsidTr="00DE4C73">
        <w:trPr>
          <w:jc w:val="center"/>
        </w:trPr>
        <w:tc>
          <w:tcPr>
            <w:tcW w:w="4876" w:type="dxa"/>
          </w:tcPr>
          <w:p w14:paraId="7801DD19" w14:textId="77777777" w:rsidR="00250044" w:rsidRPr="00001BC2" w:rsidRDefault="00250044" w:rsidP="00DE4C73">
            <w:pPr>
              <w:pStyle w:val="Normal6a"/>
            </w:pPr>
          </w:p>
        </w:tc>
        <w:tc>
          <w:tcPr>
            <w:tcW w:w="4876" w:type="dxa"/>
          </w:tcPr>
          <w:p w14:paraId="7A8C0968" w14:textId="03D77372" w:rsidR="00250044" w:rsidRPr="00001BC2" w:rsidRDefault="00250044" w:rsidP="00DE4C73">
            <w:pPr>
              <w:pStyle w:val="Normal6a"/>
              <w:rPr>
                <w:szCs w:val="24"/>
              </w:rPr>
            </w:pPr>
            <w:proofErr w:type="spellStart"/>
            <w:r w:rsidRPr="00001BC2">
              <w:rPr>
                <w:b/>
                <w:i/>
              </w:rPr>
              <w:t>ba</w:t>
            </w:r>
            <w:proofErr w:type="spellEnd"/>
            <w:r w:rsidRPr="00001BC2">
              <w:rPr>
                <w:b/>
                <w:i/>
              </w:rPr>
              <w:t>)</w:t>
            </w:r>
            <w:r w:rsidRPr="00001BC2">
              <w:rPr>
                <w:b/>
                <w:i/>
              </w:rPr>
              <w:tab/>
              <w:t xml:space="preserve">ņem vērā </w:t>
            </w:r>
            <w:r w:rsidR="002D61FD" w:rsidRPr="00001BC2">
              <w:rPr>
                <w:b/>
                <w:i/>
              </w:rPr>
              <w:t>S</w:t>
            </w:r>
            <w:r w:rsidR="001B47AE" w:rsidRPr="00001BC2">
              <w:rPr>
                <w:b/>
                <w:i/>
              </w:rPr>
              <w:t>avienības</w:t>
            </w:r>
            <w:r w:rsidR="002D61FD" w:rsidRPr="00001BC2">
              <w:rPr>
                <w:b/>
                <w:i/>
              </w:rPr>
              <w:t xml:space="preserve"> </w:t>
            </w:r>
            <w:r w:rsidRPr="00001BC2">
              <w:rPr>
                <w:b/>
                <w:i/>
              </w:rPr>
              <w:t>vispārējās ekonomikas politikas un mērķus, tostarp politikas klimata un vides jomā;</w:t>
            </w:r>
          </w:p>
        </w:tc>
      </w:tr>
    </w:tbl>
    <w:p w14:paraId="0181E75F" w14:textId="77777777" w:rsidR="00250044" w:rsidRPr="00001BC2" w:rsidRDefault="00250044" w:rsidP="00250044">
      <w:pPr>
        <w:pStyle w:val="AmNumberTabs"/>
        <w:keepNext/>
      </w:pPr>
      <w:r w:rsidRPr="00001BC2">
        <w:t>Grozījums Nr.</w:t>
      </w:r>
      <w:r w:rsidRPr="00001BC2">
        <w:tab/>
      </w:r>
      <w:r w:rsidRPr="00001BC2">
        <w:tab/>
        <w:t>9</w:t>
      </w:r>
    </w:p>
    <w:p w14:paraId="6F95D3B8" w14:textId="77777777" w:rsidR="00250044" w:rsidRPr="00001BC2" w:rsidRDefault="00250044" w:rsidP="00250044">
      <w:pPr>
        <w:pStyle w:val="NormalBold12b"/>
        <w:keepNext/>
      </w:pPr>
      <w:r w:rsidRPr="00001BC2">
        <w:t>Regulas projekts</w:t>
      </w:r>
    </w:p>
    <w:p w14:paraId="61E81A20" w14:textId="77777777" w:rsidR="00250044" w:rsidRPr="00001BC2" w:rsidRDefault="00250044" w:rsidP="00250044">
      <w:pPr>
        <w:pStyle w:val="NormalBold"/>
        <w:keepNext/>
        <w:rPr>
          <w:rFonts w:eastAsiaTheme="majorEastAsia"/>
        </w:rPr>
      </w:pPr>
      <w:r w:rsidRPr="00001BC2">
        <w:t xml:space="preserve">1. pants – 1. daļa – 4. punkts – </w:t>
      </w:r>
      <w:proofErr w:type="spellStart"/>
      <w:r w:rsidRPr="00001BC2">
        <w:t>ba</w:t>
      </w:r>
      <w:proofErr w:type="spellEnd"/>
      <w:r w:rsidRPr="00001BC2">
        <w:t xml:space="preserve"> apakšpunkts (jauns)</w:t>
      </w:r>
    </w:p>
    <w:p w14:paraId="203F32BD" w14:textId="77777777" w:rsidR="00250044" w:rsidRPr="00001BC2" w:rsidRDefault="00250044" w:rsidP="00250044">
      <w:pPr>
        <w:widowControl/>
      </w:pPr>
      <w:r w:rsidRPr="00001BC2">
        <w:t>Regula (EK) Nr. 2533/98</w:t>
      </w:r>
    </w:p>
    <w:p w14:paraId="338A52D4" w14:textId="77777777" w:rsidR="00250044" w:rsidRPr="00001BC2" w:rsidRDefault="00250044" w:rsidP="00250044">
      <w:pPr>
        <w:widowControl/>
      </w:pPr>
      <w:r w:rsidRPr="00001BC2">
        <w:t>7. pants – 4.a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0044" w:rsidRPr="00001BC2" w14:paraId="5D54B2BB" w14:textId="77777777" w:rsidTr="00DE4C73">
        <w:trPr>
          <w:jc w:val="center"/>
        </w:trPr>
        <w:tc>
          <w:tcPr>
            <w:tcW w:w="9752" w:type="dxa"/>
            <w:gridSpan w:val="2"/>
          </w:tcPr>
          <w:p w14:paraId="5C986482" w14:textId="77777777" w:rsidR="00250044" w:rsidRPr="00001BC2" w:rsidRDefault="00250044" w:rsidP="00DE4C73">
            <w:pPr>
              <w:keepNext/>
            </w:pPr>
          </w:p>
        </w:tc>
      </w:tr>
      <w:tr w:rsidR="00250044" w:rsidRPr="00001BC2" w14:paraId="1B613B17" w14:textId="77777777" w:rsidTr="00DE4C73">
        <w:trPr>
          <w:jc w:val="center"/>
        </w:trPr>
        <w:tc>
          <w:tcPr>
            <w:tcW w:w="4876" w:type="dxa"/>
          </w:tcPr>
          <w:p w14:paraId="1559922B" w14:textId="77777777" w:rsidR="00250044" w:rsidRPr="00001BC2" w:rsidRDefault="00250044" w:rsidP="00DE4C73">
            <w:pPr>
              <w:pStyle w:val="AmColumnHeading"/>
              <w:keepNext/>
            </w:pPr>
            <w:r w:rsidRPr="00001BC2">
              <w:t>Eiropas Centrālās bankas projekts</w:t>
            </w:r>
          </w:p>
        </w:tc>
        <w:tc>
          <w:tcPr>
            <w:tcW w:w="4876" w:type="dxa"/>
          </w:tcPr>
          <w:p w14:paraId="2849341E" w14:textId="77777777" w:rsidR="00250044" w:rsidRPr="00001BC2" w:rsidRDefault="00250044" w:rsidP="00DE4C73">
            <w:pPr>
              <w:pStyle w:val="AmColumnHeading"/>
              <w:keepNext/>
            </w:pPr>
            <w:r w:rsidRPr="00001BC2">
              <w:t xml:space="preserve">Grozījums </w:t>
            </w:r>
          </w:p>
        </w:tc>
      </w:tr>
      <w:tr w:rsidR="00250044" w:rsidRPr="00001BC2" w14:paraId="79BF2EE7" w14:textId="77777777" w:rsidTr="00DE4C73">
        <w:trPr>
          <w:jc w:val="center"/>
        </w:trPr>
        <w:tc>
          <w:tcPr>
            <w:tcW w:w="4876" w:type="dxa"/>
          </w:tcPr>
          <w:p w14:paraId="7C24B32C" w14:textId="77777777" w:rsidR="00250044" w:rsidRPr="00001BC2" w:rsidRDefault="00250044" w:rsidP="00DE4C73">
            <w:pPr>
              <w:pStyle w:val="Normal6a"/>
            </w:pPr>
          </w:p>
        </w:tc>
        <w:tc>
          <w:tcPr>
            <w:tcW w:w="4876" w:type="dxa"/>
          </w:tcPr>
          <w:p w14:paraId="26FAACAD" w14:textId="77777777" w:rsidR="00250044" w:rsidRPr="00001BC2" w:rsidRDefault="00250044" w:rsidP="00DE4C73">
            <w:pPr>
              <w:spacing w:after="120"/>
              <w:rPr>
                <w:szCs w:val="24"/>
              </w:rPr>
            </w:pPr>
            <w:proofErr w:type="spellStart"/>
            <w:r w:rsidRPr="00001BC2">
              <w:rPr>
                <w:b/>
                <w:i/>
              </w:rPr>
              <w:t>ba</w:t>
            </w:r>
            <w:proofErr w:type="spellEnd"/>
            <w:r w:rsidRPr="00001BC2">
              <w:rPr>
                <w:b/>
                <w:i/>
              </w:rPr>
              <w:t>)</w:t>
            </w:r>
            <w:r w:rsidRPr="00001BC2">
              <w:rPr>
                <w:b/>
                <w:i/>
              </w:rPr>
              <w:tab/>
              <w:t>pievieno šādu punktu:</w:t>
            </w:r>
          </w:p>
        </w:tc>
      </w:tr>
      <w:tr w:rsidR="00250044" w:rsidRPr="00001BC2" w14:paraId="7366133F" w14:textId="77777777" w:rsidTr="00DE4C73">
        <w:trPr>
          <w:jc w:val="center"/>
        </w:trPr>
        <w:tc>
          <w:tcPr>
            <w:tcW w:w="4876" w:type="dxa"/>
          </w:tcPr>
          <w:p w14:paraId="36774DC1" w14:textId="77777777" w:rsidR="00250044" w:rsidRPr="00001BC2" w:rsidRDefault="00250044" w:rsidP="00DE4C73">
            <w:pPr>
              <w:pStyle w:val="Normal6a"/>
            </w:pPr>
          </w:p>
        </w:tc>
        <w:tc>
          <w:tcPr>
            <w:tcW w:w="4876" w:type="dxa"/>
          </w:tcPr>
          <w:p w14:paraId="19EEA614" w14:textId="77777777" w:rsidR="00250044" w:rsidRPr="00001BC2" w:rsidRDefault="00250044" w:rsidP="00DE4C73">
            <w:pPr>
              <w:pStyle w:val="Normal6a"/>
            </w:pPr>
            <w:r w:rsidRPr="00001BC2">
              <w:rPr>
                <w:b/>
                <w:i/>
              </w:rPr>
              <w:t>“4.a</w:t>
            </w:r>
            <w:r w:rsidRPr="00001BC2">
              <w:rPr>
                <w:b/>
                <w:i/>
              </w:rPr>
              <w:tab/>
              <w:t xml:space="preserve">Panta 4. punktā noteikto sodanaudu ECB atjaunina ik pēc 5 gadiem atbilstoši </w:t>
            </w:r>
            <w:proofErr w:type="spellStart"/>
            <w:r w:rsidRPr="00001BC2">
              <w:rPr>
                <w:b/>
                <w:i/>
              </w:rPr>
              <w:t>eurozonas</w:t>
            </w:r>
            <w:proofErr w:type="spellEnd"/>
            <w:r w:rsidRPr="00001BC2">
              <w:rPr>
                <w:b/>
                <w:i/>
              </w:rPr>
              <w:t xml:space="preserve"> inflācijas līmenim.”;</w:t>
            </w:r>
          </w:p>
        </w:tc>
      </w:tr>
    </w:tbl>
    <w:p w14:paraId="2DFD4AC1" w14:textId="77777777" w:rsidR="00250044" w:rsidRPr="00001BC2" w:rsidRDefault="00250044" w:rsidP="00250044">
      <w:pPr>
        <w:pStyle w:val="AmNumberTabs"/>
        <w:keepNext/>
      </w:pPr>
      <w:r w:rsidRPr="00001BC2">
        <w:t>Grozījums Nr.</w:t>
      </w:r>
      <w:r w:rsidRPr="00001BC2">
        <w:tab/>
      </w:r>
      <w:r w:rsidRPr="00001BC2">
        <w:tab/>
        <w:t>10</w:t>
      </w:r>
    </w:p>
    <w:p w14:paraId="6929931F" w14:textId="77777777" w:rsidR="00250044" w:rsidRPr="00001BC2" w:rsidRDefault="00250044" w:rsidP="00250044">
      <w:pPr>
        <w:pStyle w:val="NormalBold12b"/>
        <w:keepNext/>
      </w:pPr>
      <w:r w:rsidRPr="00001BC2">
        <w:t>Regulas projekts</w:t>
      </w:r>
    </w:p>
    <w:p w14:paraId="7AFDF143" w14:textId="77777777" w:rsidR="00250044" w:rsidRPr="00001BC2" w:rsidRDefault="00250044" w:rsidP="00250044">
      <w:pPr>
        <w:pStyle w:val="NormalBold"/>
        <w:keepNext/>
        <w:rPr>
          <w:rFonts w:eastAsiaTheme="majorEastAsia"/>
        </w:rPr>
      </w:pPr>
      <w:r w:rsidRPr="00001BC2">
        <w:t>1. pants – 1. daļa – 5. punkts</w:t>
      </w:r>
    </w:p>
    <w:p w14:paraId="7B1D91D8" w14:textId="77777777" w:rsidR="00250044" w:rsidRPr="00001BC2" w:rsidRDefault="00250044" w:rsidP="00250044">
      <w:pPr>
        <w:widowControl/>
      </w:pPr>
      <w:r w:rsidRPr="00001BC2">
        <w:t>Regula (EK) Nr. 2533/98</w:t>
      </w:r>
    </w:p>
    <w:p w14:paraId="38710B13" w14:textId="77777777" w:rsidR="00250044" w:rsidRPr="00001BC2" w:rsidRDefault="00250044" w:rsidP="00250044">
      <w:pPr>
        <w:widowControl/>
      </w:pPr>
      <w:r w:rsidRPr="00001BC2">
        <w:t>8. pants – 1. daļa – 2. punkts – b apakšpunkts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0044" w:rsidRPr="00001BC2" w14:paraId="3B5843AB" w14:textId="77777777" w:rsidTr="00DE4C73">
        <w:trPr>
          <w:jc w:val="center"/>
        </w:trPr>
        <w:tc>
          <w:tcPr>
            <w:tcW w:w="9752" w:type="dxa"/>
            <w:gridSpan w:val="2"/>
          </w:tcPr>
          <w:p w14:paraId="63C29844" w14:textId="77777777" w:rsidR="00250044" w:rsidRPr="00001BC2" w:rsidRDefault="00250044" w:rsidP="00DE4C73">
            <w:pPr>
              <w:keepNext/>
            </w:pPr>
          </w:p>
        </w:tc>
      </w:tr>
      <w:tr w:rsidR="00250044" w:rsidRPr="00001BC2" w14:paraId="00ECD35C" w14:textId="77777777" w:rsidTr="00DE4C73">
        <w:trPr>
          <w:jc w:val="center"/>
        </w:trPr>
        <w:tc>
          <w:tcPr>
            <w:tcW w:w="4876" w:type="dxa"/>
          </w:tcPr>
          <w:p w14:paraId="4428BE3A" w14:textId="77777777" w:rsidR="00250044" w:rsidRPr="00001BC2" w:rsidRDefault="00250044" w:rsidP="00DE4C73">
            <w:pPr>
              <w:pStyle w:val="AmColumnHeading"/>
              <w:keepNext/>
            </w:pPr>
            <w:r w:rsidRPr="00001BC2">
              <w:t>Eiropas Centrālās bankas projekts</w:t>
            </w:r>
          </w:p>
        </w:tc>
        <w:tc>
          <w:tcPr>
            <w:tcW w:w="4876" w:type="dxa"/>
          </w:tcPr>
          <w:p w14:paraId="6A169F5E" w14:textId="77777777" w:rsidR="00250044" w:rsidRPr="00001BC2" w:rsidRDefault="00250044" w:rsidP="00DE4C73">
            <w:pPr>
              <w:pStyle w:val="AmColumnHeading"/>
              <w:keepNext/>
            </w:pPr>
            <w:r w:rsidRPr="00001BC2">
              <w:t xml:space="preserve">Grozījums </w:t>
            </w:r>
          </w:p>
        </w:tc>
      </w:tr>
      <w:tr w:rsidR="00250044" w:rsidRPr="00001BC2" w14:paraId="39F0C5A4" w14:textId="77777777" w:rsidTr="00DE4C73">
        <w:trPr>
          <w:jc w:val="center"/>
        </w:trPr>
        <w:tc>
          <w:tcPr>
            <w:tcW w:w="4876" w:type="dxa"/>
          </w:tcPr>
          <w:p w14:paraId="18752DB7" w14:textId="77777777" w:rsidR="00250044" w:rsidRPr="00001BC2" w:rsidRDefault="00250044" w:rsidP="00DE4C73">
            <w:pPr>
              <w:widowControl/>
            </w:pPr>
            <w:r w:rsidRPr="00001BC2">
              <w:t>b)</w:t>
            </w:r>
            <w:r w:rsidRPr="00001BC2">
              <w:tab/>
              <w:t xml:space="preserve">kopīgo konfidenciālu statistisko informāciju ar citām leģitīmām personām, lai tās varētu veikt savus attiecīgos tiesību aktos noteiktos uzdevumus, kas saistīti ar </w:t>
            </w:r>
            <w:proofErr w:type="spellStart"/>
            <w:r w:rsidRPr="00001BC2">
              <w:rPr>
                <w:b/>
                <w:i/>
              </w:rPr>
              <w:t>prudenciālo</w:t>
            </w:r>
            <w:proofErr w:type="spellEnd"/>
            <w:r w:rsidRPr="00001BC2">
              <w:rPr>
                <w:b/>
                <w:i/>
              </w:rPr>
              <w:t xml:space="preserve"> uzraudzību</w:t>
            </w:r>
            <w:r w:rsidRPr="00001BC2">
              <w:rPr>
                <w:b/>
                <w:bCs/>
                <w:i/>
                <w:iCs/>
              </w:rPr>
              <w:t xml:space="preserve"> un</w:t>
            </w:r>
            <w:r w:rsidRPr="00001BC2">
              <w:t xml:space="preserve"> finanšu sistēmas stabilitāti;</w:t>
            </w:r>
          </w:p>
        </w:tc>
        <w:tc>
          <w:tcPr>
            <w:tcW w:w="4876" w:type="dxa"/>
          </w:tcPr>
          <w:p w14:paraId="62678F49" w14:textId="77777777" w:rsidR="00250044" w:rsidRPr="00001BC2" w:rsidRDefault="00250044" w:rsidP="00DE4C73">
            <w:pPr>
              <w:pStyle w:val="Normal6a"/>
              <w:rPr>
                <w:szCs w:val="24"/>
              </w:rPr>
            </w:pPr>
            <w:r w:rsidRPr="00001BC2">
              <w:t>b)</w:t>
            </w:r>
            <w:r w:rsidRPr="00001BC2">
              <w:tab/>
              <w:t xml:space="preserve">kopīgo konfidenciālu statistisko informāciju ar citām leģitīmām personām, lai tās varētu veikt savus attiecīgos tiesību aktos noteiktos uzdevumus, kas saistīti ar finanšu sistēmas </w:t>
            </w:r>
            <w:r w:rsidRPr="00001BC2">
              <w:rPr>
                <w:b/>
                <w:i/>
              </w:rPr>
              <w:t>īstermiņa, vidēja termiņa</w:t>
            </w:r>
            <w:r w:rsidRPr="00001BC2">
              <w:rPr>
                <w:b/>
                <w:bCs/>
                <w:i/>
                <w:iCs/>
              </w:rPr>
              <w:t xml:space="preserve"> un</w:t>
            </w:r>
            <w:r w:rsidRPr="00001BC2">
              <w:t xml:space="preserve"> </w:t>
            </w:r>
            <w:r w:rsidRPr="00001BC2">
              <w:rPr>
                <w:b/>
                <w:i/>
              </w:rPr>
              <w:t xml:space="preserve">ilgtermiņa </w:t>
            </w:r>
            <w:r w:rsidRPr="00001BC2">
              <w:t xml:space="preserve">stabilitāti </w:t>
            </w:r>
            <w:r w:rsidRPr="00001BC2">
              <w:rPr>
                <w:b/>
                <w:i/>
              </w:rPr>
              <w:t>un efektivitāti</w:t>
            </w:r>
            <w:r w:rsidRPr="00001BC2">
              <w:t>;</w:t>
            </w:r>
          </w:p>
        </w:tc>
      </w:tr>
    </w:tbl>
    <w:p w14:paraId="64DAE5C4" w14:textId="77777777" w:rsidR="00250044" w:rsidRPr="00001BC2" w:rsidRDefault="00250044" w:rsidP="00250044">
      <w:pPr>
        <w:pStyle w:val="AmNumberTabs"/>
        <w:keepNext/>
      </w:pPr>
      <w:r w:rsidRPr="00001BC2">
        <w:t>Grozījums Nr.</w:t>
      </w:r>
      <w:r w:rsidRPr="00001BC2">
        <w:tab/>
      </w:r>
      <w:r w:rsidRPr="00001BC2">
        <w:tab/>
        <w:t>11</w:t>
      </w:r>
    </w:p>
    <w:p w14:paraId="3CAD6B17" w14:textId="77777777" w:rsidR="00250044" w:rsidRPr="00001BC2" w:rsidRDefault="00250044" w:rsidP="00250044">
      <w:pPr>
        <w:pStyle w:val="NormalBold12b"/>
        <w:keepNext/>
      </w:pPr>
      <w:r w:rsidRPr="00001BC2">
        <w:t>Regulas projekts</w:t>
      </w:r>
    </w:p>
    <w:p w14:paraId="63F237DB" w14:textId="77777777" w:rsidR="00250044" w:rsidRPr="00001BC2" w:rsidRDefault="00250044" w:rsidP="00250044">
      <w:pPr>
        <w:pStyle w:val="NormalBold"/>
        <w:keepNext/>
        <w:rPr>
          <w:rFonts w:eastAsiaTheme="majorEastAsia"/>
        </w:rPr>
      </w:pPr>
      <w:r w:rsidRPr="00001BC2">
        <w:t>1. pants – 1. daļa – 5. punkts</w:t>
      </w:r>
    </w:p>
    <w:p w14:paraId="5E55B8FA" w14:textId="77777777" w:rsidR="00250044" w:rsidRPr="00001BC2" w:rsidRDefault="00250044" w:rsidP="00250044">
      <w:pPr>
        <w:widowControl/>
      </w:pPr>
      <w:r w:rsidRPr="00001BC2">
        <w:t>Regula (EK) Nr. 2533/98</w:t>
      </w:r>
    </w:p>
    <w:p w14:paraId="19A648A8" w14:textId="77777777" w:rsidR="00250044" w:rsidRPr="00001BC2" w:rsidRDefault="00250044" w:rsidP="00250044">
      <w:pPr>
        <w:widowControl/>
      </w:pPr>
      <w:r w:rsidRPr="00001BC2">
        <w:t>8. pants – 1. daļa – 2. punkts – e apakšpunkts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0044" w:rsidRPr="00001BC2" w14:paraId="37D8DDE1" w14:textId="77777777" w:rsidTr="00DE4C73">
        <w:trPr>
          <w:jc w:val="center"/>
        </w:trPr>
        <w:tc>
          <w:tcPr>
            <w:tcW w:w="9752" w:type="dxa"/>
            <w:gridSpan w:val="2"/>
          </w:tcPr>
          <w:p w14:paraId="1B3E15D9" w14:textId="77777777" w:rsidR="00250044" w:rsidRPr="00001BC2" w:rsidRDefault="00250044" w:rsidP="00DE4C73">
            <w:pPr>
              <w:keepNext/>
            </w:pPr>
          </w:p>
        </w:tc>
      </w:tr>
      <w:tr w:rsidR="00250044" w:rsidRPr="00001BC2" w14:paraId="707B4E82" w14:textId="77777777" w:rsidTr="00DE4C73">
        <w:trPr>
          <w:jc w:val="center"/>
        </w:trPr>
        <w:tc>
          <w:tcPr>
            <w:tcW w:w="4876" w:type="dxa"/>
          </w:tcPr>
          <w:p w14:paraId="15C4D57C" w14:textId="77777777" w:rsidR="00250044" w:rsidRPr="00001BC2" w:rsidRDefault="00250044" w:rsidP="00DE4C73">
            <w:pPr>
              <w:pStyle w:val="AmColumnHeading"/>
              <w:keepNext/>
            </w:pPr>
            <w:r w:rsidRPr="00001BC2">
              <w:t>Eiropas Centrālās bankas projekts</w:t>
            </w:r>
          </w:p>
        </w:tc>
        <w:tc>
          <w:tcPr>
            <w:tcW w:w="4876" w:type="dxa"/>
          </w:tcPr>
          <w:p w14:paraId="3B3EBA3B" w14:textId="77777777" w:rsidR="00250044" w:rsidRPr="00001BC2" w:rsidRDefault="00250044" w:rsidP="00DE4C73">
            <w:pPr>
              <w:pStyle w:val="AmColumnHeading"/>
              <w:keepNext/>
            </w:pPr>
            <w:r w:rsidRPr="00001BC2">
              <w:t xml:space="preserve">Grozījums </w:t>
            </w:r>
          </w:p>
        </w:tc>
      </w:tr>
      <w:tr w:rsidR="00250044" w:rsidRPr="00001BC2" w14:paraId="7E8D3A61" w14:textId="77777777" w:rsidTr="00DE4C73">
        <w:trPr>
          <w:jc w:val="center"/>
        </w:trPr>
        <w:tc>
          <w:tcPr>
            <w:tcW w:w="4876" w:type="dxa"/>
          </w:tcPr>
          <w:p w14:paraId="457FD2B4" w14:textId="77777777" w:rsidR="00250044" w:rsidRPr="00001BC2" w:rsidRDefault="00250044" w:rsidP="00DE4C73">
            <w:pPr>
              <w:pStyle w:val="Normal6a"/>
            </w:pPr>
            <w:r w:rsidRPr="00001BC2">
              <w:t>e)</w:t>
            </w:r>
            <w:r w:rsidRPr="00001BC2">
              <w:tab/>
              <w:t xml:space="preserve">pētniekiem, </w:t>
            </w:r>
            <w:r w:rsidRPr="00001BC2">
              <w:rPr>
                <w:b/>
                <w:i/>
              </w:rPr>
              <w:t>kas</w:t>
            </w:r>
            <w:r w:rsidRPr="00001BC2">
              <w:t xml:space="preserve"> saistīti ar zinātniskās pētniecības struktūrām, </w:t>
            </w:r>
            <w:r w:rsidRPr="00001BC2">
              <w:rPr>
                <w:b/>
                <w:i/>
              </w:rPr>
              <w:t>var piešķirt</w:t>
            </w:r>
            <w:r w:rsidRPr="00001BC2">
              <w:t xml:space="preserve"> piekļuvi konfidenciālai statistiskajai informācijai, </w:t>
            </w:r>
            <w:r w:rsidRPr="00001BC2">
              <w:rPr>
                <w:b/>
                <w:i/>
              </w:rPr>
              <w:t>kas neļauj</w:t>
            </w:r>
            <w:r w:rsidRPr="00001BC2">
              <w:t xml:space="preserve"> tieši identificēt pārskatu sniedzēju vai citu juridisku vai fizisku personu, vienību vai filiāli;</w:t>
            </w:r>
          </w:p>
        </w:tc>
        <w:tc>
          <w:tcPr>
            <w:tcW w:w="4876" w:type="dxa"/>
          </w:tcPr>
          <w:p w14:paraId="53C3186F" w14:textId="77777777" w:rsidR="00250044" w:rsidRPr="00001BC2" w:rsidRDefault="00250044" w:rsidP="00DE4C73">
            <w:pPr>
              <w:pStyle w:val="Normal6a"/>
              <w:rPr>
                <w:szCs w:val="24"/>
              </w:rPr>
            </w:pPr>
            <w:r w:rsidRPr="00001BC2">
              <w:t>e)</w:t>
            </w:r>
            <w:r w:rsidRPr="00001BC2">
              <w:tab/>
            </w:r>
            <w:r w:rsidRPr="00001BC2">
              <w:rPr>
                <w:b/>
                <w:i/>
              </w:rPr>
              <w:t xml:space="preserve">izveido pastāvīgu satvaru, lai </w:t>
            </w:r>
            <w:r w:rsidRPr="00001BC2">
              <w:t xml:space="preserve">pētniekiem, </w:t>
            </w:r>
            <w:r w:rsidRPr="00001BC2">
              <w:rPr>
                <w:b/>
                <w:i/>
              </w:rPr>
              <w:t>kuri</w:t>
            </w:r>
            <w:r w:rsidRPr="00001BC2">
              <w:t xml:space="preserve"> saistīti ar zinātniskās pētniecības struktūrām, </w:t>
            </w:r>
            <w:r w:rsidRPr="00001BC2">
              <w:rPr>
                <w:b/>
                <w:i/>
              </w:rPr>
              <w:t>atvieglotu un piešķirtu</w:t>
            </w:r>
            <w:r w:rsidRPr="00001BC2">
              <w:t xml:space="preserve"> piekļuvi konfidenciālai statistiskajai informācijai, </w:t>
            </w:r>
            <w:r w:rsidRPr="00001BC2">
              <w:rPr>
                <w:b/>
                <w:i/>
              </w:rPr>
              <w:t>aptverot visas galvenās ECB datu kopas, taču neļaujot</w:t>
            </w:r>
            <w:r w:rsidRPr="00001BC2">
              <w:t xml:space="preserve"> tieši identificēt pārskatu sniedzēju vai citu juridisku vai fizisku personu, vienību vai filiāli;</w:t>
            </w:r>
          </w:p>
        </w:tc>
      </w:tr>
    </w:tbl>
    <w:p w14:paraId="0B059633" w14:textId="77777777" w:rsidR="00250044" w:rsidRPr="00001BC2" w:rsidRDefault="00250044" w:rsidP="00250044">
      <w:pPr>
        <w:pStyle w:val="AmNumberTabs"/>
        <w:keepNext/>
      </w:pPr>
      <w:r w:rsidRPr="00001BC2">
        <w:t>Grozījums Nr.</w:t>
      </w:r>
      <w:r w:rsidRPr="00001BC2">
        <w:tab/>
      </w:r>
      <w:r w:rsidRPr="00001BC2">
        <w:tab/>
        <w:t>12</w:t>
      </w:r>
    </w:p>
    <w:p w14:paraId="705FD8D9" w14:textId="77777777" w:rsidR="00250044" w:rsidRPr="00001BC2" w:rsidRDefault="00250044" w:rsidP="00250044">
      <w:pPr>
        <w:pStyle w:val="NormalBold12b"/>
        <w:keepNext/>
      </w:pPr>
      <w:r w:rsidRPr="00001BC2">
        <w:t>Regulas projekts</w:t>
      </w:r>
    </w:p>
    <w:p w14:paraId="280EF11F" w14:textId="77777777" w:rsidR="00250044" w:rsidRPr="00001BC2" w:rsidRDefault="00250044" w:rsidP="00250044">
      <w:pPr>
        <w:pStyle w:val="NormalBold"/>
        <w:keepNext/>
        <w:rPr>
          <w:rFonts w:eastAsiaTheme="majorEastAsia"/>
        </w:rPr>
      </w:pPr>
      <w:r w:rsidRPr="00001BC2">
        <w:t>1. pants – 1. daļa – 5. punkts</w:t>
      </w:r>
    </w:p>
    <w:p w14:paraId="60450881" w14:textId="77777777" w:rsidR="00250044" w:rsidRPr="00001BC2" w:rsidRDefault="00250044" w:rsidP="00250044">
      <w:pPr>
        <w:widowControl/>
      </w:pPr>
      <w:r w:rsidRPr="00001BC2">
        <w:t>Regula (EK) Nr. 2533/98</w:t>
      </w:r>
    </w:p>
    <w:p w14:paraId="53641953" w14:textId="77777777" w:rsidR="00250044" w:rsidRPr="00001BC2" w:rsidRDefault="00250044" w:rsidP="00250044">
      <w:pPr>
        <w:widowControl/>
      </w:pPr>
      <w:r w:rsidRPr="00001BC2">
        <w:t>8. pants – 1. daļa – 2.a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0044" w:rsidRPr="00001BC2" w14:paraId="3C19BE60" w14:textId="77777777" w:rsidTr="00DE4C73">
        <w:trPr>
          <w:jc w:val="center"/>
        </w:trPr>
        <w:tc>
          <w:tcPr>
            <w:tcW w:w="9752" w:type="dxa"/>
            <w:gridSpan w:val="2"/>
          </w:tcPr>
          <w:p w14:paraId="422C6489" w14:textId="77777777" w:rsidR="00250044" w:rsidRPr="00001BC2" w:rsidRDefault="00250044" w:rsidP="00DE4C73">
            <w:pPr>
              <w:keepNext/>
            </w:pPr>
          </w:p>
        </w:tc>
      </w:tr>
      <w:tr w:rsidR="00250044" w:rsidRPr="00001BC2" w14:paraId="1A044F60" w14:textId="77777777" w:rsidTr="00DE4C73">
        <w:trPr>
          <w:jc w:val="center"/>
        </w:trPr>
        <w:tc>
          <w:tcPr>
            <w:tcW w:w="4876" w:type="dxa"/>
          </w:tcPr>
          <w:p w14:paraId="42A94436" w14:textId="77777777" w:rsidR="00250044" w:rsidRPr="00001BC2" w:rsidRDefault="00250044" w:rsidP="00DE4C73">
            <w:pPr>
              <w:pStyle w:val="AmColumnHeading"/>
              <w:keepNext/>
            </w:pPr>
            <w:r w:rsidRPr="00001BC2">
              <w:t>Eiropas Centrālās bankas projekts</w:t>
            </w:r>
          </w:p>
        </w:tc>
        <w:tc>
          <w:tcPr>
            <w:tcW w:w="4876" w:type="dxa"/>
          </w:tcPr>
          <w:p w14:paraId="72AAB590" w14:textId="77777777" w:rsidR="00250044" w:rsidRPr="00001BC2" w:rsidRDefault="00250044" w:rsidP="00DE4C73">
            <w:pPr>
              <w:pStyle w:val="AmColumnHeading"/>
              <w:keepNext/>
            </w:pPr>
            <w:r w:rsidRPr="00001BC2">
              <w:t xml:space="preserve">Grozījums </w:t>
            </w:r>
          </w:p>
        </w:tc>
      </w:tr>
      <w:tr w:rsidR="00250044" w:rsidRPr="00001BC2" w14:paraId="46B2C071" w14:textId="77777777" w:rsidTr="00DE4C73">
        <w:trPr>
          <w:jc w:val="center"/>
        </w:trPr>
        <w:tc>
          <w:tcPr>
            <w:tcW w:w="4876" w:type="dxa"/>
          </w:tcPr>
          <w:p w14:paraId="3265C54E" w14:textId="77777777" w:rsidR="00250044" w:rsidRPr="00001BC2" w:rsidRDefault="00250044" w:rsidP="00DE4C73">
            <w:pPr>
              <w:pStyle w:val="Normal6a"/>
            </w:pPr>
          </w:p>
        </w:tc>
        <w:tc>
          <w:tcPr>
            <w:tcW w:w="4876" w:type="dxa"/>
          </w:tcPr>
          <w:p w14:paraId="054F1A5B" w14:textId="77777777" w:rsidR="00250044" w:rsidRPr="00001BC2" w:rsidRDefault="00250044" w:rsidP="00DE4C73">
            <w:pPr>
              <w:pStyle w:val="Normal6a"/>
              <w:rPr>
                <w:szCs w:val="24"/>
              </w:rPr>
            </w:pPr>
            <w:r w:rsidRPr="00001BC2">
              <w:rPr>
                <w:b/>
                <w:i/>
              </w:rPr>
              <w:t>2.a</w:t>
            </w:r>
            <w:r w:rsidRPr="00001BC2">
              <w:rPr>
                <w:b/>
                <w:i/>
              </w:rPr>
              <w:tab/>
              <w:t>Ja ECBS dalībnieces piešķir piekļuvi konfidenciālai statistiskajai informācijai šā punkta e) un g) apakšpunktā minētajos gadījumos, fiziskā vai juridiskā persona, kas saņem piekļuvi, minētos datus izmanto tikai mērķim, kuram piekritušas ECBS dalībnieces un attiecīgā gadījumā ziņotājs vai cita juridiska vai fiziska persona, struktūra vai filiāle, kuru iespējams identificēt. Ja fiziskā vai juridiskā persona, kas saņem piekļuvi šiem datiem, var tos glabāt, šādu glabāšanu dara drošu, lai izvairītos no jebkādiem konfidencialitātes pārkāpumiem. Glabāšanas ilgums nepārsniedz 3 gadus.</w:t>
            </w:r>
          </w:p>
        </w:tc>
      </w:tr>
    </w:tbl>
    <w:p w14:paraId="528D8F68" w14:textId="77777777" w:rsidR="00250044" w:rsidRPr="00001BC2" w:rsidRDefault="00250044" w:rsidP="00250044">
      <w:pPr>
        <w:pStyle w:val="AmNumberTabs"/>
        <w:keepNext/>
      </w:pPr>
      <w:r w:rsidRPr="00001BC2">
        <w:t>Grozījums Nr.</w:t>
      </w:r>
      <w:r w:rsidRPr="00001BC2">
        <w:tab/>
      </w:r>
      <w:r w:rsidRPr="00001BC2">
        <w:tab/>
        <w:t>13</w:t>
      </w:r>
    </w:p>
    <w:p w14:paraId="1BC37940" w14:textId="77777777" w:rsidR="00250044" w:rsidRPr="00001BC2" w:rsidRDefault="00250044" w:rsidP="00250044">
      <w:pPr>
        <w:pStyle w:val="NormalBold12b"/>
        <w:keepNext/>
      </w:pPr>
      <w:r w:rsidRPr="00001BC2">
        <w:t>Regulas projekts</w:t>
      </w:r>
    </w:p>
    <w:p w14:paraId="350F5861" w14:textId="77777777" w:rsidR="00250044" w:rsidRPr="00001BC2" w:rsidRDefault="00250044" w:rsidP="00250044">
      <w:pPr>
        <w:pStyle w:val="NormalBold"/>
        <w:keepNext/>
        <w:rPr>
          <w:rFonts w:eastAsiaTheme="majorEastAsia"/>
        </w:rPr>
      </w:pPr>
      <w:r w:rsidRPr="00001BC2">
        <w:t>1. pants – 1. daļa – 5. punkts</w:t>
      </w:r>
    </w:p>
    <w:p w14:paraId="28BE49B2" w14:textId="77777777" w:rsidR="00250044" w:rsidRPr="00001BC2" w:rsidRDefault="00250044" w:rsidP="00250044">
      <w:pPr>
        <w:widowControl/>
      </w:pPr>
      <w:r w:rsidRPr="00001BC2">
        <w:t>Regula (EK) Nr. 2533/98</w:t>
      </w:r>
    </w:p>
    <w:p w14:paraId="271DFDF1" w14:textId="77777777" w:rsidR="00250044" w:rsidRPr="00001BC2" w:rsidRDefault="00250044" w:rsidP="00250044">
      <w:pPr>
        <w:widowControl/>
      </w:pPr>
      <w:r w:rsidRPr="00001BC2">
        <w:t>8. pants – 1. daļa – 7. punkts – a apakšpunkts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0044" w:rsidRPr="00001BC2" w14:paraId="5D5FF3F3" w14:textId="77777777" w:rsidTr="00DE4C73">
        <w:trPr>
          <w:jc w:val="center"/>
        </w:trPr>
        <w:tc>
          <w:tcPr>
            <w:tcW w:w="9752" w:type="dxa"/>
            <w:gridSpan w:val="2"/>
          </w:tcPr>
          <w:p w14:paraId="44A3DCF1" w14:textId="77777777" w:rsidR="00250044" w:rsidRPr="00001BC2" w:rsidRDefault="00250044" w:rsidP="00DE4C73">
            <w:pPr>
              <w:keepNext/>
            </w:pPr>
          </w:p>
        </w:tc>
      </w:tr>
      <w:tr w:rsidR="00250044" w:rsidRPr="00001BC2" w14:paraId="0700095E" w14:textId="77777777" w:rsidTr="00DE4C73">
        <w:trPr>
          <w:jc w:val="center"/>
        </w:trPr>
        <w:tc>
          <w:tcPr>
            <w:tcW w:w="4876" w:type="dxa"/>
          </w:tcPr>
          <w:p w14:paraId="451E886B" w14:textId="77777777" w:rsidR="00250044" w:rsidRPr="00001BC2" w:rsidRDefault="00250044" w:rsidP="00DE4C73">
            <w:pPr>
              <w:pStyle w:val="AmColumnHeading"/>
              <w:keepNext/>
            </w:pPr>
            <w:r w:rsidRPr="00001BC2">
              <w:t>Eiropas Centrālās bankas projekts</w:t>
            </w:r>
          </w:p>
        </w:tc>
        <w:tc>
          <w:tcPr>
            <w:tcW w:w="4876" w:type="dxa"/>
          </w:tcPr>
          <w:p w14:paraId="3F64543A" w14:textId="77777777" w:rsidR="00250044" w:rsidRPr="00001BC2" w:rsidRDefault="00250044" w:rsidP="00DE4C73">
            <w:pPr>
              <w:pStyle w:val="AmColumnHeading"/>
              <w:keepNext/>
            </w:pPr>
            <w:r w:rsidRPr="00001BC2">
              <w:t xml:space="preserve">Grozījums </w:t>
            </w:r>
          </w:p>
        </w:tc>
      </w:tr>
      <w:tr w:rsidR="00250044" w:rsidRPr="00047C8D" w14:paraId="46CF5F25" w14:textId="77777777" w:rsidTr="00DE4C73">
        <w:trPr>
          <w:jc w:val="center"/>
        </w:trPr>
        <w:tc>
          <w:tcPr>
            <w:tcW w:w="4876" w:type="dxa"/>
          </w:tcPr>
          <w:p w14:paraId="27741BE3" w14:textId="77777777" w:rsidR="00250044" w:rsidRPr="00001BC2" w:rsidRDefault="00250044" w:rsidP="00DE4C73">
            <w:pPr>
              <w:pStyle w:val="Normal6a"/>
            </w:pPr>
            <w:r w:rsidRPr="00001BC2">
              <w:t>a)</w:t>
            </w:r>
            <w:r w:rsidRPr="00001BC2">
              <w:tab/>
            </w:r>
            <w:r w:rsidRPr="00001BC2">
              <w:rPr>
                <w:b/>
                <w:i/>
              </w:rPr>
              <w:t>veic visus vajadzīgos regulatīvos, administratīvos</w:t>
            </w:r>
            <w:r w:rsidRPr="00001BC2">
              <w:t xml:space="preserve">, </w:t>
            </w:r>
            <w:r w:rsidRPr="00001BC2">
              <w:rPr>
                <w:b/>
                <w:i/>
              </w:rPr>
              <w:t xml:space="preserve">tehniskos un </w:t>
            </w:r>
            <w:r w:rsidRPr="00001BC2">
              <w:rPr>
                <w:b/>
                <w:i/>
              </w:rPr>
              <w:lastRenderedPageBreak/>
              <w:t>organizatoriskos pasākumus</w:t>
            </w:r>
            <w:r w:rsidRPr="00001BC2">
              <w:t xml:space="preserve">, </w:t>
            </w:r>
            <w:r w:rsidRPr="00001BC2">
              <w:rPr>
                <w:b/>
                <w:i/>
              </w:rPr>
              <w:t>lai nodrošinātu konfidenciālas statistiskās informācijas fizisko un loģisko aizsardzību saskaņā ar kopējiem noteikumiem un obligātajiem standartiem</w:t>
            </w:r>
            <w:r w:rsidRPr="00001BC2">
              <w:t xml:space="preserve">, </w:t>
            </w:r>
            <w:r w:rsidRPr="00001BC2">
              <w:rPr>
                <w:b/>
                <w:i/>
              </w:rPr>
              <w:t>ko noteikusi ECB</w:t>
            </w:r>
            <w:r w:rsidRPr="00001BC2">
              <w:t>; un</w:t>
            </w:r>
          </w:p>
        </w:tc>
        <w:tc>
          <w:tcPr>
            <w:tcW w:w="4876" w:type="dxa"/>
          </w:tcPr>
          <w:p w14:paraId="2C5EAAE8" w14:textId="77777777" w:rsidR="00250044" w:rsidRPr="00047C8D" w:rsidRDefault="00250044" w:rsidP="00DE4C73">
            <w:pPr>
              <w:pStyle w:val="Normal6a"/>
              <w:rPr>
                <w:szCs w:val="24"/>
              </w:rPr>
            </w:pPr>
            <w:r w:rsidRPr="00001BC2">
              <w:lastRenderedPageBreak/>
              <w:t>a)</w:t>
            </w:r>
            <w:r w:rsidRPr="00001BC2">
              <w:tab/>
            </w:r>
            <w:r w:rsidRPr="00001BC2">
              <w:rPr>
                <w:b/>
                <w:i/>
              </w:rPr>
              <w:t>izmanto konfidenciālo statistisko informāciju vienīgi mērķim</w:t>
            </w:r>
            <w:r w:rsidRPr="00001BC2">
              <w:t xml:space="preserve">, </w:t>
            </w:r>
            <w:r w:rsidRPr="00001BC2">
              <w:rPr>
                <w:b/>
                <w:i/>
              </w:rPr>
              <w:t xml:space="preserve">kuram </w:t>
            </w:r>
            <w:r w:rsidRPr="00001BC2">
              <w:rPr>
                <w:b/>
                <w:i/>
              </w:rPr>
              <w:lastRenderedPageBreak/>
              <w:t>piekritusi ECBS dalībniece</w:t>
            </w:r>
            <w:r w:rsidRPr="00001BC2">
              <w:t xml:space="preserve">, </w:t>
            </w:r>
            <w:r w:rsidRPr="00001BC2">
              <w:rPr>
                <w:b/>
                <w:i/>
              </w:rPr>
              <w:t>kas kopīgo informāciju, un attiecīgā gadījumā ziņotājs vai cita juridiska vai fiziska persona, vienība vai filiāle, kuru iespējams identificēt</w:t>
            </w:r>
            <w:r w:rsidRPr="00001BC2">
              <w:t xml:space="preserve">, </w:t>
            </w:r>
            <w:r w:rsidRPr="00001BC2">
              <w:rPr>
                <w:b/>
                <w:i/>
              </w:rPr>
              <w:t>izmantojot konfidenciālo statistisko informāciju</w:t>
            </w:r>
            <w:r w:rsidRPr="00001BC2">
              <w:t>; un</w:t>
            </w:r>
          </w:p>
        </w:tc>
      </w:tr>
    </w:tbl>
    <w:p w14:paraId="6BD0ACEF" w14:textId="16D6B946" w:rsidR="00E365E1" w:rsidRPr="00047C8D" w:rsidRDefault="00E365E1" w:rsidP="004F19C4"/>
    <w:sectPr w:rsidR="00E365E1" w:rsidRPr="00047C8D" w:rsidSect="00047C8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87938" w14:textId="77777777" w:rsidR="004F19C4" w:rsidRPr="00047C8D" w:rsidRDefault="004F19C4">
      <w:r w:rsidRPr="00047C8D">
        <w:separator/>
      </w:r>
    </w:p>
  </w:endnote>
  <w:endnote w:type="continuationSeparator" w:id="0">
    <w:p w14:paraId="2B4E8A16" w14:textId="77777777" w:rsidR="004F19C4" w:rsidRPr="00047C8D" w:rsidRDefault="004F19C4">
      <w:r w:rsidRPr="00047C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10B03" w14:textId="77777777" w:rsidR="00064002" w:rsidRPr="00047C8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74525" w14:textId="77777777" w:rsidR="00064002" w:rsidRPr="00047C8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1EDD2" w14:textId="77777777" w:rsidR="00064002" w:rsidRPr="00047C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A2916" w14:textId="77777777" w:rsidR="004F19C4" w:rsidRPr="00047C8D" w:rsidRDefault="004F19C4">
      <w:r w:rsidRPr="00047C8D">
        <w:separator/>
      </w:r>
    </w:p>
  </w:footnote>
  <w:footnote w:type="continuationSeparator" w:id="0">
    <w:p w14:paraId="7074688C" w14:textId="77777777" w:rsidR="004F19C4" w:rsidRPr="00047C8D" w:rsidRDefault="004F19C4">
      <w:r w:rsidRPr="00047C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A7974" w14:textId="77777777" w:rsidR="00064002" w:rsidRPr="00047C8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05D4D" w14:textId="77777777" w:rsidR="00064002" w:rsidRPr="00047C8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55B0" w14:textId="77777777" w:rsidR="00064002" w:rsidRPr="00047C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3135065">
    <w:abstractNumId w:val="9"/>
  </w:num>
  <w:num w:numId="2" w16cid:durableId="923805313">
    <w:abstractNumId w:val="9"/>
  </w:num>
  <w:num w:numId="3" w16cid:durableId="1422678886">
    <w:abstractNumId w:val="7"/>
  </w:num>
  <w:num w:numId="4" w16cid:durableId="1977640455">
    <w:abstractNumId w:val="7"/>
  </w:num>
  <w:num w:numId="5" w16cid:durableId="991370716">
    <w:abstractNumId w:val="6"/>
  </w:num>
  <w:num w:numId="6" w16cid:durableId="1777166081">
    <w:abstractNumId w:val="6"/>
  </w:num>
  <w:num w:numId="7" w16cid:durableId="484056162">
    <w:abstractNumId w:val="5"/>
  </w:num>
  <w:num w:numId="8" w16cid:durableId="227157062">
    <w:abstractNumId w:val="5"/>
  </w:num>
  <w:num w:numId="9" w16cid:durableId="1736199586">
    <w:abstractNumId w:val="4"/>
  </w:num>
  <w:num w:numId="10" w16cid:durableId="377318615">
    <w:abstractNumId w:val="4"/>
  </w:num>
  <w:num w:numId="11" w16cid:durableId="1549686072">
    <w:abstractNumId w:val="8"/>
  </w:num>
  <w:num w:numId="12" w16cid:durableId="1008799199">
    <w:abstractNumId w:val="8"/>
  </w:num>
  <w:num w:numId="13" w16cid:durableId="635992040">
    <w:abstractNumId w:val="3"/>
  </w:num>
  <w:num w:numId="14" w16cid:durableId="1432118609">
    <w:abstractNumId w:val="3"/>
  </w:num>
  <w:num w:numId="15" w16cid:durableId="1508060588">
    <w:abstractNumId w:val="2"/>
  </w:num>
  <w:num w:numId="16" w16cid:durableId="259879943">
    <w:abstractNumId w:val="2"/>
  </w:num>
  <w:num w:numId="17" w16cid:durableId="1174759946">
    <w:abstractNumId w:val="1"/>
  </w:num>
  <w:num w:numId="18" w16cid:durableId="59446043">
    <w:abstractNumId w:val="1"/>
  </w:num>
  <w:num w:numId="19" w16cid:durableId="1073090968">
    <w:abstractNumId w:val="0"/>
  </w:num>
  <w:num w:numId="20" w16cid:durableId="467941679">
    <w:abstractNumId w:val="0"/>
  </w:num>
  <w:num w:numId="21" w16cid:durableId="170728600">
    <w:abstractNumId w:val="9"/>
  </w:num>
  <w:num w:numId="22" w16cid:durableId="1374648921">
    <w:abstractNumId w:val="7"/>
  </w:num>
  <w:num w:numId="23" w16cid:durableId="734276272">
    <w:abstractNumId w:val="6"/>
  </w:num>
  <w:num w:numId="24" w16cid:durableId="1077089363">
    <w:abstractNumId w:val="5"/>
  </w:num>
  <w:num w:numId="25" w16cid:durableId="1826585780">
    <w:abstractNumId w:val="4"/>
  </w:num>
  <w:num w:numId="26" w16cid:durableId="2072270586">
    <w:abstractNumId w:val="8"/>
  </w:num>
  <w:num w:numId="27" w16cid:durableId="1889414927">
    <w:abstractNumId w:val="3"/>
  </w:num>
  <w:num w:numId="28" w16cid:durableId="1624268715">
    <w:abstractNumId w:val="2"/>
  </w:num>
  <w:num w:numId="29" w16cid:durableId="707140799">
    <w:abstractNumId w:val="1"/>
  </w:num>
  <w:num w:numId="30" w16cid:durableId="325400719">
    <w:abstractNumId w:val="0"/>
  </w:num>
  <w:num w:numId="31" w16cid:durableId="1056012059">
    <w:abstractNumId w:val="9"/>
  </w:num>
  <w:num w:numId="32" w16cid:durableId="1875925711">
    <w:abstractNumId w:val="7"/>
  </w:num>
  <w:num w:numId="33" w16cid:durableId="727723046">
    <w:abstractNumId w:val="6"/>
  </w:num>
  <w:num w:numId="34" w16cid:durableId="1859654644">
    <w:abstractNumId w:val="5"/>
  </w:num>
  <w:num w:numId="35" w16cid:durableId="1548057412">
    <w:abstractNumId w:val="4"/>
  </w:num>
  <w:num w:numId="36" w16cid:durableId="875654816">
    <w:abstractNumId w:val="8"/>
  </w:num>
  <w:num w:numId="37" w16cid:durableId="1389256728">
    <w:abstractNumId w:val="3"/>
  </w:num>
  <w:num w:numId="38" w16cid:durableId="1433284413">
    <w:abstractNumId w:val="2"/>
  </w:num>
  <w:num w:numId="39" w16cid:durableId="1391541456">
    <w:abstractNumId w:val="1"/>
  </w:num>
  <w:num w:numId="40" w16cid:durableId="1399787077">
    <w:abstractNumId w:val="0"/>
  </w:num>
  <w:num w:numId="41" w16cid:durableId="142048759">
    <w:abstractNumId w:val="10"/>
  </w:num>
  <w:num w:numId="42" w16cid:durableId="1089888673">
    <w:abstractNumId w:val="10"/>
  </w:num>
  <w:num w:numId="43" w16cid:durableId="1148091808">
    <w:abstractNumId w:val="10"/>
  </w:num>
  <w:num w:numId="44" w16cid:durableId="8429358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LV"/>
    <w:docVar w:name="dvnumam" w:val="13"/>
    <w:docVar w:name="dvpe" w:val="777.060"/>
    <w:docVar w:name="dvrapporteur" w:val="Referente: "/>
    <w:docVar w:name="dvstar" w:val="*"/>
    <w:docVar w:name="dvtitre" w:val="Eiropas Parlamenta 2025. gada XX. XXX normatīvā rezolūcija par projektu Padomes regulai, ar ko groza Regulu (EK) Nr. 2533/98 par statistikas informācijas vākšanu, ko veic Eiropas Centrālā banka (ECB/2025/17)(09737/2025 – C10-0118/2025 – 2025/0806(CNS))"/>
  </w:docVars>
  <w:rsids>
    <w:rsidRoot w:val="004F19C4"/>
    <w:rsid w:val="00001BC2"/>
    <w:rsid w:val="00002272"/>
    <w:rsid w:val="00047C8D"/>
    <w:rsid w:val="00064002"/>
    <w:rsid w:val="000677B9"/>
    <w:rsid w:val="000831BA"/>
    <w:rsid w:val="000A42CC"/>
    <w:rsid w:val="000E7DD9"/>
    <w:rsid w:val="0010095E"/>
    <w:rsid w:val="00107CA1"/>
    <w:rsid w:val="00125B37"/>
    <w:rsid w:val="00187494"/>
    <w:rsid w:val="001B47AE"/>
    <w:rsid w:val="001F32AE"/>
    <w:rsid w:val="002078A4"/>
    <w:rsid w:val="00250044"/>
    <w:rsid w:val="002767FF"/>
    <w:rsid w:val="00294964"/>
    <w:rsid w:val="002954FC"/>
    <w:rsid w:val="002B18FE"/>
    <w:rsid w:val="002B5493"/>
    <w:rsid w:val="002D61FD"/>
    <w:rsid w:val="00343214"/>
    <w:rsid w:val="00361C00"/>
    <w:rsid w:val="00395FA1"/>
    <w:rsid w:val="003E15D4"/>
    <w:rsid w:val="00411CCE"/>
    <w:rsid w:val="0041666E"/>
    <w:rsid w:val="00421060"/>
    <w:rsid w:val="00455718"/>
    <w:rsid w:val="00471C19"/>
    <w:rsid w:val="004867E3"/>
    <w:rsid w:val="00494A28"/>
    <w:rsid w:val="004C0004"/>
    <w:rsid w:val="004C5D52"/>
    <w:rsid w:val="004F19C4"/>
    <w:rsid w:val="0050519A"/>
    <w:rsid w:val="005072A1"/>
    <w:rsid w:val="00514517"/>
    <w:rsid w:val="00545827"/>
    <w:rsid w:val="00560270"/>
    <w:rsid w:val="005C2568"/>
    <w:rsid w:val="005F1B17"/>
    <w:rsid w:val="006037C0"/>
    <w:rsid w:val="006631B6"/>
    <w:rsid w:val="00680577"/>
    <w:rsid w:val="006D65D0"/>
    <w:rsid w:val="006F74FA"/>
    <w:rsid w:val="00710AE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3EA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B571D6"/>
  <w15:chartTrackingRefBased/>
  <w15:docId w15:val="{E0946FEC-4A33-4F0D-A059-84E318E0C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50044"/>
    <w:pPr>
      <w:spacing w:before="480" w:after="240"/>
    </w:pPr>
  </w:style>
  <w:style w:type="paragraph" w:customStyle="1" w:styleId="Normal6a">
    <w:name w:val="Normal6a"/>
    <w:basedOn w:val="Normal"/>
    <w:rsid w:val="00250044"/>
    <w:pPr>
      <w:spacing w:after="120"/>
    </w:pPr>
  </w:style>
  <w:style w:type="paragraph" w:customStyle="1" w:styleId="NormalBold">
    <w:name w:val="NormalBold"/>
    <w:basedOn w:val="Normal"/>
    <w:link w:val="NormalBoldChar"/>
    <w:rsid w:val="00250044"/>
    <w:rPr>
      <w:b/>
    </w:rPr>
  </w:style>
  <w:style w:type="paragraph" w:customStyle="1" w:styleId="NormalBold12a">
    <w:name w:val="NormalBold12a"/>
    <w:basedOn w:val="Normal"/>
    <w:rsid w:val="00250044"/>
    <w:pPr>
      <w:spacing w:after="240"/>
    </w:pPr>
    <w:rPr>
      <w:b/>
    </w:rPr>
  </w:style>
  <w:style w:type="paragraph" w:customStyle="1" w:styleId="NormalHanging12a">
    <w:name w:val="NormalHanging12a"/>
    <w:basedOn w:val="Normal"/>
    <w:rsid w:val="00250044"/>
    <w:pPr>
      <w:spacing w:after="240"/>
      <w:ind w:left="567" w:hanging="567"/>
    </w:pPr>
  </w:style>
  <w:style w:type="paragraph" w:customStyle="1" w:styleId="AmColumnHeading">
    <w:name w:val="AmColumnHeading"/>
    <w:basedOn w:val="Normal"/>
    <w:rsid w:val="00250044"/>
    <w:pPr>
      <w:spacing w:after="240"/>
      <w:jc w:val="center"/>
    </w:pPr>
    <w:rPr>
      <w:i/>
    </w:rPr>
  </w:style>
  <w:style w:type="paragraph" w:customStyle="1" w:styleId="AmNumberTabs">
    <w:name w:val="AmNumberTabs"/>
    <w:basedOn w:val="Normal"/>
    <w:rsid w:val="0025004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50044"/>
    <w:pPr>
      <w:spacing w:before="240"/>
    </w:pPr>
    <w:rPr>
      <w:b/>
    </w:rPr>
  </w:style>
  <w:style w:type="character" w:customStyle="1" w:styleId="NormalBoldChar">
    <w:name w:val="NormalBold Char"/>
    <w:basedOn w:val="DefaultParagraphFont"/>
    <w:link w:val="NormalBold"/>
    <w:locked/>
    <w:rsid w:val="00250044"/>
    <w:rPr>
      <w:b/>
      <w:sz w:val="24"/>
      <w:lang w:val="lv-LV"/>
    </w:rPr>
  </w:style>
  <w:style w:type="paragraph" w:styleId="Revision">
    <w:name w:val="Revision"/>
    <w:hidden/>
    <w:uiPriority w:val="99"/>
    <w:semiHidden/>
    <w:rsid w:val="002078A4"/>
    <w:rPr>
      <w:sz w:val="24"/>
      <w:lang w:val="lv-LV"/>
    </w:rPr>
  </w:style>
  <w:style w:type="character" w:styleId="CommentReference">
    <w:name w:val="annotation reference"/>
    <w:basedOn w:val="DefaultParagraphFont"/>
    <w:rsid w:val="002954FC"/>
    <w:rPr>
      <w:sz w:val="16"/>
      <w:szCs w:val="16"/>
    </w:rPr>
  </w:style>
  <w:style w:type="paragraph" w:styleId="CommentText">
    <w:name w:val="annotation text"/>
    <w:basedOn w:val="Normal"/>
    <w:link w:val="CommentTextChar"/>
    <w:rsid w:val="002954FC"/>
    <w:rPr>
      <w:sz w:val="20"/>
    </w:rPr>
  </w:style>
  <w:style w:type="character" w:customStyle="1" w:styleId="CommentTextChar">
    <w:name w:val="Comment Text Char"/>
    <w:basedOn w:val="DefaultParagraphFont"/>
    <w:link w:val="CommentText"/>
    <w:rsid w:val="002954FC"/>
    <w:rPr>
      <w:lang w:val="lv-LV"/>
    </w:rPr>
  </w:style>
  <w:style w:type="paragraph" w:styleId="CommentSubject">
    <w:name w:val="annotation subject"/>
    <w:basedOn w:val="CommentText"/>
    <w:next w:val="CommentText"/>
    <w:link w:val="CommentSubjectChar"/>
    <w:rsid w:val="002954FC"/>
    <w:rPr>
      <w:b/>
      <w:bCs/>
    </w:rPr>
  </w:style>
  <w:style w:type="character" w:customStyle="1" w:styleId="CommentSubjectChar">
    <w:name w:val="Comment Subject Char"/>
    <w:basedOn w:val="CommentTextChar"/>
    <w:link w:val="CommentSubject"/>
    <w:rsid w:val="002954FC"/>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2183</Words>
  <Characters>15047</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2025-11-26T12:14:00Z</dcterms:created>
  <dcterms:modified xsi:type="dcterms:W3CDTF">2025-11-26T12:14:00Z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A10-0222/2025</vt:lpwstr>
  </property>
  <property fmtid="{D5CDD505-2E9C-101B-9397-08002B2CF9AE}" pid="4" name="&lt;Type&gt;">
    <vt:lpwstr>RR</vt:lpwstr>
  </property>
</Properties>
</file>