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C6DF3" w14:paraId="5EA5E658" w14:textId="77777777" w:rsidTr="0010095E">
        <w:trPr>
          <w:trHeight w:hRule="exact" w:val="1418"/>
        </w:trPr>
        <w:tc>
          <w:tcPr>
            <w:tcW w:w="6804" w:type="dxa"/>
            <w:shd w:val="clear" w:color="auto" w:fill="auto"/>
            <w:vAlign w:val="center"/>
          </w:tcPr>
          <w:p w14:paraId="24A0751C" w14:textId="77777777" w:rsidR="00751A4A" w:rsidRPr="006C6DF3" w:rsidRDefault="006B5C6F" w:rsidP="0010095E">
            <w:pPr>
              <w:pStyle w:val="EPName"/>
            </w:pPr>
            <w:r w:rsidRPr="006C6DF3">
              <w:t>Parlament Europejski</w:t>
            </w:r>
          </w:p>
          <w:p w14:paraId="3AB97A6E" w14:textId="77777777" w:rsidR="00751A4A" w:rsidRPr="006C6DF3" w:rsidRDefault="005F1B17" w:rsidP="005F1B17">
            <w:pPr>
              <w:pStyle w:val="EPTerm"/>
              <w:rPr>
                <w:rStyle w:val="HideTWBExt"/>
                <w:noProof w:val="0"/>
                <w:vanish w:val="0"/>
                <w:color w:val="auto"/>
              </w:rPr>
            </w:pPr>
            <w:r w:rsidRPr="006C6DF3">
              <w:t>2024</w:t>
            </w:r>
            <w:r w:rsidR="00817416" w:rsidRPr="006C6DF3">
              <w:t>-202</w:t>
            </w:r>
            <w:r w:rsidRPr="006C6DF3">
              <w:t>9</w:t>
            </w:r>
          </w:p>
        </w:tc>
        <w:tc>
          <w:tcPr>
            <w:tcW w:w="2268" w:type="dxa"/>
            <w:shd w:val="clear" w:color="auto" w:fill="auto"/>
          </w:tcPr>
          <w:p w14:paraId="789A9DD5" w14:textId="77777777" w:rsidR="00751A4A" w:rsidRPr="006C6DF3" w:rsidRDefault="00187494" w:rsidP="0010095E">
            <w:pPr>
              <w:pStyle w:val="EPLogo"/>
            </w:pPr>
            <w:r w:rsidRPr="006C6DF3">
              <w:rPr>
                <w:noProof/>
                <w:lang w:eastAsia="ja-JP"/>
              </w:rPr>
              <w:drawing>
                <wp:inline distT="0" distB="0" distL="0" distR="0" wp14:anchorId="6DEF87D3" wp14:editId="193AAA4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D82A273" w14:textId="77777777" w:rsidR="00D058B8" w:rsidRPr="006C6DF3" w:rsidRDefault="00D058B8" w:rsidP="004C5D52">
      <w:pPr>
        <w:pStyle w:val="LineTop"/>
      </w:pPr>
    </w:p>
    <w:p w14:paraId="379EDF82" w14:textId="77777777" w:rsidR="00680577" w:rsidRPr="006C6DF3" w:rsidRDefault="006B5C6F" w:rsidP="00680577">
      <w:pPr>
        <w:pStyle w:val="EPBodyTA1"/>
      </w:pPr>
      <w:r w:rsidRPr="006C6DF3">
        <w:t>TEKSTY PRZYJĘTE</w:t>
      </w:r>
    </w:p>
    <w:p w14:paraId="64F14DE0" w14:textId="77777777" w:rsidR="00D058B8" w:rsidRPr="006C6DF3" w:rsidRDefault="00D058B8" w:rsidP="00D058B8">
      <w:pPr>
        <w:pStyle w:val="LineBottom"/>
      </w:pPr>
    </w:p>
    <w:p w14:paraId="18456770" w14:textId="1F90B4C7" w:rsidR="006B5C6F" w:rsidRPr="006C6DF3" w:rsidRDefault="006B5C6F" w:rsidP="006B5C6F">
      <w:pPr>
        <w:pStyle w:val="ATHeading1"/>
      </w:pPr>
      <w:bookmarkStart w:id="0" w:name="TANumber"/>
      <w:r w:rsidRPr="006C6DF3">
        <w:t>P10_TA(2025)0</w:t>
      </w:r>
      <w:bookmarkEnd w:id="0"/>
      <w:r w:rsidR="00A536D0">
        <w:t>297</w:t>
      </w:r>
    </w:p>
    <w:p w14:paraId="399DFE18" w14:textId="0D308DB9" w:rsidR="006B5C6F" w:rsidRPr="008A5097" w:rsidRDefault="008A5097" w:rsidP="006B5C6F">
      <w:pPr>
        <w:pStyle w:val="ATHeading2"/>
      </w:pPr>
      <w:r w:rsidRPr="008A5097">
        <w:t>Zbieranie informacji statystycznych przez Europejski Bank Centralny</w:t>
      </w:r>
    </w:p>
    <w:p w14:paraId="7D29A05A" w14:textId="77777777" w:rsidR="006B5C6F" w:rsidRPr="006C6DF3" w:rsidRDefault="006B5C6F" w:rsidP="006B5C6F">
      <w:pPr>
        <w:rPr>
          <w:i/>
          <w:vanish/>
        </w:rPr>
      </w:pPr>
      <w:r w:rsidRPr="006C6DF3">
        <w:rPr>
          <w:i/>
        </w:rPr>
        <w:fldChar w:fldCharType="begin"/>
      </w:r>
      <w:r w:rsidRPr="006C6DF3">
        <w:rPr>
          <w:i/>
        </w:rPr>
        <w:instrText xml:space="preserve"> TC"(</w:instrText>
      </w:r>
      <w:bookmarkStart w:id="1" w:name="DocNumber"/>
      <w:r w:rsidRPr="006C6DF3">
        <w:rPr>
          <w:i/>
        </w:rPr>
        <w:instrText>A10-0222/2025</w:instrText>
      </w:r>
      <w:bookmarkEnd w:id="1"/>
      <w:r w:rsidRPr="006C6DF3">
        <w:rPr>
          <w:i/>
        </w:rPr>
        <w:instrText xml:space="preserve"> - Sprawozdawca: </w:instrText>
      </w:r>
      <w:proofErr w:type="spellStart"/>
      <w:r w:rsidRPr="006C6DF3">
        <w:rPr>
          <w:i/>
        </w:rPr>
        <w:instrText>Aurore</w:instrText>
      </w:r>
      <w:proofErr w:type="spellEnd"/>
      <w:r w:rsidRPr="006C6DF3">
        <w:rPr>
          <w:i/>
        </w:rPr>
        <w:instrText xml:space="preserve"> </w:instrText>
      </w:r>
      <w:proofErr w:type="spellStart"/>
      <w:r w:rsidRPr="006C6DF3">
        <w:rPr>
          <w:i/>
        </w:rPr>
        <w:instrText>Lalucq</w:instrText>
      </w:r>
      <w:proofErr w:type="spellEnd"/>
      <w:r w:rsidRPr="006C6DF3">
        <w:rPr>
          <w:i/>
        </w:rPr>
        <w:instrText xml:space="preserve">)"\l3 \n&gt; \* MERGEFORMAT </w:instrText>
      </w:r>
      <w:r w:rsidRPr="006C6DF3">
        <w:rPr>
          <w:i/>
        </w:rPr>
        <w:fldChar w:fldCharType="end"/>
      </w:r>
    </w:p>
    <w:p w14:paraId="40F9A165" w14:textId="77777777" w:rsidR="006B5C6F" w:rsidRPr="006C6DF3" w:rsidRDefault="006B5C6F" w:rsidP="006B5C6F">
      <w:pPr>
        <w:rPr>
          <w:vanish/>
        </w:rPr>
      </w:pPr>
      <w:bookmarkStart w:id="2" w:name="Commission"/>
      <w:r w:rsidRPr="006C6DF3">
        <w:rPr>
          <w:vanish/>
        </w:rPr>
        <w:t>Komisja Gospodarcza i Monetarna</w:t>
      </w:r>
      <w:bookmarkEnd w:id="2"/>
    </w:p>
    <w:p w14:paraId="43B16D8B" w14:textId="77777777" w:rsidR="006B5C6F" w:rsidRPr="006C6DF3" w:rsidRDefault="006B5C6F" w:rsidP="006B5C6F">
      <w:pPr>
        <w:rPr>
          <w:vanish/>
        </w:rPr>
      </w:pPr>
      <w:bookmarkStart w:id="3" w:name="PE"/>
      <w:r w:rsidRPr="006C6DF3">
        <w:rPr>
          <w:vanish/>
        </w:rPr>
        <w:t>PE777.060</w:t>
      </w:r>
      <w:bookmarkEnd w:id="3"/>
    </w:p>
    <w:p w14:paraId="08C43CC6" w14:textId="0E1A4EF2" w:rsidR="006B5C6F" w:rsidRPr="006C6DF3" w:rsidRDefault="006B5C6F" w:rsidP="006B5C6F">
      <w:pPr>
        <w:pStyle w:val="ATHeading3"/>
      </w:pPr>
      <w:bookmarkStart w:id="4" w:name="Sujet"/>
      <w:r w:rsidRPr="006C6DF3">
        <w:t xml:space="preserve">Rezolucja ustawodawcza Parlamentu Europejskiego z dnia </w:t>
      </w:r>
      <w:r w:rsidR="008A5097">
        <w:t>26 listopada</w:t>
      </w:r>
      <w:r w:rsidRPr="006C6DF3">
        <w:t xml:space="preserve"> 2025 r. w sprawie projektu rozporządzenia Rady zmieniającego rozporządzenie (WE) nr 2533/98 dotyczące zbierania informacji statystycznych przez Europejski Bank Centralny</w:t>
      </w:r>
      <w:bookmarkEnd w:id="4"/>
      <w:r w:rsidRPr="006C6DF3">
        <w:t xml:space="preserve"> </w:t>
      </w:r>
      <w:bookmarkStart w:id="5" w:name="References"/>
      <w:r w:rsidRPr="006C6DF3">
        <w:t>(09737/2025 – C10-0118/2025 – 2025/0806(CNS))</w:t>
      </w:r>
      <w:bookmarkEnd w:id="5"/>
    </w:p>
    <w:p w14:paraId="39678EA5" w14:textId="35ACBFEC" w:rsidR="00DC33C4" w:rsidRPr="006C6DF3" w:rsidRDefault="00DC33C4" w:rsidP="00DC33C4">
      <w:pPr>
        <w:pStyle w:val="NormalBold"/>
      </w:pPr>
      <w:r w:rsidRPr="006C6DF3">
        <w:t>(</w:t>
      </w:r>
      <w:r w:rsidR="008A5097">
        <w:t>K</w:t>
      </w:r>
      <w:r w:rsidRPr="006C6DF3">
        <w:t>onsultacja)</w:t>
      </w:r>
    </w:p>
    <w:p w14:paraId="54D820B7" w14:textId="77777777" w:rsidR="00DC33C4" w:rsidRPr="006C6DF3" w:rsidRDefault="00DC33C4" w:rsidP="00DC33C4">
      <w:pPr>
        <w:pStyle w:val="EPComma"/>
      </w:pPr>
      <w:r w:rsidRPr="006C6DF3">
        <w:rPr>
          <w:i/>
        </w:rPr>
        <w:t>Parlament Europejski</w:t>
      </w:r>
      <w:r w:rsidRPr="006C6DF3">
        <w:t>,</w:t>
      </w:r>
    </w:p>
    <w:p w14:paraId="026BDEFB" w14:textId="77777777" w:rsidR="00DC33C4" w:rsidRPr="006C6DF3" w:rsidRDefault="00DC33C4" w:rsidP="00DC33C4">
      <w:pPr>
        <w:pStyle w:val="NormalHanging12a"/>
      </w:pPr>
      <w:r w:rsidRPr="006C6DF3">
        <w:t>–</w:t>
      </w:r>
      <w:r w:rsidRPr="006C6DF3">
        <w:tab/>
        <w:t>uwzględniając zalecenie Europejskiego Banku Centralnego (09737/2025 – EBC/2025/17),</w:t>
      </w:r>
    </w:p>
    <w:p w14:paraId="7F55F622" w14:textId="77777777" w:rsidR="00DC33C4" w:rsidRPr="006C6DF3" w:rsidRDefault="00DC33C4" w:rsidP="00DC33C4">
      <w:pPr>
        <w:pStyle w:val="NormalHanging12a"/>
      </w:pPr>
      <w:r w:rsidRPr="006C6DF3">
        <w:t>–</w:t>
      </w:r>
      <w:r w:rsidRPr="006C6DF3">
        <w:tab/>
        <w:t>uwzględniając art. 129 ust. 4 Traktatu o funkcjonowaniu Unii Europejskiej oraz art. 5.4 i art. 41 Statutu Europejskiego Systemu Banków Centralnych i Europejskiego Banku Centralnego, zgodnie z którymi Rada skonsultowała się z Parlamentem (C10</w:t>
      </w:r>
      <w:r w:rsidRPr="006C6DF3">
        <w:noBreakHyphen/>
        <w:t>0118/2025),</w:t>
      </w:r>
    </w:p>
    <w:p w14:paraId="1FD063FA" w14:textId="77777777" w:rsidR="00DC33C4" w:rsidRPr="006C6DF3" w:rsidRDefault="00DC33C4" w:rsidP="00DC33C4">
      <w:pPr>
        <w:pStyle w:val="NormalHanging12a"/>
      </w:pPr>
      <w:r w:rsidRPr="006C6DF3">
        <w:t>–</w:t>
      </w:r>
      <w:r w:rsidRPr="006C6DF3">
        <w:tab/>
        <w:t>uwzględniając art. 84 Regulaminu,</w:t>
      </w:r>
    </w:p>
    <w:p w14:paraId="18982E56" w14:textId="77777777" w:rsidR="00DC33C4" w:rsidRPr="006C6DF3" w:rsidRDefault="00DC33C4" w:rsidP="00DC33C4">
      <w:pPr>
        <w:pStyle w:val="NormalHanging12a"/>
      </w:pPr>
      <w:r w:rsidRPr="006C6DF3">
        <w:t>–</w:t>
      </w:r>
      <w:r w:rsidRPr="006C6DF3">
        <w:tab/>
        <w:t>uwzględniając sprawozdanie Komisji Gospodarczej i Monetarnej (A10-0222/2025),</w:t>
      </w:r>
    </w:p>
    <w:p w14:paraId="21365BC8" w14:textId="77777777" w:rsidR="00DC33C4" w:rsidRPr="006C6DF3" w:rsidRDefault="00DC33C4" w:rsidP="00DC33C4">
      <w:pPr>
        <w:pStyle w:val="NormalHanging12a"/>
      </w:pPr>
      <w:r w:rsidRPr="006C6DF3">
        <w:t>1.</w:t>
      </w:r>
      <w:r w:rsidRPr="006C6DF3">
        <w:tab/>
        <w:t>zatwierdza po poprawkach projekt przedstawiony w zaleceniu Europejskiego Banku Centralnego;</w:t>
      </w:r>
    </w:p>
    <w:p w14:paraId="3D6BC686" w14:textId="77777777" w:rsidR="00DC33C4" w:rsidRPr="006C6DF3" w:rsidRDefault="00DC33C4" w:rsidP="00DC33C4">
      <w:pPr>
        <w:pStyle w:val="NormalHanging12a"/>
      </w:pPr>
      <w:r w:rsidRPr="006C6DF3">
        <w:t>2.</w:t>
      </w:r>
      <w:r w:rsidRPr="006C6DF3">
        <w:tab/>
        <w:t>zwraca się do Rady o poinformowanie go, jeśli uzna ona za stosowne odejście od tekstu przyjętego przez Parlament;</w:t>
      </w:r>
    </w:p>
    <w:p w14:paraId="6AABC55D" w14:textId="77777777" w:rsidR="00DC33C4" w:rsidRPr="006C6DF3" w:rsidRDefault="00DC33C4" w:rsidP="00DC33C4">
      <w:pPr>
        <w:pStyle w:val="NormalHanging12a"/>
      </w:pPr>
      <w:r w:rsidRPr="006C6DF3">
        <w:t>3.</w:t>
      </w:r>
      <w:r w:rsidRPr="006C6DF3">
        <w:tab/>
        <w:t>zwraca się do Rady o ponowne skonsultowanie się z Parlamentem w przypadku uznania za stosowne wprowadzenia znaczących zmian do projektu przedstawionego w zaleceniu Europejskiego Banku Centralnego;</w:t>
      </w:r>
    </w:p>
    <w:p w14:paraId="5ABF73F3" w14:textId="3F4B7E07" w:rsidR="00DC33C4" w:rsidRPr="006C6DF3" w:rsidRDefault="00DC33C4" w:rsidP="00DC33C4">
      <w:pPr>
        <w:pStyle w:val="NormalHanging12a"/>
      </w:pPr>
      <w:r w:rsidRPr="006C6DF3">
        <w:t>4.</w:t>
      </w:r>
      <w:r w:rsidRPr="006C6DF3">
        <w:tab/>
        <w:t>zobowiązuje swoją przewodniczącą do przekazania stanowiska Parlamentu Radzie</w:t>
      </w:r>
      <w:r w:rsidR="005352F0">
        <w:t xml:space="preserve">, </w:t>
      </w:r>
      <w:r w:rsidR="005352F0" w:rsidRPr="006C6DF3">
        <w:t>Europejskie</w:t>
      </w:r>
      <w:r w:rsidR="005352F0">
        <w:t>mu</w:t>
      </w:r>
      <w:r w:rsidR="005352F0" w:rsidRPr="006C6DF3">
        <w:t xml:space="preserve"> Bank</w:t>
      </w:r>
      <w:r w:rsidR="005352F0">
        <w:t>owi</w:t>
      </w:r>
      <w:r w:rsidR="005352F0" w:rsidRPr="006C6DF3">
        <w:t xml:space="preserve"> Centralne</w:t>
      </w:r>
      <w:r w:rsidR="005352F0">
        <w:t>mu</w:t>
      </w:r>
      <w:r w:rsidRPr="006C6DF3">
        <w:t xml:space="preserve"> i Komisji.</w:t>
      </w:r>
    </w:p>
    <w:p w14:paraId="7DD01215" w14:textId="77777777" w:rsidR="00DC33C4" w:rsidRPr="006C6DF3" w:rsidRDefault="00DC33C4" w:rsidP="00DC33C4">
      <w:pPr>
        <w:widowControl/>
      </w:pPr>
    </w:p>
    <w:p w14:paraId="3252A38B" w14:textId="77777777" w:rsidR="00DC33C4" w:rsidRPr="006C6DF3" w:rsidRDefault="00DC33C4" w:rsidP="00DC33C4">
      <w:pPr>
        <w:pStyle w:val="AmNumberTabs"/>
        <w:keepNext/>
      </w:pPr>
      <w:r w:rsidRPr="006C6DF3">
        <w:lastRenderedPageBreak/>
        <w:t>Poprawka</w:t>
      </w:r>
      <w:r w:rsidRPr="006C6DF3">
        <w:tab/>
      </w:r>
      <w:r w:rsidRPr="006C6DF3">
        <w:tab/>
        <w:t>1</w:t>
      </w:r>
    </w:p>
    <w:p w14:paraId="2758E556" w14:textId="77777777" w:rsidR="00DC33C4" w:rsidRPr="006C6DF3" w:rsidRDefault="00DC33C4" w:rsidP="00DC33C4">
      <w:pPr>
        <w:pStyle w:val="NormalBold12b"/>
        <w:keepNext/>
      </w:pPr>
      <w:r w:rsidRPr="006C6DF3">
        <w:t>Projekt rozporządzenia</w:t>
      </w:r>
    </w:p>
    <w:p w14:paraId="1862E5EB" w14:textId="77777777" w:rsidR="00DC33C4" w:rsidRPr="006C6DF3" w:rsidRDefault="00DC33C4" w:rsidP="00DC33C4">
      <w:pPr>
        <w:pStyle w:val="NormalBold"/>
        <w:keepNext/>
      </w:pPr>
      <w:r w:rsidRPr="006C6DF3">
        <w:t>Motyw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C33C4" w:rsidRPr="006C6DF3" w14:paraId="1BF6E648" w14:textId="77777777" w:rsidTr="006A73A0">
        <w:trPr>
          <w:jc w:val="center"/>
        </w:trPr>
        <w:tc>
          <w:tcPr>
            <w:tcW w:w="9752" w:type="dxa"/>
            <w:gridSpan w:val="2"/>
          </w:tcPr>
          <w:p w14:paraId="251B1B66" w14:textId="77777777" w:rsidR="00DC33C4" w:rsidRPr="006C6DF3" w:rsidRDefault="00DC33C4" w:rsidP="006A73A0">
            <w:pPr>
              <w:keepNext/>
            </w:pPr>
          </w:p>
        </w:tc>
      </w:tr>
      <w:tr w:rsidR="00DC33C4" w:rsidRPr="006C6DF3" w14:paraId="6B854DA4" w14:textId="77777777" w:rsidTr="006A73A0">
        <w:trPr>
          <w:jc w:val="center"/>
        </w:trPr>
        <w:tc>
          <w:tcPr>
            <w:tcW w:w="4876" w:type="dxa"/>
          </w:tcPr>
          <w:p w14:paraId="69ED23E8" w14:textId="77777777" w:rsidR="00DC33C4" w:rsidRPr="006C6DF3" w:rsidRDefault="00DC33C4" w:rsidP="006A73A0">
            <w:pPr>
              <w:pStyle w:val="AmColumnHeading"/>
              <w:keepNext/>
            </w:pPr>
            <w:r w:rsidRPr="006C6DF3">
              <w:t>Projekt Europejskiego Banku Centralnego</w:t>
            </w:r>
          </w:p>
        </w:tc>
        <w:tc>
          <w:tcPr>
            <w:tcW w:w="4876" w:type="dxa"/>
          </w:tcPr>
          <w:p w14:paraId="49876D9F" w14:textId="77777777" w:rsidR="00DC33C4" w:rsidRPr="006C6DF3" w:rsidRDefault="00DC33C4" w:rsidP="006A73A0">
            <w:pPr>
              <w:pStyle w:val="AmColumnHeading"/>
              <w:keepNext/>
            </w:pPr>
            <w:r w:rsidRPr="006C6DF3">
              <w:t>Poprawka</w:t>
            </w:r>
          </w:p>
        </w:tc>
      </w:tr>
      <w:tr w:rsidR="00DC33C4" w:rsidRPr="006C6DF3" w14:paraId="2DE35FBF" w14:textId="77777777" w:rsidTr="006A73A0">
        <w:trPr>
          <w:jc w:val="center"/>
        </w:trPr>
        <w:tc>
          <w:tcPr>
            <w:tcW w:w="4876" w:type="dxa"/>
          </w:tcPr>
          <w:p w14:paraId="74008775" w14:textId="77777777" w:rsidR="00DC33C4" w:rsidRPr="006C6DF3" w:rsidRDefault="00DC33C4" w:rsidP="006A73A0">
            <w:pPr>
              <w:pStyle w:val="Normal6a"/>
            </w:pPr>
            <w:r w:rsidRPr="006C6DF3">
              <w:t>(1)</w:t>
            </w:r>
            <w:r w:rsidRPr="006C6DF3">
              <w:tab/>
              <w:t>Rozporządzenie Rady (WE) nr 2533/98</w:t>
            </w:r>
            <w:r w:rsidRPr="006C6DF3">
              <w:rPr>
                <w:vertAlign w:val="superscript"/>
              </w:rPr>
              <w:t>1</w:t>
            </w:r>
            <w:r w:rsidRPr="006C6DF3">
              <w:t xml:space="preserve"> jest kluczowym elementem ram prawnych wspierających wykonywanie przez Europejski Bank Centralny (EBC) zadań w zakresie zbierania informacji statystycznych przy wsparciu krajowych banków centralnych. </w:t>
            </w:r>
            <w:r w:rsidRPr="006C6DF3">
              <w:rPr>
                <w:b/>
                <w:i/>
              </w:rPr>
              <w:t>Rozporządzenie to stanowi dla</w:t>
            </w:r>
            <w:r w:rsidRPr="006C6DF3">
              <w:t xml:space="preserve"> EBC </w:t>
            </w:r>
            <w:r w:rsidRPr="006C6DF3">
              <w:rPr>
                <w:b/>
                <w:i/>
              </w:rPr>
              <w:t>podstawę prowadzenia</w:t>
            </w:r>
            <w:r w:rsidRPr="006C6DF3">
              <w:t xml:space="preserve"> i </w:t>
            </w:r>
            <w:r w:rsidRPr="006C6DF3">
              <w:rPr>
                <w:b/>
                <w:i/>
              </w:rPr>
              <w:t>monitorowania skoordynowanego zbierania informacji statystycznych niezbędnych do realizacji zadań Europejskiego Systemu Banków Centralnych (ESBC)</w:t>
            </w:r>
            <w:r w:rsidRPr="006C6DF3">
              <w:t>.</w:t>
            </w:r>
          </w:p>
        </w:tc>
        <w:tc>
          <w:tcPr>
            <w:tcW w:w="4876" w:type="dxa"/>
          </w:tcPr>
          <w:p w14:paraId="53598F82" w14:textId="77777777" w:rsidR="00DC33C4" w:rsidRPr="006C6DF3" w:rsidRDefault="00DC33C4" w:rsidP="006A73A0">
            <w:pPr>
              <w:pStyle w:val="Normal6a"/>
              <w:rPr>
                <w:szCs w:val="24"/>
              </w:rPr>
            </w:pPr>
            <w:r w:rsidRPr="006C6DF3">
              <w:t>(1)</w:t>
            </w:r>
            <w:r w:rsidRPr="006C6DF3">
              <w:tab/>
              <w:t>Rozporządzenie Rady (WE) nr 2533/98</w:t>
            </w:r>
            <w:r w:rsidRPr="006C6DF3">
              <w:rPr>
                <w:vertAlign w:val="superscript"/>
              </w:rPr>
              <w:t>1</w:t>
            </w:r>
            <w:r w:rsidRPr="006C6DF3">
              <w:t xml:space="preserve"> jest kluczowym elementem ram prawnych wspierających wykonywanie przez Europejski Bank Centralny (EBC) zadań w zakresie zbierania informacji statystycznych przy wsparciu krajowych banków centralnych. </w:t>
            </w:r>
            <w:r w:rsidRPr="006C6DF3">
              <w:rPr>
                <w:b/>
                <w:i/>
              </w:rPr>
              <w:t>Prowadząc i monitorując skoordynowane zbieranie niezbędnych informacji statystycznych,</w:t>
            </w:r>
            <w:r w:rsidRPr="006C6DF3">
              <w:t xml:space="preserve"> EBC </w:t>
            </w:r>
            <w:r w:rsidRPr="006C6DF3">
              <w:rPr>
                <w:b/>
                <w:i/>
              </w:rPr>
              <w:t>konsekwentnie posiłkował się tym rozporządzeniem, aby skuteczniej realizować swoje cele</w:t>
            </w:r>
            <w:r w:rsidRPr="006C6DF3">
              <w:t xml:space="preserve"> i </w:t>
            </w:r>
            <w:r w:rsidRPr="006C6DF3">
              <w:rPr>
                <w:b/>
                <w:i/>
              </w:rPr>
              <w:t>zadania, jak określono w art. 2 Statutu, oraz lepiej reagować na pilne i przyszłe wyzwania</w:t>
            </w:r>
            <w:r w:rsidRPr="006C6DF3">
              <w:t>.</w:t>
            </w:r>
          </w:p>
        </w:tc>
      </w:tr>
      <w:tr w:rsidR="00DC33C4" w:rsidRPr="006C6DF3" w14:paraId="1020EC02" w14:textId="77777777" w:rsidTr="006A73A0">
        <w:trPr>
          <w:jc w:val="center"/>
        </w:trPr>
        <w:tc>
          <w:tcPr>
            <w:tcW w:w="4876" w:type="dxa"/>
          </w:tcPr>
          <w:p w14:paraId="06DCDCFC" w14:textId="77777777" w:rsidR="00DC33C4" w:rsidRPr="006C6DF3" w:rsidRDefault="00DC33C4" w:rsidP="006A73A0">
            <w:pPr>
              <w:pStyle w:val="Normal6a"/>
            </w:pPr>
            <w:r w:rsidRPr="006C6DF3">
              <w:t>__________________</w:t>
            </w:r>
          </w:p>
        </w:tc>
        <w:tc>
          <w:tcPr>
            <w:tcW w:w="4876" w:type="dxa"/>
          </w:tcPr>
          <w:p w14:paraId="621664AB" w14:textId="77777777" w:rsidR="00DC33C4" w:rsidRPr="006C6DF3" w:rsidRDefault="00DC33C4" w:rsidP="006A73A0">
            <w:pPr>
              <w:pStyle w:val="Normal6a"/>
            </w:pPr>
            <w:r w:rsidRPr="006C6DF3">
              <w:t>__________________</w:t>
            </w:r>
          </w:p>
        </w:tc>
      </w:tr>
      <w:tr w:rsidR="00DC33C4" w:rsidRPr="006C6DF3" w14:paraId="3C0512B7" w14:textId="77777777" w:rsidTr="006A73A0">
        <w:trPr>
          <w:jc w:val="center"/>
        </w:trPr>
        <w:tc>
          <w:tcPr>
            <w:tcW w:w="4876" w:type="dxa"/>
          </w:tcPr>
          <w:p w14:paraId="5A0AD42E" w14:textId="77777777" w:rsidR="00DC33C4" w:rsidRPr="006C6DF3" w:rsidRDefault="00DC33C4" w:rsidP="006A73A0">
            <w:pPr>
              <w:pStyle w:val="Normal6a"/>
            </w:pPr>
            <w:r w:rsidRPr="006C6DF3">
              <w:rPr>
                <w:vertAlign w:val="superscript"/>
              </w:rPr>
              <w:t>1</w:t>
            </w:r>
            <w:r w:rsidRPr="006C6DF3">
              <w:t xml:space="preserve"> Rozporządzenie Rady (WE) nr 2533/98 z dnia 23 listopada 1998 r. dotyczące zbierania informacji statystycznych przez Europejski Bank Centralny (Dz.U. L 318 z 27.11.1998, s. 8, ELI:  http://data.europa.eu/eli/reg/1998/2533/oj).</w:t>
            </w:r>
          </w:p>
        </w:tc>
        <w:tc>
          <w:tcPr>
            <w:tcW w:w="4876" w:type="dxa"/>
          </w:tcPr>
          <w:p w14:paraId="6C7ABF2D" w14:textId="77777777" w:rsidR="00DC33C4" w:rsidRPr="006C6DF3" w:rsidRDefault="00DC33C4" w:rsidP="006A73A0">
            <w:pPr>
              <w:pStyle w:val="Normal6a"/>
            </w:pPr>
            <w:r w:rsidRPr="006C6DF3">
              <w:rPr>
                <w:vertAlign w:val="superscript"/>
              </w:rPr>
              <w:t>1</w:t>
            </w:r>
            <w:r w:rsidRPr="006C6DF3">
              <w:t xml:space="preserve"> Rozporządzenie Rady (WE) nr 2533/98 z dnia 23 listopada 1998 r. dotyczące zbierania informacji statystycznych przez Europejski Bank Centralny (Dz.U. L 318 z 27.11.1998, s. 8, ELI: http://data.europa.eu/eli/reg/1998/2533/oj).</w:t>
            </w:r>
          </w:p>
        </w:tc>
      </w:tr>
    </w:tbl>
    <w:p w14:paraId="29ABC994" w14:textId="77777777" w:rsidR="00DC33C4" w:rsidRPr="006C6DF3" w:rsidRDefault="00DC33C4" w:rsidP="00DC33C4"/>
    <w:p w14:paraId="3E60F71A" w14:textId="77777777" w:rsidR="00DC33C4" w:rsidRPr="006C6DF3" w:rsidRDefault="00DC33C4" w:rsidP="00DC33C4">
      <w:pPr>
        <w:pStyle w:val="AmNumberTabs"/>
        <w:keepNext/>
      </w:pPr>
      <w:r w:rsidRPr="006C6DF3">
        <w:t>Poprawka</w:t>
      </w:r>
      <w:r w:rsidRPr="006C6DF3">
        <w:tab/>
      </w:r>
      <w:r w:rsidRPr="006C6DF3">
        <w:tab/>
        <w:t>2</w:t>
      </w:r>
    </w:p>
    <w:p w14:paraId="28F46D19" w14:textId="77777777" w:rsidR="00DC33C4" w:rsidRPr="006C6DF3" w:rsidRDefault="00DC33C4" w:rsidP="00DC33C4">
      <w:pPr>
        <w:pStyle w:val="NormalBold12b"/>
        <w:keepNext/>
      </w:pPr>
      <w:r w:rsidRPr="006C6DF3">
        <w:t>Projekt rozporządzenia</w:t>
      </w:r>
    </w:p>
    <w:p w14:paraId="440A2AF4" w14:textId="77777777" w:rsidR="00DC33C4" w:rsidRPr="006C6DF3" w:rsidRDefault="00DC33C4" w:rsidP="00DC33C4">
      <w:pPr>
        <w:pStyle w:val="NormalBold"/>
        <w:keepNext/>
      </w:pPr>
      <w:r w:rsidRPr="006C6DF3">
        <w:t>Motyw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C33C4" w:rsidRPr="006C6DF3" w14:paraId="14308358" w14:textId="77777777" w:rsidTr="006A73A0">
        <w:trPr>
          <w:jc w:val="center"/>
        </w:trPr>
        <w:tc>
          <w:tcPr>
            <w:tcW w:w="9752" w:type="dxa"/>
            <w:gridSpan w:val="2"/>
          </w:tcPr>
          <w:p w14:paraId="551EA86F" w14:textId="77777777" w:rsidR="00DC33C4" w:rsidRPr="006C6DF3" w:rsidRDefault="00DC33C4" w:rsidP="006A73A0">
            <w:pPr>
              <w:keepNext/>
            </w:pPr>
          </w:p>
        </w:tc>
      </w:tr>
      <w:tr w:rsidR="00DC33C4" w:rsidRPr="006C6DF3" w14:paraId="64B72E30" w14:textId="77777777" w:rsidTr="006A73A0">
        <w:trPr>
          <w:jc w:val="center"/>
        </w:trPr>
        <w:tc>
          <w:tcPr>
            <w:tcW w:w="4876" w:type="dxa"/>
          </w:tcPr>
          <w:p w14:paraId="242B725B" w14:textId="77777777" w:rsidR="00DC33C4" w:rsidRPr="006C6DF3" w:rsidRDefault="00DC33C4" w:rsidP="006A73A0">
            <w:pPr>
              <w:pStyle w:val="AmColumnHeading"/>
              <w:keepNext/>
            </w:pPr>
            <w:r w:rsidRPr="006C6DF3">
              <w:t>Projekt Europejskiego Banku Centralnego</w:t>
            </w:r>
          </w:p>
        </w:tc>
        <w:tc>
          <w:tcPr>
            <w:tcW w:w="4876" w:type="dxa"/>
          </w:tcPr>
          <w:p w14:paraId="31CEC70E" w14:textId="77777777" w:rsidR="00DC33C4" w:rsidRPr="006C6DF3" w:rsidRDefault="00DC33C4" w:rsidP="006A73A0">
            <w:pPr>
              <w:pStyle w:val="AmColumnHeading"/>
              <w:keepNext/>
            </w:pPr>
            <w:r w:rsidRPr="006C6DF3">
              <w:t>Poprawka</w:t>
            </w:r>
          </w:p>
        </w:tc>
      </w:tr>
      <w:tr w:rsidR="00DC33C4" w:rsidRPr="006C6DF3" w14:paraId="67DFCEA5" w14:textId="77777777" w:rsidTr="006A73A0">
        <w:trPr>
          <w:jc w:val="center"/>
        </w:trPr>
        <w:tc>
          <w:tcPr>
            <w:tcW w:w="4876" w:type="dxa"/>
          </w:tcPr>
          <w:p w14:paraId="6273D9ED" w14:textId="77777777" w:rsidR="00DC33C4" w:rsidRPr="006C6DF3" w:rsidRDefault="00DC33C4" w:rsidP="006A73A0">
            <w:pPr>
              <w:pStyle w:val="Normal6a"/>
            </w:pPr>
            <w:r w:rsidRPr="006C6DF3">
              <w:t>(3)</w:t>
            </w:r>
            <w:r w:rsidRPr="006C6DF3">
              <w:tab/>
              <w:t>Transformacja cyfrowa wprowadziła radykalne nowe możliwości włączenia technologii cyfrowych nie tylko do przedsiębiorstw, ale również do świadczenia usług publicznych. W ten sposób powstało niespotykane wcześniej otoczenie, w którym pojawiły się nowe potrzeby w zakresie statystyki dla realizacji zadań ESBC oraz nowe możliwości skuteczniejszego gromadzenia danych szczegółowych. Ponadto ostatnie wydarzenia gospodarcze i finansowe, takie jak kryzys klimatyczny, pandemia COVID-</w:t>
            </w:r>
            <w:r w:rsidRPr="006C6DF3">
              <w:lastRenderedPageBreak/>
              <w:t>19 oraz kryzys energetyczny i kryzys kosztów utrzymania wywołany rosyjską napaścią na Ukrainę, zwiększyły wymagania i oczekiwania dotyczące bardziej aktualnych, częstszych i bardziej szczegółowych statystyk niezbędnych do wsparcia realizacji zadań ESBC. Jednocześnie ważne jest, aby zrównoważyć te wymagania i oczekiwania z potrzebą ograniczenia do minimum obciążeń nakładanych na nowe podmioty sprawozdające, biorąc pod uwagę, że konkurencyjność i wydajność stanowią podstawowe warunki rozwoju przedsiębiorstw. Z tego powodu ważne jest dostosowanie ram prawnych w celu wsparcia zasady jednorazowości w odniesieniu do sprawozdawczości statystycznej i regulacyjnej wszędzie tam, gdzie to możliwe, aby podmioty sprawozdające nie musiały przekazywać tych samych danych więcej niż jeden raz. Dostosowania te powinny uwzględniać niezależność EBC oraz zasady statystyczne ustanowione w rozporządzeniu (WE) nr 2533/98.</w:t>
            </w:r>
          </w:p>
        </w:tc>
        <w:tc>
          <w:tcPr>
            <w:tcW w:w="4876" w:type="dxa"/>
          </w:tcPr>
          <w:p w14:paraId="117C47EB" w14:textId="77777777" w:rsidR="00DC33C4" w:rsidRPr="006C6DF3" w:rsidRDefault="00DC33C4" w:rsidP="006A73A0">
            <w:pPr>
              <w:pStyle w:val="Normal6a"/>
              <w:rPr>
                <w:szCs w:val="24"/>
              </w:rPr>
            </w:pPr>
            <w:r w:rsidRPr="006C6DF3">
              <w:lastRenderedPageBreak/>
              <w:t>(3)</w:t>
            </w:r>
            <w:r w:rsidRPr="006C6DF3">
              <w:tab/>
              <w:t>Transformacja cyfrowa wprowadziła radykalne nowe możliwości włączenia technologii cyfrowych nie tylko do przedsiębiorstw, ale również do świadczenia usług publicznych. W ten sposób powstało niespotykane wcześniej otoczenie, w którym pojawiły się nowe potrzeby w zakresie statystyki dla realizacji zadań ESBC oraz nowe możliwości skuteczniejszego gromadzenia danych szczegółowych. Ponadto ostatnie wydarzenia gospodarcze i finansowe, takie jak kryzys klimatyczny, pandemia COVID-</w:t>
            </w:r>
            <w:r w:rsidRPr="006C6DF3">
              <w:lastRenderedPageBreak/>
              <w:t xml:space="preserve">19 oraz kryzys energetyczny i kryzys kosztów utrzymania wywołany rosyjską napaścią na Ukrainę, zwiększyły wymagania i oczekiwania dotyczące bardziej aktualnych, częstszych i bardziej szczegółowych statystyk niezbędnych do wsparcia realizacji zadań ESBC. Jednocześnie ważne jest, aby zrównoważyć te wymagania i oczekiwania z potrzebą ograniczenia do minimum obciążeń nakładanych na podmioty sprawozdające, biorąc pod uwagę, że konkurencyjność i wydajność stanowią podstawowe warunki rozwoju przedsiębiorstw. Z tego powodu ważne jest dostosowanie ram prawnych w celu wsparcia zasady jednorazowości w odniesieniu do sprawozdawczości statystycznej i regulacyjnej wszędzie tam, gdzie to możliwe, aby podmioty sprawozdające nie musiały przekazywać tych samych danych więcej niż jeden raz. </w:t>
            </w:r>
            <w:r w:rsidRPr="006C6DF3">
              <w:rPr>
                <w:b/>
                <w:i/>
              </w:rPr>
              <w:t>W tym kontekście, biorąc pod uwagę potencjał cyfryzacji, EBC powinien dalej badać możliwość zastosowania narzędzi, które – korzystając z cyfryzacji – mogą usprawnić procesy zbierania danych i zmniejszyć obciążenie pracą dla ESBC i podmiotów sprawozdających. EBC powinien nadal oceniać możliwości i wyzwania związane z wykorzystaniem nowych technologii cyfrowych do gromadzenia informacji statystycznych oraz wydać nowe zalecenie dotyczące odpowiedniej zmiany rozporządzenia, jeżeli stwierdzi w czasie oceny, że jest to konieczne.</w:t>
            </w:r>
            <w:r w:rsidRPr="006C6DF3">
              <w:t xml:space="preserve"> Dostosowania te powinny uwzględniać niezależność EBC oraz zasady statystyczne ustanowione w rozporządzeniu (WE) nr 2533/98.</w:t>
            </w:r>
          </w:p>
        </w:tc>
      </w:tr>
    </w:tbl>
    <w:p w14:paraId="10078CB3" w14:textId="77777777" w:rsidR="00DC33C4" w:rsidRPr="006C6DF3" w:rsidRDefault="00DC33C4" w:rsidP="00DC33C4"/>
    <w:p w14:paraId="0CAD7311" w14:textId="77777777" w:rsidR="00DC33C4" w:rsidRPr="006C6DF3" w:rsidRDefault="00DC33C4" w:rsidP="00DC33C4">
      <w:pPr>
        <w:pStyle w:val="AmNumberTabs"/>
        <w:keepNext/>
      </w:pPr>
      <w:r w:rsidRPr="006C6DF3">
        <w:t>Poprawka</w:t>
      </w:r>
      <w:r w:rsidRPr="006C6DF3">
        <w:tab/>
      </w:r>
      <w:r w:rsidRPr="006C6DF3">
        <w:tab/>
        <w:t>3</w:t>
      </w:r>
    </w:p>
    <w:p w14:paraId="752403F4" w14:textId="77777777" w:rsidR="00DC33C4" w:rsidRPr="006C6DF3" w:rsidRDefault="00DC33C4" w:rsidP="00DC33C4">
      <w:pPr>
        <w:pStyle w:val="NormalBold12b"/>
        <w:keepNext/>
      </w:pPr>
      <w:r w:rsidRPr="006C6DF3">
        <w:t>Projekt rozporządzenia</w:t>
      </w:r>
    </w:p>
    <w:p w14:paraId="01B88B00" w14:textId="77777777" w:rsidR="00DC33C4" w:rsidRPr="006C6DF3" w:rsidRDefault="00DC33C4" w:rsidP="00DC33C4">
      <w:pPr>
        <w:pStyle w:val="NormalBold"/>
        <w:keepNext/>
      </w:pPr>
      <w:r w:rsidRPr="006C6DF3">
        <w:t>Motyw 3 a (nowy)</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C33C4" w:rsidRPr="006C6DF3" w14:paraId="1E034D4F" w14:textId="77777777" w:rsidTr="006A73A0">
        <w:trPr>
          <w:jc w:val="center"/>
        </w:trPr>
        <w:tc>
          <w:tcPr>
            <w:tcW w:w="9752" w:type="dxa"/>
            <w:gridSpan w:val="2"/>
          </w:tcPr>
          <w:p w14:paraId="1FB92D15" w14:textId="77777777" w:rsidR="00DC33C4" w:rsidRPr="006C6DF3" w:rsidRDefault="00DC33C4" w:rsidP="006A73A0">
            <w:pPr>
              <w:keepNext/>
            </w:pPr>
          </w:p>
        </w:tc>
      </w:tr>
      <w:tr w:rsidR="00DC33C4" w:rsidRPr="006C6DF3" w14:paraId="674A043D" w14:textId="77777777" w:rsidTr="006A73A0">
        <w:trPr>
          <w:jc w:val="center"/>
        </w:trPr>
        <w:tc>
          <w:tcPr>
            <w:tcW w:w="4876" w:type="dxa"/>
          </w:tcPr>
          <w:p w14:paraId="7FB98F89" w14:textId="77777777" w:rsidR="00DC33C4" w:rsidRPr="006C6DF3" w:rsidRDefault="00DC33C4" w:rsidP="006A73A0">
            <w:pPr>
              <w:pStyle w:val="AmColumnHeading"/>
              <w:keepNext/>
            </w:pPr>
            <w:r w:rsidRPr="006C6DF3">
              <w:t>Projekt Europejskiego Banku Centralnego</w:t>
            </w:r>
          </w:p>
        </w:tc>
        <w:tc>
          <w:tcPr>
            <w:tcW w:w="4876" w:type="dxa"/>
          </w:tcPr>
          <w:p w14:paraId="0CC471AF" w14:textId="77777777" w:rsidR="00DC33C4" w:rsidRPr="006C6DF3" w:rsidRDefault="00DC33C4" w:rsidP="006A73A0">
            <w:pPr>
              <w:pStyle w:val="AmColumnHeading"/>
              <w:keepNext/>
            </w:pPr>
            <w:r w:rsidRPr="006C6DF3">
              <w:t>Poprawka</w:t>
            </w:r>
          </w:p>
        </w:tc>
      </w:tr>
      <w:tr w:rsidR="00DC33C4" w:rsidRPr="006C6DF3" w14:paraId="1B3AE16F" w14:textId="77777777" w:rsidTr="006A73A0">
        <w:trPr>
          <w:jc w:val="center"/>
        </w:trPr>
        <w:tc>
          <w:tcPr>
            <w:tcW w:w="4876" w:type="dxa"/>
          </w:tcPr>
          <w:p w14:paraId="1D9184CF" w14:textId="77777777" w:rsidR="00DC33C4" w:rsidRPr="006C6DF3" w:rsidRDefault="00DC33C4" w:rsidP="006A73A0">
            <w:pPr>
              <w:pStyle w:val="Normal6a"/>
            </w:pPr>
          </w:p>
        </w:tc>
        <w:tc>
          <w:tcPr>
            <w:tcW w:w="4876" w:type="dxa"/>
          </w:tcPr>
          <w:p w14:paraId="72A0BB35" w14:textId="77777777" w:rsidR="00DC33C4" w:rsidRPr="006C6DF3" w:rsidRDefault="00DC33C4" w:rsidP="006A73A0">
            <w:pPr>
              <w:pStyle w:val="Normal6a"/>
              <w:rPr>
                <w:szCs w:val="24"/>
              </w:rPr>
            </w:pPr>
            <w:r w:rsidRPr="006C6DF3">
              <w:rPr>
                <w:b/>
                <w:i/>
              </w:rPr>
              <w:t>(3a)</w:t>
            </w:r>
            <w:r w:rsidRPr="006C6DF3">
              <w:rPr>
                <w:b/>
                <w:i/>
              </w:rPr>
              <w:tab/>
              <w:t xml:space="preserve">EBC powinien nadal wzmacniać swoje ramy statystyczne, aby </w:t>
            </w:r>
            <w:r w:rsidRPr="006C6DF3">
              <w:rPr>
                <w:b/>
                <w:i/>
              </w:rPr>
              <w:lastRenderedPageBreak/>
              <w:t>odzwierciedlać zmieniające się wyzwania gospodarcze i strukturalne oraz aby zapewnić solidność i adekwatność swoich narzędzi analitycznych, zgodnie z podstawowym mandatem dotyczącym stabilności cen, uzupełnionym o cele drugorzędne polegające na wspieraniu ogólnych polityk gospodarczych w Unii, w tym polityk związanych ze środowiskiem i zrównoważonym rozwojem.</w:t>
            </w:r>
          </w:p>
        </w:tc>
      </w:tr>
    </w:tbl>
    <w:p w14:paraId="3CE7187F" w14:textId="77777777" w:rsidR="00DC33C4" w:rsidRPr="006C6DF3" w:rsidRDefault="00DC33C4" w:rsidP="00DC33C4"/>
    <w:p w14:paraId="08A38A52" w14:textId="77777777" w:rsidR="00DC33C4" w:rsidRPr="006C6DF3" w:rsidRDefault="00DC33C4" w:rsidP="00DC33C4">
      <w:pPr>
        <w:pStyle w:val="AmNumberTabs"/>
        <w:keepNext/>
      </w:pPr>
      <w:r w:rsidRPr="006C6DF3">
        <w:t>Poprawka</w:t>
      </w:r>
      <w:r w:rsidRPr="006C6DF3">
        <w:tab/>
      </w:r>
      <w:r w:rsidRPr="006C6DF3">
        <w:tab/>
        <w:t>4</w:t>
      </w:r>
    </w:p>
    <w:p w14:paraId="04FE1886" w14:textId="77777777" w:rsidR="00DC33C4" w:rsidRPr="006C6DF3" w:rsidRDefault="00DC33C4" w:rsidP="00DC33C4">
      <w:pPr>
        <w:pStyle w:val="NormalBold12b"/>
        <w:keepNext/>
      </w:pPr>
      <w:r w:rsidRPr="006C6DF3">
        <w:t>Projekt rozporządzenia</w:t>
      </w:r>
    </w:p>
    <w:p w14:paraId="22FF9104" w14:textId="77777777" w:rsidR="00DC33C4" w:rsidRPr="006C6DF3" w:rsidRDefault="00DC33C4" w:rsidP="00DC33C4">
      <w:pPr>
        <w:pStyle w:val="NormalBold"/>
        <w:keepNext/>
      </w:pPr>
      <w:r w:rsidRPr="006C6DF3">
        <w:t>Motyw 3 b (nowy)</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C33C4" w:rsidRPr="006C6DF3" w14:paraId="43C8C5AE" w14:textId="77777777" w:rsidTr="006A73A0">
        <w:trPr>
          <w:jc w:val="center"/>
        </w:trPr>
        <w:tc>
          <w:tcPr>
            <w:tcW w:w="9752" w:type="dxa"/>
            <w:gridSpan w:val="2"/>
          </w:tcPr>
          <w:p w14:paraId="416B131B" w14:textId="77777777" w:rsidR="00DC33C4" w:rsidRPr="006C6DF3" w:rsidRDefault="00DC33C4" w:rsidP="006A73A0">
            <w:pPr>
              <w:keepNext/>
            </w:pPr>
          </w:p>
        </w:tc>
      </w:tr>
      <w:tr w:rsidR="00DC33C4" w:rsidRPr="006C6DF3" w14:paraId="4B13C7FC" w14:textId="77777777" w:rsidTr="006A73A0">
        <w:trPr>
          <w:jc w:val="center"/>
        </w:trPr>
        <w:tc>
          <w:tcPr>
            <w:tcW w:w="4876" w:type="dxa"/>
          </w:tcPr>
          <w:p w14:paraId="08547A02" w14:textId="77777777" w:rsidR="00DC33C4" w:rsidRPr="006C6DF3" w:rsidRDefault="00DC33C4" w:rsidP="006A73A0">
            <w:pPr>
              <w:pStyle w:val="AmColumnHeading"/>
              <w:keepNext/>
            </w:pPr>
            <w:r w:rsidRPr="006C6DF3">
              <w:t>Projekt Europejskiego Banku Centralnego</w:t>
            </w:r>
          </w:p>
        </w:tc>
        <w:tc>
          <w:tcPr>
            <w:tcW w:w="4876" w:type="dxa"/>
          </w:tcPr>
          <w:p w14:paraId="2BD95161" w14:textId="77777777" w:rsidR="00DC33C4" w:rsidRPr="006C6DF3" w:rsidRDefault="00DC33C4" w:rsidP="006A73A0">
            <w:pPr>
              <w:pStyle w:val="AmColumnHeading"/>
              <w:keepNext/>
            </w:pPr>
            <w:r w:rsidRPr="006C6DF3">
              <w:t>Poprawka</w:t>
            </w:r>
          </w:p>
        </w:tc>
      </w:tr>
      <w:tr w:rsidR="00DC33C4" w:rsidRPr="006C6DF3" w14:paraId="546A1617" w14:textId="77777777" w:rsidTr="006A73A0">
        <w:trPr>
          <w:jc w:val="center"/>
        </w:trPr>
        <w:tc>
          <w:tcPr>
            <w:tcW w:w="4876" w:type="dxa"/>
          </w:tcPr>
          <w:p w14:paraId="50EBEEE7" w14:textId="77777777" w:rsidR="00DC33C4" w:rsidRPr="006C6DF3" w:rsidRDefault="00DC33C4" w:rsidP="006A73A0">
            <w:pPr>
              <w:pStyle w:val="Normal6a"/>
            </w:pPr>
          </w:p>
        </w:tc>
        <w:tc>
          <w:tcPr>
            <w:tcW w:w="4876" w:type="dxa"/>
          </w:tcPr>
          <w:p w14:paraId="06390464" w14:textId="77777777" w:rsidR="00DC33C4" w:rsidRPr="006C6DF3" w:rsidRDefault="00DC33C4" w:rsidP="006A73A0">
            <w:pPr>
              <w:pStyle w:val="Normal6a"/>
              <w:rPr>
                <w:szCs w:val="24"/>
              </w:rPr>
            </w:pPr>
            <w:r w:rsidRPr="006C6DF3">
              <w:rPr>
                <w:b/>
                <w:i/>
              </w:rPr>
              <w:t>(3b)</w:t>
            </w:r>
            <w:r w:rsidRPr="006C6DF3">
              <w:rPr>
                <w:b/>
                <w:i/>
              </w:rPr>
              <w:tab/>
              <w:t>Wykorzystanie sztucznej inteligencji stwarza możliwości zwiększenia skuteczności, dokładności i terminowości gromadzenia i przetwarzania danych. Jednak jej stosowanie pociąga za sobą również szczególne ryzyko związane z przejrzystością, stronniczością, bezpieczeństwem, prywatnością i rozliczalnością. Należy zatem zadbać o to, aby wszelkie systemy sztucznej inteligencji wprowadzane przez EBC lub krajowe banki centralne w ramach wykonywania ich zadań statystycznych były wykorzystywane w sposób odpowiedzialny, przejrzysty i bezpieczny, z zapewnieniem odpowiedniego nadzoru ze strony człowieka i pełnej rozliczalności zgodnie z unijnymi ramami prawnymi i z poszanowaniem niezależności EBC.</w:t>
            </w:r>
          </w:p>
        </w:tc>
      </w:tr>
    </w:tbl>
    <w:p w14:paraId="04DE5F2E" w14:textId="77777777" w:rsidR="00DC33C4" w:rsidRPr="006C6DF3" w:rsidRDefault="00DC33C4" w:rsidP="00DC33C4"/>
    <w:p w14:paraId="61F60D9F" w14:textId="77777777" w:rsidR="00DC33C4" w:rsidRPr="006C6DF3" w:rsidRDefault="00DC33C4" w:rsidP="00DC33C4">
      <w:pPr>
        <w:pStyle w:val="AmNumberTabs"/>
        <w:keepNext/>
      </w:pPr>
      <w:r w:rsidRPr="006C6DF3">
        <w:t>Poprawka</w:t>
      </w:r>
      <w:r w:rsidRPr="006C6DF3">
        <w:tab/>
      </w:r>
      <w:r w:rsidRPr="006C6DF3">
        <w:tab/>
        <w:t>5</w:t>
      </w:r>
    </w:p>
    <w:p w14:paraId="37758985" w14:textId="77777777" w:rsidR="00DC33C4" w:rsidRPr="006C6DF3" w:rsidRDefault="00DC33C4" w:rsidP="00DC33C4">
      <w:pPr>
        <w:pStyle w:val="NormalBold12b"/>
        <w:keepNext/>
      </w:pPr>
      <w:r w:rsidRPr="006C6DF3">
        <w:t>Projekt rozporządzenia</w:t>
      </w:r>
    </w:p>
    <w:p w14:paraId="3329775A" w14:textId="77777777" w:rsidR="00DC33C4" w:rsidRPr="006C6DF3" w:rsidRDefault="00DC33C4" w:rsidP="00DC33C4">
      <w:pPr>
        <w:pStyle w:val="NormalBold"/>
        <w:keepNext/>
      </w:pPr>
      <w:r w:rsidRPr="006C6DF3">
        <w:t>Motyw 9</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C33C4" w:rsidRPr="006C6DF3" w14:paraId="6D788B18" w14:textId="77777777" w:rsidTr="006A73A0">
        <w:trPr>
          <w:jc w:val="center"/>
        </w:trPr>
        <w:tc>
          <w:tcPr>
            <w:tcW w:w="9752" w:type="dxa"/>
            <w:gridSpan w:val="2"/>
          </w:tcPr>
          <w:p w14:paraId="58D48ED6" w14:textId="77777777" w:rsidR="00DC33C4" w:rsidRPr="006C6DF3" w:rsidRDefault="00DC33C4" w:rsidP="006A73A0">
            <w:pPr>
              <w:keepNext/>
            </w:pPr>
          </w:p>
        </w:tc>
      </w:tr>
      <w:tr w:rsidR="00DC33C4" w:rsidRPr="006C6DF3" w14:paraId="0B71D523" w14:textId="77777777" w:rsidTr="006A73A0">
        <w:trPr>
          <w:jc w:val="center"/>
        </w:trPr>
        <w:tc>
          <w:tcPr>
            <w:tcW w:w="4876" w:type="dxa"/>
          </w:tcPr>
          <w:p w14:paraId="447D1260" w14:textId="77777777" w:rsidR="00DC33C4" w:rsidRPr="006C6DF3" w:rsidRDefault="00DC33C4" w:rsidP="006A73A0">
            <w:pPr>
              <w:pStyle w:val="AmColumnHeading"/>
              <w:keepNext/>
            </w:pPr>
            <w:r w:rsidRPr="006C6DF3">
              <w:t>Projekt Europejskiego Banku Centralnego</w:t>
            </w:r>
          </w:p>
        </w:tc>
        <w:tc>
          <w:tcPr>
            <w:tcW w:w="4876" w:type="dxa"/>
          </w:tcPr>
          <w:p w14:paraId="0D36D40E" w14:textId="77777777" w:rsidR="00DC33C4" w:rsidRPr="006C6DF3" w:rsidRDefault="00DC33C4" w:rsidP="006A73A0">
            <w:pPr>
              <w:pStyle w:val="AmColumnHeading"/>
              <w:keepNext/>
            </w:pPr>
            <w:r w:rsidRPr="006C6DF3">
              <w:t>Poprawka</w:t>
            </w:r>
          </w:p>
        </w:tc>
      </w:tr>
      <w:tr w:rsidR="00DC33C4" w:rsidRPr="006C6DF3" w14:paraId="6A35EAC7" w14:textId="77777777" w:rsidTr="006A73A0">
        <w:trPr>
          <w:jc w:val="center"/>
        </w:trPr>
        <w:tc>
          <w:tcPr>
            <w:tcW w:w="4876" w:type="dxa"/>
          </w:tcPr>
          <w:p w14:paraId="290A4E19" w14:textId="77777777" w:rsidR="00DC33C4" w:rsidRPr="006C6DF3" w:rsidRDefault="00DC33C4" w:rsidP="006A73A0">
            <w:pPr>
              <w:pStyle w:val="Normal6a"/>
            </w:pPr>
            <w:r w:rsidRPr="006C6DF3">
              <w:t>(9)</w:t>
            </w:r>
            <w:r w:rsidRPr="006C6DF3">
              <w:tab/>
              <w:t xml:space="preserve">Poufne informacje statystyczne, które EBC i krajowe banki centralne </w:t>
            </w:r>
            <w:r w:rsidRPr="006C6DF3">
              <w:lastRenderedPageBreak/>
              <w:t xml:space="preserve">pozyskują w celu wykonywania zadań ESBC, muszą być chronione, aby zapobiec ich bezprawnemu wykorzystaniu i ujawnieniu. Niemniej jednak zasady poufności powinny zostać zmienione i doprecyzowane w celu zapewnienia, aby EBC i krajowe banki centralne wykorzystywały i udostępniały sobie nawzajem poufne informacje statystyczne w celu wykonywania zadań ESBC, o których mowa w Traktacie, oraz w celu skutecznego opracowywania, tworzenia lub rozpowszechniania statystyk lub w celu poprawy ich jakości. Korekty te są niezbędne do zapewnienia, aby informacje mogły być gromadzone przez EBC z pomocą krajowych banków centralnych zgodnie z zasadą jednorazowości. Ponadto, aby ograniczyć potrzebę powielania wymogów regulacyjnych i sprawozdawczych i ułatwić współpracę między organami i podmiotami państw członkowskich i Unii oraz zmniejszyć zbędne obciążenia administracyjne, członkowie ESBC powinni być zobowiązani do dzielenia się poufnymi informacjami statystycznymi z niektórymi organami i podmiotami w celu wykonywania ich zadań związanych z nadzorem ostrożnościowym i stabilnością systemu finansowego, a także z członkami Europejskiego Systemu Statystycznego. Członkowie ESBC powinni mieć możliwość wymiany poufnych informacji statystycznych z innymi organami i podmiotami państw członkowskich i Unii lub z naukowcami współpracującymi z jednostkami badawczymi w określonych okolicznościach. Przekazywany podmiotom sprawozdającym może być także ograniczony zestaw poufnych informacji statystycznych, jeżeli jest to konieczne </w:t>
            </w:r>
            <w:r w:rsidRPr="006C6DF3">
              <w:rPr>
                <w:b/>
                <w:bCs/>
                <w:i/>
                <w:iCs/>
              </w:rPr>
              <w:t>dla</w:t>
            </w:r>
            <w:r w:rsidRPr="006C6DF3">
              <w:t xml:space="preserve"> celów statystycznych oraz jeżeli źródła tych informacji są już dostępne dla podmiotu sprawozdającego, na </w:t>
            </w:r>
            <w:proofErr w:type="gramStart"/>
            <w:r w:rsidRPr="006C6DF3">
              <w:t>przykład</w:t>
            </w:r>
            <w:proofErr w:type="gramEnd"/>
            <w:r w:rsidRPr="006C6DF3">
              <w:t xml:space="preserve"> gdy takie informacje są przekazywane przez jednostkę kontrolowaną przez podmiot sprawozdający lub jego oddziały. W celu utrzymania zaufania podmiotów </w:t>
            </w:r>
            <w:r w:rsidRPr="006C6DF3">
              <w:lastRenderedPageBreak/>
              <w:t>sprawozdających powinny istnieć spójne ustalenia mające na celu ochronę poufnych informacji statystycznych oraz zwiększenie przejrzystości w zakresie wykorzystania informacji statystycznych.</w:t>
            </w:r>
          </w:p>
        </w:tc>
        <w:tc>
          <w:tcPr>
            <w:tcW w:w="4876" w:type="dxa"/>
          </w:tcPr>
          <w:p w14:paraId="0B62D945" w14:textId="77777777" w:rsidR="00DC33C4" w:rsidRPr="006C6DF3" w:rsidRDefault="00DC33C4" w:rsidP="006A73A0">
            <w:pPr>
              <w:pStyle w:val="Normal6a"/>
              <w:rPr>
                <w:szCs w:val="24"/>
              </w:rPr>
            </w:pPr>
            <w:r w:rsidRPr="006C6DF3">
              <w:lastRenderedPageBreak/>
              <w:t>(9)</w:t>
            </w:r>
            <w:r w:rsidRPr="006C6DF3">
              <w:tab/>
              <w:t xml:space="preserve">Poufne informacje statystyczne, które EBC i krajowe banki centralne </w:t>
            </w:r>
            <w:r w:rsidRPr="006C6DF3">
              <w:lastRenderedPageBreak/>
              <w:t xml:space="preserve">pozyskują w celu wykonywania zadań ESBC, muszą być chronione, aby zapobiec ich bezprawnemu wykorzystaniu i ujawnieniu. Niemniej jednak zasady poufności powinny zostać zmienione i doprecyzowane w celu zapewnienia, aby EBC i krajowe banki centralne wykorzystywały i udostępniały sobie nawzajem poufne informacje statystyczne w celu wykonywania zadań ESBC, o których mowa w Traktacie, oraz w celu skutecznego opracowywania, tworzenia lub rozpowszechniania statystyk lub w celu poprawy ich jakości. Korekty te są niezbędne do zapewnienia, aby informacje mogły być gromadzone przez EBC z pomocą krajowych banków centralnych zgodnie z zasadą jednorazowości. Ponadto, aby ograniczyć potrzebę powielania wymogów regulacyjnych i sprawozdawczych i ułatwić współpracę między organami i podmiotami państw członkowskich i Unii oraz zmniejszyć zbędne obciążenia administracyjne, członkowie ESBC powinni być zobowiązani do dzielenia się poufnymi informacjami statystycznymi z niektórymi organami i podmiotami w celu wykonywania ich zadań związanych z nadzorem ostrożnościowym i stabilnością systemu finansowego, a także z członkami Europejskiego Systemu Statystycznego. Członkowie ESBC powinni mieć możliwość wymiany poufnych informacji statystycznych z innymi organami i podmiotami państw członkowskich i Unii lub z naukowcami współpracującymi z jednostkami badawczymi w określonych okolicznościach. Przekazywany podmiotom sprawozdającym może być także ograniczony zestaw poufnych informacji statystycznych, jeżeli jest to konieczne </w:t>
            </w:r>
            <w:r w:rsidRPr="006C6DF3">
              <w:rPr>
                <w:b/>
                <w:bCs/>
                <w:i/>
                <w:iCs/>
              </w:rPr>
              <w:t>do</w:t>
            </w:r>
            <w:r w:rsidRPr="006C6DF3">
              <w:t xml:space="preserve"> celów statystycznych oraz jeżeli źródła tych informacji są już dostępne dla podmiotu sprawozdającego, na </w:t>
            </w:r>
            <w:proofErr w:type="gramStart"/>
            <w:r w:rsidRPr="006C6DF3">
              <w:t>przykład</w:t>
            </w:r>
            <w:proofErr w:type="gramEnd"/>
            <w:r w:rsidRPr="006C6DF3">
              <w:t xml:space="preserve"> gdy takie informacje są przekazywane przez jednostkę kontrolowaną przez podmiot sprawozdający lub jego oddziały. W celu utrzymania zaufania podmiotów </w:t>
            </w:r>
            <w:r w:rsidRPr="006C6DF3">
              <w:lastRenderedPageBreak/>
              <w:t xml:space="preserve">sprawozdających powinny istnieć spójne ustalenia mające na celu ochronę poufnych informacji statystycznych oraz zwiększenie przejrzystości w zakresie wykorzystania informacji statystycznych. </w:t>
            </w:r>
            <w:r w:rsidRPr="006C6DF3">
              <w:rPr>
                <w:b/>
                <w:i/>
              </w:rPr>
              <w:t>Aby wspierać niezależne badania i działania kontrolne, EBC i krajowe banki centralne powinny udostępniać akredytowanym naukowcom poufne informacje statystyczne z głównych zbiorów danych ESBC w każdym przypadku, gdy takiego dostępu można udzielić bez ryzyka ujawnienia tych informacji. Zwiększy to analityczne wykorzystanie informacji statystycznych na potrzeby opartego na dowodach kształtowania polityki w całej strefie euro, przy jednoczesnym zachowaniu poufności danych.</w:t>
            </w:r>
          </w:p>
        </w:tc>
      </w:tr>
    </w:tbl>
    <w:p w14:paraId="317CD5C5" w14:textId="77777777" w:rsidR="00DC33C4" w:rsidRPr="006C6DF3" w:rsidRDefault="00DC33C4" w:rsidP="00DC33C4"/>
    <w:p w14:paraId="1D21BB9D" w14:textId="77777777" w:rsidR="00DC33C4" w:rsidRPr="006C6DF3" w:rsidRDefault="00DC33C4" w:rsidP="00DC33C4">
      <w:pPr>
        <w:pStyle w:val="AmNumberTabs"/>
        <w:keepNext/>
      </w:pPr>
      <w:r w:rsidRPr="006C6DF3">
        <w:t>Poprawka</w:t>
      </w:r>
      <w:r w:rsidRPr="006C6DF3">
        <w:tab/>
      </w:r>
      <w:r w:rsidRPr="006C6DF3">
        <w:tab/>
        <w:t>6</w:t>
      </w:r>
    </w:p>
    <w:p w14:paraId="32272FBB" w14:textId="77777777" w:rsidR="00DC33C4" w:rsidRPr="006C6DF3" w:rsidRDefault="00DC33C4" w:rsidP="00DC33C4">
      <w:pPr>
        <w:pStyle w:val="NormalBold12b"/>
        <w:keepNext/>
      </w:pPr>
      <w:r w:rsidRPr="006C6DF3">
        <w:t>Projekt rozporządzenia</w:t>
      </w:r>
    </w:p>
    <w:p w14:paraId="245EED88" w14:textId="77777777" w:rsidR="00DC33C4" w:rsidRPr="006C6DF3" w:rsidRDefault="00DC33C4" w:rsidP="00DC33C4">
      <w:pPr>
        <w:pStyle w:val="NormalBold"/>
        <w:keepNext/>
        <w:rPr>
          <w:rFonts w:eastAsiaTheme="majorEastAsia"/>
        </w:rPr>
      </w:pPr>
      <w:r w:rsidRPr="006C6DF3">
        <w:t>Artykuł 1 – akapit 1 – punkt 2 – litera -a (nowa)</w:t>
      </w:r>
    </w:p>
    <w:p w14:paraId="68CB30A7" w14:textId="77777777" w:rsidR="00DC33C4" w:rsidRPr="006C6DF3" w:rsidRDefault="00DC33C4" w:rsidP="00DC33C4">
      <w:pPr>
        <w:widowControl/>
      </w:pPr>
      <w:r w:rsidRPr="006C6DF3">
        <w:t>Rozporządzenie (WE) nr 2533/98</w:t>
      </w:r>
    </w:p>
    <w:p w14:paraId="561663FD" w14:textId="77777777" w:rsidR="00DC33C4" w:rsidRPr="006C6DF3" w:rsidRDefault="00DC33C4" w:rsidP="00DC33C4">
      <w:pPr>
        <w:widowControl/>
      </w:pPr>
      <w:r w:rsidRPr="006C6DF3">
        <w:t>Artykuł 2 – ustęp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C33C4" w:rsidRPr="006C6DF3" w14:paraId="014B4885" w14:textId="77777777" w:rsidTr="006A73A0">
        <w:trPr>
          <w:jc w:val="center"/>
        </w:trPr>
        <w:tc>
          <w:tcPr>
            <w:tcW w:w="9752" w:type="dxa"/>
            <w:gridSpan w:val="2"/>
          </w:tcPr>
          <w:p w14:paraId="3406BB46" w14:textId="77777777" w:rsidR="00DC33C4" w:rsidRPr="006C6DF3" w:rsidRDefault="00DC33C4" w:rsidP="006A73A0">
            <w:pPr>
              <w:keepNext/>
            </w:pPr>
          </w:p>
        </w:tc>
      </w:tr>
      <w:tr w:rsidR="00DC33C4" w:rsidRPr="006C6DF3" w14:paraId="355BF47F" w14:textId="77777777" w:rsidTr="006A73A0">
        <w:trPr>
          <w:jc w:val="center"/>
        </w:trPr>
        <w:tc>
          <w:tcPr>
            <w:tcW w:w="4876" w:type="dxa"/>
          </w:tcPr>
          <w:p w14:paraId="4029D2DC" w14:textId="77777777" w:rsidR="00DC33C4" w:rsidRPr="006C6DF3" w:rsidRDefault="00DC33C4" w:rsidP="006A73A0">
            <w:pPr>
              <w:pStyle w:val="AmColumnHeading"/>
              <w:keepNext/>
            </w:pPr>
            <w:r w:rsidRPr="006C6DF3">
              <w:t>Tekst obowiązujący</w:t>
            </w:r>
          </w:p>
        </w:tc>
        <w:tc>
          <w:tcPr>
            <w:tcW w:w="4876" w:type="dxa"/>
          </w:tcPr>
          <w:p w14:paraId="1F8B12C6" w14:textId="77777777" w:rsidR="00DC33C4" w:rsidRPr="006C6DF3" w:rsidRDefault="00DC33C4" w:rsidP="006A73A0">
            <w:pPr>
              <w:pStyle w:val="AmColumnHeading"/>
              <w:keepNext/>
            </w:pPr>
            <w:r w:rsidRPr="006C6DF3">
              <w:t>Poprawka</w:t>
            </w:r>
          </w:p>
        </w:tc>
      </w:tr>
      <w:tr w:rsidR="00DC33C4" w:rsidRPr="006C6DF3" w14:paraId="582868A4" w14:textId="77777777" w:rsidTr="006A73A0">
        <w:trPr>
          <w:jc w:val="center"/>
        </w:trPr>
        <w:tc>
          <w:tcPr>
            <w:tcW w:w="4876" w:type="dxa"/>
          </w:tcPr>
          <w:p w14:paraId="23BF7951" w14:textId="77777777" w:rsidR="00DC33C4" w:rsidRPr="006C6DF3" w:rsidRDefault="00DC33C4" w:rsidP="006A73A0">
            <w:pPr>
              <w:pStyle w:val="Normal6a"/>
            </w:pPr>
          </w:p>
        </w:tc>
        <w:tc>
          <w:tcPr>
            <w:tcW w:w="4876" w:type="dxa"/>
          </w:tcPr>
          <w:p w14:paraId="039DCF5A" w14:textId="77777777" w:rsidR="00DC33C4" w:rsidRPr="006C6DF3" w:rsidRDefault="00DC33C4" w:rsidP="006A73A0">
            <w:pPr>
              <w:pStyle w:val="Normal6a"/>
              <w:rPr>
                <w:szCs w:val="24"/>
              </w:rPr>
            </w:pPr>
            <w:r w:rsidRPr="006C6DF3">
              <w:rPr>
                <w:b/>
                <w:i/>
              </w:rPr>
              <w:t>-a)</w:t>
            </w:r>
            <w:r w:rsidRPr="006C6DF3">
              <w:rPr>
                <w:b/>
                <w:i/>
              </w:rPr>
              <w:tab/>
              <w:t>ust. 1 otrzymuje brzmienie:</w:t>
            </w:r>
          </w:p>
        </w:tc>
      </w:tr>
      <w:tr w:rsidR="00DC33C4" w:rsidRPr="006C6DF3" w14:paraId="5A786A43" w14:textId="77777777" w:rsidTr="006A73A0">
        <w:trPr>
          <w:jc w:val="center"/>
        </w:trPr>
        <w:tc>
          <w:tcPr>
            <w:tcW w:w="4876" w:type="dxa"/>
          </w:tcPr>
          <w:p w14:paraId="21433738" w14:textId="77777777" w:rsidR="00DC33C4" w:rsidRPr="006C6DF3" w:rsidRDefault="00DC33C4" w:rsidP="006A73A0">
            <w:pPr>
              <w:pStyle w:val="Normal6a"/>
            </w:pPr>
            <w:r w:rsidRPr="006C6DF3">
              <w:t>1.</w:t>
            </w:r>
            <w:r w:rsidRPr="006C6DF3">
              <w:tab/>
              <w:t xml:space="preserve">Do celów realizacji wymogów EBC dotyczących sprawozdawczości statystycznej, EBC, wspomagany przez krajowe banki centralne zgodnie z art. 5.2 Statutu, ma prawo do zbierania informacji statystycznych w granicach bazowej populacji objętej sprawozdaniem oraz tego, co jest konieczne do realizacji zadań ESBC. Informacje mogą być zbierane w szczególności w zakresie statystyki monetarnej i finansowej, statystyki dotyczącej banknotów, statystyki płatności i systemów płatniczych, statystyki stabilności finansowej, statystyki bilansu płatniczego i statystyki międzynarodowej pozycji inwestycyjnej. Jeżeli jest to konieczne do wykonania zadań ESBC – w należycie uzasadnionych przypadkach – można zbierać dodatkowe informacje również w innych dziedzinach. Informacje </w:t>
            </w:r>
            <w:r w:rsidRPr="006C6DF3">
              <w:lastRenderedPageBreak/>
              <w:t>zebrane do celów spełnienia wymogów EBC dotyczących sprawozdawczości statystycznej należy także określić w programie pracy ESBC w zakresie statystyki.</w:t>
            </w:r>
          </w:p>
        </w:tc>
        <w:tc>
          <w:tcPr>
            <w:tcW w:w="4876" w:type="dxa"/>
          </w:tcPr>
          <w:p w14:paraId="2AAA1871" w14:textId="77777777" w:rsidR="00DC33C4" w:rsidRPr="006C6DF3" w:rsidRDefault="00DC33C4" w:rsidP="006A73A0">
            <w:pPr>
              <w:pStyle w:val="Normal6a"/>
            </w:pPr>
            <w:r w:rsidRPr="006C6DF3">
              <w:lastRenderedPageBreak/>
              <w:t>1.</w:t>
            </w:r>
            <w:r w:rsidRPr="006C6DF3">
              <w:tab/>
              <w:t xml:space="preserve">Do celów realizacji wymogów EBC dotyczących sprawozdawczości statystycznej, EBC, wspomagany przez krajowe banki centralne zgodnie z art. 5.2 Statutu, ma prawo do zbierania informacji statystycznych w granicach bazowej populacji objętej sprawozdaniem oraz tego, co jest konieczne do realizacji zadań ESBC. </w:t>
            </w:r>
            <w:r w:rsidRPr="006C6DF3">
              <w:rPr>
                <w:b/>
                <w:i/>
              </w:rPr>
              <w:t xml:space="preserve">Aby lepiej odpowiadać na poważne nadchodzące wyzwania, </w:t>
            </w:r>
            <w:r w:rsidRPr="006C6DF3">
              <w:t>informacje mogą być zbierane w szczególności w zakresie statystyki monetarnej i finansowej, statystyki dotyczącej banknotów, statystyki płatności i systemów płatniczych, statystyki stabilności finansowej, statystyki bilansu płatniczego</w:t>
            </w:r>
            <w:r w:rsidRPr="006C6DF3">
              <w:rPr>
                <w:b/>
                <w:i/>
              </w:rPr>
              <w:t>, wskaźników makroekonomicznych</w:t>
            </w:r>
            <w:r w:rsidRPr="006C6DF3">
              <w:t xml:space="preserve"> i statystyki międzynarodowej pozycji inwestycyjnej. Jeżeli jest to konieczne do wykonania zadań ESBC – w należycie uzasadnionych </w:t>
            </w:r>
            <w:r w:rsidRPr="006C6DF3">
              <w:lastRenderedPageBreak/>
              <w:t>przypadkach – można zbierać dodatkowe informacje również w innych dziedzinach. Informacje zebrane do celów spełnienia wymogów EBC dotyczących sprawozdawczości statystycznej należy także określić w programie pracy ESBC w zakresie statystyki.</w:t>
            </w:r>
          </w:p>
        </w:tc>
      </w:tr>
    </w:tbl>
    <w:p w14:paraId="5891638E" w14:textId="77777777" w:rsidR="00DC33C4" w:rsidRPr="006C6DF3" w:rsidRDefault="00DC33C4" w:rsidP="00DC33C4"/>
    <w:p w14:paraId="5CA528E8" w14:textId="77777777" w:rsidR="00DC33C4" w:rsidRPr="006C6DF3" w:rsidRDefault="00DC33C4" w:rsidP="00DC33C4">
      <w:pPr>
        <w:pStyle w:val="AmNumberTabs"/>
        <w:keepNext/>
      </w:pPr>
      <w:r w:rsidRPr="006C6DF3">
        <w:t>Poprawka</w:t>
      </w:r>
      <w:r w:rsidRPr="006C6DF3">
        <w:tab/>
      </w:r>
      <w:r w:rsidRPr="006C6DF3">
        <w:tab/>
        <w:t>7</w:t>
      </w:r>
    </w:p>
    <w:p w14:paraId="471F42D1" w14:textId="77777777" w:rsidR="00DC33C4" w:rsidRPr="006C6DF3" w:rsidRDefault="00DC33C4" w:rsidP="00DC33C4">
      <w:pPr>
        <w:pStyle w:val="NormalBold12b"/>
        <w:keepNext/>
      </w:pPr>
      <w:r w:rsidRPr="006C6DF3">
        <w:t>Projekt rozporządzenia</w:t>
      </w:r>
    </w:p>
    <w:p w14:paraId="15533368" w14:textId="77777777" w:rsidR="00DC33C4" w:rsidRPr="006C6DF3" w:rsidRDefault="00DC33C4" w:rsidP="00DC33C4">
      <w:pPr>
        <w:pStyle w:val="NormalBold"/>
        <w:keepNext/>
        <w:rPr>
          <w:rFonts w:eastAsiaTheme="majorEastAsia"/>
        </w:rPr>
      </w:pPr>
      <w:r w:rsidRPr="006C6DF3">
        <w:t>Artykuł 1 – akapit 1 – punkt 3</w:t>
      </w:r>
    </w:p>
    <w:p w14:paraId="33E7CA57" w14:textId="77777777" w:rsidR="00DC33C4" w:rsidRPr="006C6DF3" w:rsidRDefault="00DC33C4" w:rsidP="00DC33C4">
      <w:pPr>
        <w:widowControl/>
      </w:pPr>
      <w:r w:rsidRPr="006C6DF3">
        <w:t>Rozporządzenie (WE) nr 2533/98</w:t>
      </w:r>
    </w:p>
    <w:p w14:paraId="5E4A2FDD" w14:textId="77777777" w:rsidR="00DC33C4" w:rsidRPr="006C6DF3" w:rsidRDefault="00DC33C4" w:rsidP="00DC33C4">
      <w:pPr>
        <w:widowControl/>
      </w:pPr>
      <w:r w:rsidRPr="006C6DF3">
        <w:t>Artykuł 3 – ustęp 1 – akapit 1 – litera 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C33C4" w:rsidRPr="006C6DF3" w14:paraId="2E411CDF" w14:textId="77777777" w:rsidTr="006A73A0">
        <w:trPr>
          <w:jc w:val="center"/>
        </w:trPr>
        <w:tc>
          <w:tcPr>
            <w:tcW w:w="9752" w:type="dxa"/>
            <w:gridSpan w:val="2"/>
          </w:tcPr>
          <w:p w14:paraId="5F1B1D55" w14:textId="77777777" w:rsidR="00DC33C4" w:rsidRPr="006C6DF3" w:rsidRDefault="00DC33C4" w:rsidP="006A73A0">
            <w:pPr>
              <w:keepNext/>
            </w:pPr>
          </w:p>
        </w:tc>
      </w:tr>
      <w:tr w:rsidR="00DC33C4" w:rsidRPr="006C6DF3" w14:paraId="658EB27D" w14:textId="77777777" w:rsidTr="006A73A0">
        <w:trPr>
          <w:jc w:val="center"/>
        </w:trPr>
        <w:tc>
          <w:tcPr>
            <w:tcW w:w="4876" w:type="dxa"/>
          </w:tcPr>
          <w:p w14:paraId="12FD6C6F" w14:textId="77777777" w:rsidR="00DC33C4" w:rsidRPr="006C6DF3" w:rsidRDefault="00DC33C4" w:rsidP="006A73A0">
            <w:pPr>
              <w:pStyle w:val="AmColumnHeading"/>
              <w:keepNext/>
            </w:pPr>
            <w:r w:rsidRPr="006C6DF3">
              <w:t>Projekt Europejskiego Banku Centralnego</w:t>
            </w:r>
          </w:p>
        </w:tc>
        <w:tc>
          <w:tcPr>
            <w:tcW w:w="4876" w:type="dxa"/>
          </w:tcPr>
          <w:p w14:paraId="1F359480" w14:textId="77777777" w:rsidR="00DC33C4" w:rsidRPr="006C6DF3" w:rsidRDefault="00DC33C4" w:rsidP="006A73A0">
            <w:pPr>
              <w:pStyle w:val="AmColumnHeading"/>
              <w:keepNext/>
            </w:pPr>
            <w:r w:rsidRPr="006C6DF3">
              <w:t>Poprawka</w:t>
            </w:r>
          </w:p>
        </w:tc>
      </w:tr>
      <w:tr w:rsidR="00DC33C4" w:rsidRPr="006C6DF3" w14:paraId="6F781B58" w14:textId="77777777" w:rsidTr="006A73A0">
        <w:trPr>
          <w:jc w:val="center"/>
        </w:trPr>
        <w:tc>
          <w:tcPr>
            <w:tcW w:w="4876" w:type="dxa"/>
          </w:tcPr>
          <w:p w14:paraId="2E6243E5" w14:textId="77777777" w:rsidR="00DC33C4" w:rsidRPr="006C6DF3" w:rsidRDefault="00DC33C4" w:rsidP="006A73A0">
            <w:pPr>
              <w:pStyle w:val="Normal6a"/>
            </w:pPr>
            <w:r w:rsidRPr="006C6DF3">
              <w:t>a)</w:t>
            </w:r>
            <w:r w:rsidRPr="006C6DF3">
              <w:tab/>
              <w:t>wykorzystuje w największym możliwym zakresie istniejące statystyki;</w:t>
            </w:r>
          </w:p>
        </w:tc>
        <w:tc>
          <w:tcPr>
            <w:tcW w:w="4876" w:type="dxa"/>
          </w:tcPr>
          <w:p w14:paraId="0AD383E8" w14:textId="77777777" w:rsidR="00DC33C4" w:rsidRPr="006C6DF3" w:rsidRDefault="00DC33C4" w:rsidP="006A73A0">
            <w:pPr>
              <w:pStyle w:val="Normal6a"/>
              <w:rPr>
                <w:szCs w:val="24"/>
              </w:rPr>
            </w:pPr>
            <w:r w:rsidRPr="006C6DF3">
              <w:t>a)</w:t>
            </w:r>
            <w:r w:rsidRPr="006C6DF3">
              <w:tab/>
              <w:t>wykorzystuje w największym możliwym zakresie istniejące statystyki</w:t>
            </w:r>
            <w:r w:rsidRPr="006C6DF3">
              <w:rPr>
                <w:b/>
                <w:i/>
              </w:rPr>
              <w:t>, zgodnie z zasadą jednorazowości i w stosownych przypadkach z zastosowaniem rozwiązań cyfrowych</w:t>
            </w:r>
            <w:r w:rsidRPr="006C6DF3">
              <w:t>;</w:t>
            </w:r>
          </w:p>
        </w:tc>
      </w:tr>
    </w:tbl>
    <w:p w14:paraId="6DBDE46B" w14:textId="77777777" w:rsidR="00DC33C4" w:rsidRPr="006C6DF3" w:rsidRDefault="00DC33C4" w:rsidP="00DC33C4">
      <w:pPr>
        <w:pStyle w:val="AmNumberTabs"/>
        <w:keepNext/>
      </w:pPr>
      <w:r w:rsidRPr="006C6DF3">
        <w:t>Poprawka</w:t>
      </w:r>
      <w:r w:rsidRPr="006C6DF3">
        <w:tab/>
      </w:r>
      <w:r w:rsidRPr="006C6DF3">
        <w:tab/>
        <w:t>8</w:t>
      </w:r>
    </w:p>
    <w:p w14:paraId="28F0DAFA" w14:textId="77777777" w:rsidR="00DC33C4" w:rsidRPr="006C6DF3" w:rsidRDefault="00DC33C4" w:rsidP="00DC33C4">
      <w:pPr>
        <w:pStyle w:val="NormalBold12b"/>
        <w:keepNext/>
      </w:pPr>
      <w:r w:rsidRPr="006C6DF3">
        <w:t>Projekt rozporządzenia</w:t>
      </w:r>
    </w:p>
    <w:p w14:paraId="3B0D7745" w14:textId="77777777" w:rsidR="00DC33C4" w:rsidRPr="006C6DF3" w:rsidRDefault="00DC33C4" w:rsidP="00DC33C4">
      <w:pPr>
        <w:pStyle w:val="NormalBold"/>
        <w:keepNext/>
        <w:rPr>
          <w:rFonts w:eastAsiaTheme="majorEastAsia"/>
        </w:rPr>
      </w:pPr>
      <w:r w:rsidRPr="006C6DF3">
        <w:t>Artykuł 1 – akapit 1 – punkt 3</w:t>
      </w:r>
    </w:p>
    <w:p w14:paraId="0EA572BA" w14:textId="77777777" w:rsidR="00DC33C4" w:rsidRPr="006C6DF3" w:rsidRDefault="00DC33C4" w:rsidP="00DC33C4">
      <w:pPr>
        <w:widowControl/>
      </w:pPr>
      <w:r w:rsidRPr="006C6DF3">
        <w:t>Rozporządzenie (WE) nr 2533/98</w:t>
      </w:r>
    </w:p>
    <w:p w14:paraId="7C2F092E" w14:textId="77777777" w:rsidR="00DC33C4" w:rsidRPr="006C6DF3" w:rsidRDefault="00DC33C4" w:rsidP="00DC33C4">
      <w:pPr>
        <w:widowControl/>
      </w:pPr>
      <w:r w:rsidRPr="006C6DF3">
        <w:t>Artykuł 3 – ustęp 1 – akapit 1 – litera b a (nowa)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C33C4" w:rsidRPr="006C6DF3" w14:paraId="580E1995" w14:textId="77777777" w:rsidTr="006A73A0">
        <w:trPr>
          <w:jc w:val="center"/>
        </w:trPr>
        <w:tc>
          <w:tcPr>
            <w:tcW w:w="9752" w:type="dxa"/>
            <w:gridSpan w:val="2"/>
          </w:tcPr>
          <w:p w14:paraId="33803215" w14:textId="77777777" w:rsidR="00DC33C4" w:rsidRPr="006C6DF3" w:rsidRDefault="00DC33C4" w:rsidP="006A73A0">
            <w:pPr>
              <w:keepNext/>
            </w:pPr>
          </w:p>
        </w:tc>
      </w:tr>
      <w:tr w:rsidR="00DC33C4" w:rsidRPr="006C6DF3" w14:paraId="318F5FF5" w14:textId="77777777" w:rsidTr="006A73A0">
        <w:trPr>
          <w:jc w:val="center"/>
        </w:trPr>
        <w:tc>
          <w:tcPr>
            <w:tcW w:w="4876" w:type="dxa"/>
          </w:tcPr>
          <w:p w14:paraId="2FF84DAF" w14:textId="77777777" w:rsidR="00DC33C4" w:rsidRPr="006C6DF3" w:rsidRDefault="00DC33C4" w:rsidP="006A73A0">
            <w:pPr>
              <w:pStyle w:val="AmColumnHeading"/>
              <w:keepNext/>
            </w:pPr>
            <w:r w:rsidRPr="006C6DF3">
              <w:t>Projekt Europejskiego Banku Centralnego</w:t>
            </w:r>
          </w:p>
        </w:tc>
        <w:tc>
          <w:tcPr>
            <w:tcW w:w="4876" w:type="dxa"/>
          </w:tcPr>
          <w:p w14:paraId="63C90345" w14:textId="77777777" w:rsidR="00DC33C4" w:rsidRPr="006C6DF3" w:rsidRDefault="00DC33C4" w:rsidP="006A73A0">
            <w:pPr>
              <w:pStyle w:val="AmColumnHeading"/>
              <w:keepNext/>
            </w:pPr>
            <w:r w:rsidRPr="006C6DF3">
              <w:t>Poprawka</w:t>
            </w:r>
          </w:p>
        </w:tc>
      </w:tr>
      <w:tr w:rsidR="00DC33C4" w:rsidRPr="006C6DF3" w14:paraId="050F7439" w14:textId="77777777" w:rsidTr="006A73A0">
        <w:trPr>
          <w:jc w:val="center"/>
        </w:trPr>
        <w:tc>
          <w:tcPr>
            <w:tcW w:w="4876" w:type="dxa"/>
          </w:tcPr>
          <w:p w14:paraId="64611770" w14:textId="77777777" w:rsidR="00DC33C4" w:rsidRPr="006C6DF3" w:rsidRDefault="00DC33C4" w:rsidP="006A73A0">
            <w:pPr>
              <w:pStyle w:val="Normal6a"/>
            </w:pPr>
          </w:p>
        </w:tc>
        <w:tc>
          <w:tcPr>
            <w:tcW w:w="4876" w:type="dxa"/>
          </w:tcPr>
          <w:p w14:paraId="7BCD10EE" w14:textId="77777777" w:rsidR="00DC33C4" w:rsidRPr="006C6DF3" w:rsidRDefault="00DC33C4" w:rsidP="006A73A0">
            <w:pPr>
              <w:pStyle w:val="Normal6a"/>
              <w:rPr>
                <w:szCs w:val="24"/>
              </w:rPr>
            </w:pPr>
            <w:r w:rsidRPr="006C6DF3">
              <w:rPr>
                <w:b/>
                <w:i/>
              </w:rPr>
              <w:t>ba)</w:t>
            </w:r>
            <w:r w:rsidRPr="006C6DF3">
              <w:rPr>
                <w:b/>
                <w:i/>
              </w:rPr>
              <w:tab/>
              <w:t>uwzględnia ogólne strategie polityczne i cele gospodarcze w Unii, w tym politykę klimatyczną i środowiskową;</w:t>
            </w:r>
          </w:p>
        </w:tc>
      </w:tr>
    </w:tbl>
    <w:p w14:paraId="3CEA68A1" w14:textId="77777777" w:rsidR="00DC33C4" w:rsidRPr="006C6DF3" w:rsidRDefault="00DC33C4" w:rsidP="00DC33C4">
      <w:pPr>
        <w:pStyle w:val="AmNumberTabs"/>
        <w:keepNext/>
      </w:pPr>
      <w:r w:rsidRPr="006C6DF3">
        <w:t>Poprawka</w:t>
      </w:r>
      <w:r w:rsidRPr="006C6DF3">
        <w:tab/>
      </w:r>
      <w:r w:rsidRPr="006C6DF3">
        <w:tab/>
        <w:t>9</w:t>
      </w:r>
    </w:p>
    <w:p w14:paraId="07BCABA1" w14:textId="77777777" w:rsidR="00DC33C4" w:rsidRPr="006C6DF3" w:rsidRDefault="00DC33C4" w:rsidP="00DC33C4">
      <w:pPr>
        <w:pStyle w:val="NormalBold12b"/>
        <w:keepNext/>
      </w:pPr>
      <w:r w:rsidRPr="006C6DF3">
        <w:t>Projekt rozporządzenia</w:t>
      </w:r>
    </w:p>
    <w:p w14:paraId="6C10E95F" w14:textId="77777777" w:rsidR="00DC33C4" w:rsidRPr="006C6DF3" w:rsidRDefault="00DC33C4" w:rsidP="00DC33C4">
      <w:pPr>
        <w:pStyle w:val="NormalBold"/>
        <w:keepNext/>
        <w:rPr>
          <w:rFonts w:eastAsiaTheme="majorEastAsia"/>
        </w:rPr>
      </w:pPr>
      <w:r w:rsidRPr="006C6DF3">
        <w:t>Artykuł 1 – akapit 1 – punkt 4 – litera b a (nowa)</w:t>
      </w:r>
    </w:p>
    <w:p w14:paraId="5FD5CFF4" w14:textId="77777777" w:rsidR="00DC33C4" w:rsidRPr="006C6DF3" w:rsidRDefault="00DC33C4" w:rsidP="00DC33C4">
      <w:pPr>
        <w:widowControl/>
      </w:pPr>
      <w:r w:rsidRPr="006C6DF3">
        <w:t>Rozporządzenie (WE) nr 2533/98</w:t>
      </w:r>
    </w:p>
    <w:p w14:paraId="2897B9F4" w14:textId="77777777" w:rsidR="00DC33C4" w:rsidRPr="006C6DF3" w:rsidRDefault="00DC33C4" w:rsidP="00DC33C4">
      <w:pPr>
        <w:widowControl/>
      </w:pPr>
      <w:r w:rsidRPr="006C6DF3">
        <w:t>Artykuł 7 – ustęp 4 a (nowy)</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C33C4" w:rsidRPr="006C6DF3" w14:paraId="3A6D2FE7" w14:textId="77777777" w:rsidTr="006A73A0">
        <w:trPr>
          <w:jc w:val="center"/>
        </w:trPr>
        <w:tc>
          <w:tcPr>
            <w:tcW w:w="9752" w:type="dxa"/>
            <w:gridSpan w:val="2"/>
          </w:tcPr>
          <w:p w14:paraId="5FC59836" w14:textId="77777777" w:rsidR="00DC33C4" w:rsidRPr="006C6DF3" w:rsidRDefault="00DC33C4" w:rsidP="006A73A0">
            <w:pPr>
              <w:keepNext/>
            </w:pPr>
          </w:p>
        </w:tc>
      </w:tr>
      <w:tr w:rsidR="00DC33C4" w:rsidRPr="006C6DF3" w14:paraId="05C46454" w14:textId="77777777" w:rsidTr="006A73A0">
        <w:trPr>
          <w:jc w:val="center"/>
        </w:trPr>
        <w:tc>
          <w:tcPr>
            <w:tcW w:w="4876" w:type="dxa"/>
          </w:tcPr>
          <w:p w14:paraId="09D3740F" w14:textId="77777777" w:rsidR="00DC33C4" w:rsidRPr="006C6DF3" w:rsidRDefault="00DC33C4" w:rsidP="006A73A0">
            <w:pPr>
              <w:pStyle w:val="AmColumnHeading"/>
              <w:keepNext/>
            </w:pPr>
            <w:r w:rsidRPr="006C6DF3">
              <w:t>Projekt Europejskiego Banku Centralnego</w:t>
            </w:r>
          </w:p>
        </w:tc>
        <w:tc>
          <w:tcPr>
            <w:tcW w:w="4876" w:type="dxa"/>
          </w:tcPr>
          <w:p w14:paraId="10180D56" w14:textId="77777777" w:rsidR="00DC33C4" w:rsidRPr="006C6DF3" w:rsidRDefault="00DC33C4" w:rsidP="006A73A0">
            <w:pPr>
              <w:pStyle w:val="AmColumnHeading"/>
              <w:keepNext/>
            </w:pPr>
            <w:r w:rsidRPr="006C6DF3">
              <w:t>Poprawka</w:t>
            </w:r>
          </w:p>
        </w:tc>
      </w:tr>
      <w:tr w:rsidR="00DC33C4" w:rsidRPr="006C6DF3" w14:paraId="30ECB1F5" w14:textId="77777777" w:rsidTr="006A73A0">
        <w:trPr>
          <w:jc w:val="center"/>
        </w:trPr>
        <w:tc>
          <w:tcPr>
            <w:tcW w:w="4876" w:type="dxa"/>
          </w:tcPr>
          <w:p w14:paraId="5A4993F3" w14:textId="77777777" w:rsidR="00DC33C4" w:rsidRPr="006C6DF3" w:rsidRDefault="00DC33C4" w:rsidP="006A73A0">
            <w:pPr>
              <w:pStyle w:val="Normal6a"/>
            </w:pPr>
          </w:p>
        </w:tc>
        <w:tc>
          <w:tcPr>
            <w:tcW w:w="4876" w:type="dxa"/>
          </w:tcPr>
          <w:p w14:paraId="53BDBC46" w14:textId="77777777" w:rsidR="00DC33C4" w:rsidRPr="006C6DF3" w:rsidRDefault="00DC33C4" w:rsidP="006A73A0">
            <w:pPr>
              <w:spacing w:after="120"/>
              <w:rPr>
                <w:szCs w:val="24"/>
              </w:rPr>
            </w:pPr>
            <w:r w:rsidRPr="006C6DF3">
              <w:rPr>
                <w:b/>
                <w:i/>
              </w:rPr>
              <w:t>ba)</w:t>
            </w:r>
            <w:r w:rsidRPr="006C6DF3">
              <w:rPr>
                <w:b/>
                <w:i/>
              </w:rPr>
              <w:tab/>
              <w:t>dodaje się ustęp w brzmieniu:</w:t>
            </w:r>
          </w:p>
        </w:tc>
      </w:tr>
      <w:tr w:rsidR="00DC33C4" w:rsidRPr="006C6DF3" w14:paraId="7EA6BBB0" w14:textId="77777777" w:rsidTr="006A73A0">
        <w:trPr>
          <w:jc w:val="center"/>
        </w:trPr>
        <w:tc>
          <w:tcPr>
            <w:tcW w:w="4876" w:type="dxa"/>
          </w:tcPr>
          <w:p w14:paraId="0373C665" w14:textId="77777777" w:rsidR="00DC33C4" w:rsidRPr="006C6DF3" w:rsidRDefault="00DC33C4" w:rsidP="006A73A0">
            <w:pPr>
              <w:pStyle w:val="Normal6a"/>
            </w:pPr>
          </w:p>
        </w:tc>
        <w:tc>
          <w:tcPr>
            <w:tcW w:w="4876" w:type="dxa"/>
          </w:tcPr>
          <w:p w14:paraId="0B8EC1A0" w14:textId="77777777" w:rsidR="00DC33C4" w:rsidRPr="006C6DF3" w:rsidRDefault="00DC33C4" w:rsidP="006A73A0">
            <w:pPr>
              <w:pStyle w:val="Normal6a"/>
            </w:pPr>
            <w:r w:rsidRPr="006C6DF3">
              <w:rPr>
                <w:b/>
                <w:i/>
              </w:rPr>
              <w:t>4a.</w:t>
            </w:r>
            <w:r w:rsidRPr="006C6DF3">
              <w:rPr>
                <w:b/>
                <w:i/>
              </w:rPr>
              <w:tab/>
              <w:t xml:space="preserve">Co pięć lat EBC uaktualnia wysokość grzywien określonych w ust. 4, uwzględniając wysokość inflacji w strefie </w:t>
            </w:r>
            <w:r w:rsidRPr="006C6DF3">
              <w:rPr>
                <w:b/>
                <w:i/>
              </w:rPr>
              <w:lastRenderedPageBreak/>
              <w:t>euro.</w:t>
            </w:r>
          </w:p>
        </w:tc>
      </w:tr>
    </w:tbl>
    <w:p w14:paraId="5D7B415A" w14:textId="77777777" w:rsidR="00DC33C4" w:rsidRPr="006C6DF3" w:rsidRDefault="00DC33C4" w:rsidP="00DC33C4">
      <w:pPr>
        <w:pStyle w:val="AmNumberTabs"/>
        <w:keepNext/>
      </w:pPr>
      <w:r w:rsidRPr="006C6DF3">
        <w:lastRenderedPageBreak/>
        <w:t>Poprawka</w:t>
      </w:r>
      <w:r w:rsidRPr="006C6DF3">
        <w:tab/>
      </w:r>
      <w:r w:rsidRPr="006C6DF3">
        <w:tab/>
        <w:t>10</w:t>
      </w:r>
    </w:p>
    <w:p w14:paraId="5C87019F" w14:textId="77777777" w:rsidR="00DC33C4" w:rsidRPr="006C6DF3" w:rsidRDefault="00DC33C4" w:rsidP="00DC33C4">
      <w:pPr>
        <w:pStyle w:val="NormalBold12b"/>
        <w:keepNext/>
      </w:pPr>
      <w:r w:rsidRPr="006C6DF3">
        <w:t>Projekt rozporządzenia</w:t>
      </w:r>
    </w:p>
    <w:p w14:paraId="42560821" w14:textId="77777777" w:rsidR="00DC33C4" w:rsidRPr="006C6DF3" w:rsidRDefault="00DC33C4" w:rsidP="00DC33C4">
      <w:pPr>
        <w:pStyle w:val="NormalBold"/>
        <w:keepNext/>
        <w:rPr>
          <w:rFonts w:eastAsiaTheme="majorEastAsia"/>
        </w:rPr>
      </w:pPr>
      <w:r w:rsidRPr="006C6DF3">
        <w:t>Artykuł 1 – akapit 1 – punkt 5</w:t>
      </w:r>
    </w:p>
    <w:p w14:paraId="7982ABE2" w14:textId="77777777" w:rsidR="00DC33C4" w:rsidRPr="006C6DF3" w:rsidRDefault="00DC33C4" w:rsidP="00DC33C4">
      <w:pPr>
        <w:widowControl/>
      </w:pPr>
      <w:r w:rsidRPr="006C6DF3">
        <w:t>Rozporządzenie (WE) nr 2533/98</w:t>
      </w:r>
    </w:p>
    <w:p w14:paraId="2508EB66" w14:textId="77777777" w:rsidR="00DC33C4" w:rsidRPr="006C6DF3" w:rsidRDefault="00DC33C4" w:rsidP="00DC33C4">
      <w:pPr>
        <w:widowControl/>
      </w:pPr>
      <w:r w:rsidRPr="006C6DF3">
        <w:t>Artykuł 8 – akapit 1 – punkt 2 – litera b</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C33C4" w:rsidRPr="006C6DF3" w14:paraId="1C5B2940" w14:textId="77777777" w:rsidTr="006A73A0">
        <w:trPr>
          <w:jc w:val="center"/>
        </w:trPr>
        <w:tc>
          <w:tcPr>
            <w:tcW w:w="9752" w:type="dxa"/>
            <w:gridSpan w:val="2"/>
          </w:tcPr>
          <w:p w14:paraId="623B69EA" w14:textId="77777777" w:rsidR="00DC33C4" w:rsidRPr="006C6DF3" w:rsidRDefault="00DC33C4" w:rsidP="006A73A0">
            <w:pPr>
              <w:keepNext/>
            </w:pPr>
          </w:p>
        </w:tc>
      </w:tr>
      <w:tr w:rsidR="00DC33C4" w:rsidRPr="006C6DF3" w14:paraId="223F4794" w14:textId="77777777" w:rsidTr="006A73A0">
        <w:trPr>
          <w:jc w:val="center"/>
        </w:trPr>
        <w:tc>
          <w:tcPr>
            <w:tcW w:w="4876" w:type="dxa"/>
          </w:tcPr>
          <w:p w14:paraId="704A3DA9" w14:textId="77777777" w:rsidR="00DC33C4" w:rsidRPr="006C6DF3" w:rsidRDefault="00DC33C4" w:rsidP="006A73A0">
            <w:pPr>
              <w:pStyle w:val="AmColumnHeading"/>
              <w:keepNext/>
            </w:pPr>
            <w:r w:rsidRPr="006C6DF3">
              <w:t>Projekt Europejskiego Banku Centralnego</w:t>
            </w:r>
          </w:p>
        </w:tc>
        <w:tc>
          <w:tcPr>
            <w:tcW w:w="4876" w:type="dxa"/>
          </w:tcPr>
          <w:p w14:paraId="6B2C6C2F" w14:textId="77777777" w:rsidR="00DC33C4" w:rsidRPr="006C6DF3" w:rsidRDefault="00DC33C4" w:rsidP="006A73A0">
            <w:pPr>
              <w:pStyle w:val="AmColumnHeading"/>
              <w:keepNext/>
            </w:pPr>
            <w:r w:rsidRPr="006C6DF3">
              <w:t>Poprawka</w:t>
            </w:r>
          </w:p>
        </w:tc>
      </w:tr>
      <w:tr w:rsidR="00DC33C4" w:rsidRPr="006C6DF3" w14:paraId="0015C2D8" w14:textId="77777777" w:rsidTr="006A73A0">
        <w:trPr>
          <w:jc w:val="center"/>
        </w:trPr>
        <w:tc>
          <w:tcPr>
            <w:tcW w:w="4876" w:type="dxa"/>
          </w:tcPr>
          <w:p w14:paraId="70A9C005" w14:textId="77777777" w:rsidR="00DC33C4" w:rsidRPr="006C6DF3" w:rsidRDefault="00DC33C4" w:rsidP="006A73A0">
            <w:pPr>
              <w:widowControl/>
            </w:pPr>
            <w:r w:rsidRPr="006C6DF3">
              <w:t>b)</w:t>
            </w:r>
            <w:r w:rsidRPr="006C6DF3">
              <w:tab/>
              <w:t xml:space="preserve">udostępniają poufne informacje statystyczne innym uprawnionym podmiotom w celu wykonywania ich odpowiednich statutowych zadań związanych </w:t>
            </w:r>
            <w:r w:rsidRPr="006C6DF3">
              <w:rPr>
                <w:b/>
                <w:i/>
              </w:rPr>
              <w:t>z nadzorem ostrożnościowym</w:t>
            </w:r>
            <w:r w:rsidRPr="006C6DF3">
              <w:t xml:space="preserve"> i </w:t>
            </w:r>
            <w:r w:rsidRPr="006C6DF3">
              <w:rPr>
                <w:b/>
                <w:i/>
              </w:rPr>
              <w:t>stabilnością</w:t>
            </w:r>
            <w:r w:rsidRPr="006C6DF3">
              <w:t xml:space="preserve"> systemu finansowego;</w:t>
            </w:r>
          </w:p>
        </w:tc>
        <w:tc>
          <w:tcPr>
            <w:tcW w:w="4876" w:type="dxa"/>
          </w:tcPr>
          <w:p w14:paraId="3B38760E" w14:textId="77777777" w:rsidR="00DC33C4" w:rsidRPr="006C6DF3" w:rsidRDefault="00DC33C4" w:rsidP="006A73A0">
            <w:pPr>
              <w:pStyle w:val="Normal6a"/>
              <w:rPr>
                <w:szCs w:val="24"/>
              </w:rPr>
            </w:pPr>
            <w:r w:rsidRPr="006C6DF3">
              <w:t>b)</w:t>
            </w:r>
            <w:r w:rsidRPr="006C6DF3">
              <w:tab/>
              <w:t xml:space="preserve">udostępniają poufne informacje statystyczne innym uprawnionym podmiotom w celu wykonywania ich odpowiednich statutowych zadań związanych </w:t>
            </w:r>
            <w:r w:rsidRPr="006C6DF3">
              <w:rPr>
                <w:b/>
                <w:i/>
              </w:rPr>
              <w:t>ze stabilnością</w:t>
            </w:r>
            <w:r w:rsidRPr="006C6DF3">
              <w:t xml:space="preserve"> i </w:t>
            </w:r>
            <w:r w:rsidRPr="006C6DF3">
              <w:rPr>
                <w:b/>
                <w:bCs/>
                <w:i/>
                <w:iCs/>
              </w:rPr>
              <w:t>z</w:t>
            </w:r>
            <w:r w:rsidRPr="006C6DF3">
              <w:t xml:space="preserve"> </w:t>
            </w:r>
            <w:r w:rsidRPr="006C6DF3">
              <w:rPr>
                <w:b/>
                <w:i/>
              </w:rPr>
              <w:t>efektywnością</w:t>
            </w:r>
            <w:r w:rsidRPr="006C6DF3">
              <w:t xml:space="preserve"> systemu finansowego</w:t>
            </w:r>
            <w:r w:rsidRPr="006C6DF3">
              <w:rPr>
                <w:b/>
                <w:i/>
              </w:rPr>
              <w:t xml:space="preserve"> w krótkim, średnim i długim terminie</w:t>
            </w:r>
            <w:r w:rsidRPr="006C6DF3">
              <w:t>;</w:t>
            </w:r>
          </w:p>
        </w:tc>
      </w:tr>
    </w:tbl>
    <w:p w14:paraId="5DE07E15" w14:textId="77777777" w:rsidR="00DC33C4" w:rsidRPr="006C6DF3" w:rsidRDefault="00DC33C4" w:rsidP="00DC33C4">
      <w:pPr>
        <w:pStyle w:val="AmNumberTabs"/>
        <w:keepNext/>
      </w:pPr>
      <w:r w:rsidRPr="006C6DF3">
        <w:t>Poprawka</w:t>
      </w:r>
      <w:r w:rsidRPr="006C6DF3">
        <w:tab/>
      </w:r>
      <w:r w:rsidRPr="006C6DF3">
        <w:tab/>
        <w:t>11</w:t>
      </w:r>
    </w:p>
    <w:p w14:paraId="0851CC84" w14:textId="77777777" w:rsidR="00DC33C4" w:rsidRPr="006C6DF3" w:rsidRDefault="00DC33C4" w:rsidP="00DC33C4">
      <w:pPr>
        <w:pStyle w:val="NormalBold12b"/>
        <w:keepNext/>
      </w:pPr>
      <w:r w:rsidRPr="006C6DF3">
        <w:t>Projekt rozporządzenia</w:t>
      </w:r>
    </w:p>
    <w:p w14:paraId="451F9FBF" w14:textId="77777777" w:rsidR="00DC33C4" w:rsidRPr="006C6DF3" w:rsidRDefault="00DC33C4" w:rsidP="00DC33C4">
      <w:pPr>
        <w:pStyle w:val="NormalBold"/>
        <w:keepNext/>
        <w:rPr>
          <w:rFonts w:eastAsiaTheme="majorEastAsia"/>
        </w:rPr>
      </w:pPr>
      <w:r w:rsidRPr="006C6DF3">
        <w:t>Artykuł 1 – akapit 1 – punkt 5</w:t>
      </w:r>
    </w:p>
    <w:p w14:paraId="69403A47" w14:textId="77777777" w:rsidR="00DC33C4" w:rsidRPr="006C6DF3" w:rsidRDefault="00DC33C4" w:rsidP="00DC33C4">
      <w:pPr>
        <w:widowControl/>
      </w:pPr>
      <w:r w:rsidRPr="006C6DF3">
        <w:t>Rozporządzenie (WE) nr 2533/98</w:t>
      </w:r>
    </w:p>
    <w:p w14:paraId="6008921A" w14:textId="77777777" w:rsidR="00DC33C4" w:rsidRPr="006C6DF3" w:rsidRDefault="00DC33C4" w:rsidP="00DC33C4">
      <w:pPr>
        <w:widowControl/>
      </w:pPr>
      <w:r w:rsidRPr="006C6DF3">
        <w:t>Artykuł 8 – akapit 1 – punkt 2 – litera e</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C33C4" w:rsidRPr="006C6DF3" w14:paraId="19899377" w14:textId="77777777" w:rsidTr="006A73A0">
        <w:trPr>
          <w:jc w:val="center"/>
        </w:trPr>
        <w:tc>
          <w:tcPr>
            <w:tcW w:w="9752" w:type="dxa"/>
            <w:gridSpan w:val="2"/>
          </w:tcPr>
          <w:p w14:paraId="43D9E741" w14:textId="77777777" w:rsidR="00DC33C4" w:rsidRPr="006C6DF3" w:rsidRDefault="00DC33C4" w:rsidP="006A73A0">
            <w:pPr>
              <w:keepNext/>
            </w:pPr>
          </w:p>
        </w:tc>
      </w:tr>
      <w:tr w:rsidR="00DC33C4" w:rsidRPr="006C6DF3" w14:paraId="260E85E5" w14:textId="77777777" w:rsidTr="006A73A0">
        <w:trPr>
          <w:jc w:val="center"/>
        </w:trPr>
        <w:tc>
          <w:tcPr>
            <w:tcW w:w="4876" w:type="dxa"/>
          </w:tcPr>
          <w:p w14:paraId="4DEAF074" w14:textId="77777777" w:rsidR="00DC33C4" w:rsidRPr="006C6DF3" w:rsidRDefault="00DC33C4" w:rsidP="006A73A0">
            <w:pPr>
              <w:pStyle w:val="AmColumnHeading"/>
              <w:keepNext/>
            </w:pPr>
            <w:r w:rsidRPr="006C6DF3">
              <w:t>Projekt Europejskiego Banku Centralnego</w:t>
            </w:r>
          </w:p>
        </w:tc>
        <w:tc>
          <w:tcPr>
            <w:tcW w:w="4876" w:type="dxa"/>
          </w:tcPr>
          <w:p w14:paraId="49178322" w14:textId="77777777" w:rsidR="00DC33C4" w:rsidRPr="006C6DF3" w:rsidRDefault="00DC33C4" w:rsidP="006A73A0">
            <w:pPr>
              <w:pStyle w:val="AmColumnHeading"/>
              <w:keepNext/>
            </w:pPr>
            <w:r w:rsidRPr="006C6DF3">
              <w:t>Poprawka</w:t>
            </w:r>
          </w:p>
        </w:tc>
      </w:tr>
      <w:tr w:rsidR="00DC33C4" w:rsidRPr="006C6DF3" w14:paraId="3DE968A3" w14:textId="77777777" w:rsidTr="006A73A0">
        <w:trPr>
          <w:jc w:val="center"/>
        </w:trPr>
        <w:tc>
          <w:tcPr>
            <w:tcW w:w="4876" w:type="dxa"/>
          </w:tcPr>
          <w:p w14:paraId="1633742A" w14:textId="77777777" w:rsidR="00DC33C4" w:rsidRPr="006C6DF3" w:rsidRDefault="00DC33C4" w:rsidP="006A73A0">
            <w:pPr>
              <w:pStyle w:val="Normal6a"/>
            </w:pPr>
            <w:r w:rsidRPr="006C6DF3">
              <w:t>e)</w:t>
            </w:r>
            <w:r w:rsidRPr="006C6DF3">
              <w:tab/>
            </w:r>
            <w:r w:rsidRPr="006C6DF3">
              <w:rPr>
                <w:b/>
                <w:i/>
              </w:rPr>
              <w:t>mogą udzielać</w:t>
            </w:r>
            <w:r w:rsidRPr="006C6DF3">
              <w:t xml:space="preserve"> naukowcom powiązanym z naukowymi instytucjami badawczymi </w:t>
            </w:r>
            <w:r w:rsidRPr="006C6DF3">
              <w:rPr>
                <w:b/>
                <w:i/>
              </w:rPr>
              <w:t>dostępu</w:t>
            </w:r>
            <w:r w:rsidRPr="006C6DF3">
              <w:t xml:space="preserve"> do poufnych informacji statystycznych, które nie pozwalają na bezpośrednią identyfikację podmiotu sprawozdającego, innej osoby prawnej lub fizycznej, podmiotu lub oddziału;</w:t>
            </w:r>
          </w:p>
        </w:tc>
        <w:tc>
          <w:tcPr>
            <w:tcW w:w="4876" w:type="dxa"/>
          </w:tcPr>
          <w:p w14:paraId="4EFC3E28" w14:textId="77777777" w:rsidR="00DC33C4" w:rsidRPr="006C6DF3" w:rsidRDefault="00DC33C4" w:rsidP="006A73A0">
            <w:pPr>
              <w:pStyle w:val="Normal6a"/>
              <w:rPr>
                <w:szCs w:val="24"/>
              </w:rPr>
            </w:pPr>
            <w:r w:rsidRPr="006C6DF3">
              <w:t>e)</w:t>
            </w:r>
            <w:r w:rsidRPr="006C6DF3">
              <w:tab/>
            </w:r>
            <w:r w:rsidRPr="006C6DF3">
              <w:rPr>
                <w:b/>
                <w:i/>
              </w:rPr>
              <w:t>ustanawiają stałe ramy ułatwiające i przyznające</w:t>
            </w:r>
            <w:r w:rsidRPr="006C6DF3">
              <w:t xml:space="preserve"> naukowcom powiązanym z naukowymi instytucjami badawczymi </w:t>
            </w:r>
            <w:r w:rsidRPr="006C6DF3">
              <w:rPr>
                <w:b/>
                <w:i/>
              </w:rPr>
              <w:t>dostęp</w:t>
            </w:r>
            <w:r w:rsidRPr="006C6DF3">
              <w:t xml:space="preserve"> do poufnych informacji statystycznych</w:t>
            </w:r>
            <w:r w:rsidRPr="006C6DF3">
              <w:rPr>
                <w:b/>
                <w:i/>
              </w:rPr>
              <w:t xml:space="preserve"> obejmujących wszystkie główne zbiory danych EBC</w:t>
            </w:r>
            <w:r w:rsidRPr="006C6DF3">
              <w:t>, które nie pozwalają na bezpośrednią identyfikację podmiotu sprawozdającego, innej osoby prawnej lub fizycznej, podmiotu lub oddziału;</w:t>
            </w:r>
          </w:p>
        </w:tc>
      </w:tr>
    </w:tbl>
    <w:p w14:paraId="3E600277" w14:textId="77777777" w:rsidR="00DC33C4" w:rsidRPr="006C6DF3" w:rsidRDefault="00DC33C4" w:rsidP="00DC33C4">
      <w:pPr>
        <w:pStyle w:val="AmNumberTabs"/>
        <w:keepNext/>
      </w:pPr>
      <w:r w:rsidRPr="006C6DF3">
        <w:t>Poprawka</w:t>
      </w:r>
      <w:r w:rsidRPr="006C6DF3">
        <w:tab/>
      </w:r>
      <w:r w:rsidRPr="006C6DF3">
        <w:tab/>
        <w:t>12</w:t>
      </w:r>
    </w:p>
    <w:p w14:paraId="044B737D" w14:textId="77777777" w:rsidR="00DC33C4" w:rsidRPr="006C6DF3" w:rsidRDefault="00DC33C4" w:rsidP="00DC33C4">
      <w:pPr>
        <w:pStyle w:val="NormalBold12b"/>
        <w:keepNext/>
      </w:pPr>
      <w:r w:rsidRPr="006C6DF3">
        <w:t>Projekt rozporządzenia</w:t>
      </w:r>
    </w:p>
    <w:p w14:paraId="5D9A373C" w14:textId="77777777" w:rsidR="00DC33C4" w:rsidRPr="006C6DF3" w:rsidRDefault="00DC33C4" w:rsidP="00DC33C4">
      <w:pPr>
        <w:pStyle w:val="NormalBold"/>
        <w:keepNext/>
        <w:rPr>
          <w:rFonts w:eastAsiaTheme="majorEastAsia"/>
        </w:rPr>
      </w:pPr>
      <w:r w:rsidRPr="006C6DF3">
        <w:t>Artykuł 1 – akapit 1 – punkt 5</w:t>
      </w:r>
    </w:p>
    <w:p w14:paraId="0045D4D0" w14:textId="77777777" w:rsidR="00DC33C4" w:rsidRPr="006C6DF3" w:rsidRDefault="00DC33C4" w:rsidP="00DC33C4">
      <w:pPr>
        <w:widowControl/>
      </w:pPr>
      <w:r w:rsidRPr="006C6DF3">
        <w:t>Rozporządzenie (WE) nr 2533/98</w:t>
      </w:r>
    </w:p>
    <w:p w14:paraId="1201E524" w14:textId="77777777" w:rsidR="00DC33C4" w:rsidRPr="006C6DF3" w:rsidRDefault="00DC33C4" w:rsidP="00DC33C4">
      <w:pPr>
        <w:widowControl/>
      </w:pPr>
      <w:r w:rsidRPr="006C6DF3">
        <w:t>Artykuł 8 – akapit 1 – punkt 2 a (nowy)</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C33C4" w:rsidRPr="006C6DF3" w14:paraId="0417D509" w14:textId="77777777" w:rsidTr="006A73A0">
        <w:trPr>
          <w:jc w:val="center"/>
        </w:trPr>
        <w:tc>
          <w:tcPr>
            <w:tcW w:w="9752" w:type="dxa"/>
            <w:gridSpan w:val="2"/>
          </w:tcPr>
          <w:p w14:paraId="6DC044AF" w14:textId="77777777" w:rsidR="00DC33C4" w:rsidRPr="006C6DF3" w:rsidRDefault="00DC33C4" w:rsidP="006A73A0">
            <w:pPr>
              <w:keepNext/>
            </w:pPr>
          </w:p>
        </w:tc>
      </w:tr>
      <w:tr w:rsidR="00DC33C4" w:rsidRPr="006C6DF3" w14:paraId="25CC7BFF" w14:textId="77777777" w:rsidTr="006A73A0">
        <w:trPr>
          <w:jc w:val="center"/>
        </w:trPr>
        <w:tc>
          <w:tcPr>
            <w:tcW w:w="4876" w:type="dxa"/>
          </w:tcPr>
          <w:p w14:paraId="21546FB2" w14:textId="77777777" w:rsidR="00DC33C4" w:rsidRPr="006C6DF3" w:rsidRDefault="00DC33C4" w:rsidP="006A73A0">
            <w:pPr>
              <w:pStyle w:val="AmColumnHeading"/>
              <w:keepNext/>
            </w:pPr>
            <w:r w:rsidRPr="006C6DF3">
              <w:t>Projekt Europejskiego Banku Centralnego</w:t>
            </w:r>
          </w:p>
        </w:tc>
        <w:tc>
          <w:tcPr>
            <w:tcW w:w="4876" w:type="dxa"/>
          </w:tcPr>
          <w:p w14:paraId="3F4DC6B2" w14:textId="77777777" w:rsidR="00DC33C4" w:rsidRPr="006C6DF3" w:rsidRDefault="00DC33C4" w:rsidP="006A73A0">
            <w:pPr>
              <w:pStyle w:val="AmColumnHeading"/>
              <w:keepNext/>
            </w:pPr>
            <w:r w:rsidRPr="006C6DF3">
              <w:t>Poprawka</w:t>
            </w:r>
          </w:p>
        </w:tc>
      </w:tr>
      <w:tr w:rsidR="00DC33C4" w:rsidRPr="006C6DF3" w14:paraId="2A529E66" w14:textId="77777777" w:rsidTr="006A73A0">
        <w:trPr>
          <w:jc w:val="center"/>
        </w:trPr>
        <w:tc>
          <w:tcPr>
            <w:tcW w:w="4876" w:type="dxa"/>
          </w:tcPr>
          <w:p w14:paraId="30BDBD9B" w14:textId="77777777" w:rsidR="00DC33C4" w:rsidRPr="006C6DF3" w:rsidRDefault="00DC33C4" w:rsidP="006A73A0">
            <w:pPr>
              <w:pStyle w:val="Normal6a"/>
            </w:pPr>
          </w:p>
        </w:tc>
        <w:tc>
          <w:tcPr>
            <w:tcW w:w="4876" w:type="dxa"/>
          </w:tcPr>
          <w:p w14:paraId="7A1FA039" w14:textId="77777777" w:rsidR="00DC33C4" w:rsidRPr="006C6DF3" w:rsidRDefault="00DC33C4" w:rsidP="006A73A0">
            <w:pPr>
              <w:pStyle w:val="Normal6a"/>
              <w:rPr>
                <w:szCs w:val="24"/>
              </w:rPr>
            </w:pPr>
            <w:r w:rsidRPr="006C6DF3">
              <w:rPr>
                <w:b/>
                <w:i/>
              </w:rPr>
              <w:t>2a.</w:t>
            </w:r>
            <w:r w:rsidRPr="006C6DF3">
              <w:rPr>
                <w:b/>
                <w:i/>
              </w:rPr>
              <w:tab/>
              <w:t xml:space="preserve">Jeżeli członkowie ESBC udzielają dostępu do poufnych informacji </w:t>
            </w:r>
            <w:r w:rsidRPr="006C6DF3">
              <w:rPr>
                <w:b/>
                <w:i/>
              </w:rPr>
              <w:lastRenderedPageBreak/>
              <w:t xml:space="preserve">statystycznych w przypadkach, o których mowa w lit. e) i g), osoba fizyczna lub prawna otrzymująca dostęp wykorzystuje te dane wyłącznie do celów zaakceptowanych przez członków ESBC </w:t>
            </w:r>
            <w:proofErr w:type="gramStart"/>
            <w:r w:rsidRPr="006C6DF3">
              <w:rPr>
                <w:b/>
                <w:i/>
              </w:rPr>
              <w:t>oraz,</w:t>
            </w:r>
            <w:proofErr w:type="gramEnd"/>
            <w:r w:rsidRPr="006C6DF3">
              <w:rPr>
                <w:b/>
                <w:i/>
              </w:rPr>
              <w:t xml:space="preserve"> w stosownych przypadkach, przez podmiot sprawozdający bądź inną osobę prawną lub fizyczną, podmiot lub oddział, które można zidentyfikować. Jeżeli osoba fizyczna lub prawna otrzymująca dostęp do tych danych może je przechowywać, takie przechowywanie musi być zabezpieczone, aby uniknąć naruszenia poufności. Przechowywanie nie przekracza trzech lat.</w:t>
            </w:r>
          </w:p>
        </w:tc>
      </w:tr>
    </w:tbl>
    <w:p w14:paraId="3E9373EA" w14:textId="77777777" w:rsidR="00DC33C4" w:rsidRPr="006C6DF3" w:rsidRDefault="00DC33C4" w:rsidP="00DC33C4">
      <w:pPr>
        <w:pStyle w:val="AmNumberTabs"/>
        <w:keepNext/>
      </w:pPr>
      <w:r w:rsidRPr="006C6DF3">
        <w:lastRenderedPageBreak/>
        <w:t>Poprawka</w:t>
      </w:r>
      <w:r w:rsidRPr="006C6DF3">
        <w:tab/>
      </w:r>
      <w:r w:rsidRPr="006C6DF3">
        <w:tab/>
        <w:t>13</w:t>
      </w:r>
    </w:p>
    <w:p w14:paraId="39D2AF13" w14:textId="77777777" w:rsidR="00DC33C4" w:rsidRPr="006C6DF3" w:rsidRDefault="00DC33C4" w:rsidP="00DC33C4">
      <w:pPr>
        <w:pStyle w:val="NormalBold12b"/>
        <w:keepNext/>
      </w:pPr>
      <w:r w:rsidRPr="006C6DF3">
        <w:t>Projekt rozporządzenia</w:t>
      </w:r>
    </w:p>
    <w:p w14:paraId="6293484A" w14:textId="77777777" w:rsidR="00DC33C4" w:rsidRPr="006C6DF3" w:rsidRDefault="00DC33C4" w:rsidP="00DC33C4">
      <w:pPr>
        <w:pStyle w:val="NormalBold"/>
        <w:keepNext/>
        <w:rPr>
          <w:rFonts w:eastAsiaTheme="majorEastAsia"/>
        </w:rPr>
      </w:pPr>
      <w:r w:rsidRPr="006C6DF3">
        <w:t>Artykuł 1 – akapit 1 – punkt 5</w:t>
      </w:r>
    </w:p>
    <w:p w14:paraId="4749174C" w14:textId="77777777" w:rsidR="00DC33C4" w:rsidRPr="006C6DF3" w:rsidRDefault="00DC33C4" w:rsidP="00DC33C4">
      <w:pPr>
        <w:widowControl/>
      </w:pPr>
      <w:r w:rsidRPr="006C6DF3">
        <w:t>Rozporządzenie (WE) nr 2533/98</w:t>
      </w:r>
    </w:p>
    <w:p w14:paraId="5A0FA556" w14:textId="77777777" w:rsidR="00DC33C4" w:rsidRPr="006C6DF3" w:rsidRDefault="00DC33C4" w:rsidP="00DC33C4">
      <w:pPr>
        <w:widowControl/>
      </w:pPr>
      <w:r w:rsidRPr="006C6DF3">
        <w:t>Artykuł 8 – akapit 1 – punkt 7 – litera e</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C33C4" w:rsidRPr="006C6DF3" w14:paraId="23BC4B5D" w14:textId="77777777" w:rsidTr="006A73A0">
        <w:trPr>
          <w:jc w:val="center"/>
        </w:trPr>
        <w:tc>
          <w:tcPr>
            <w:tcW w:w="9752" w:type="dxa"/>
            <w:gridSpan w:val="2"/>
          </w:tcPr>
          <w:p w14:paraId="2546AF35" w14:textId="77777777" w:rsidR="00DC33C4" w:rsidRPr="006C6DF3" w:rsidRDefault="00DC33C4" w:rsidP="006A73A0">
            <w:pPr>
              <w:keepNext/>
            </w:pPr>
          </w:p>
        </w:tc>
      </w:tr>
      <w:tr w:rsidR="00DC33C4" w:rsidRPr="006C6DF3" w14:paraId="279F7F61" w14:textId="77777777" w:rsidTr="006A73A0">
        <w:trPr>
          <w:jc w:val="center"/>
        </w:trPr>
        <w:tc>
          <w:tcPr>
            <w:tcW w:w="4876" w:type="dxa"/>
          </w:tcPr>
          <w:p w14:paraId="09A3F0BA" w14:textId="77777777" w:rsidR="00DC33C4" w:rsidRPr="006C6DF3" w:rsidRDefault="00DC33C4" w:rsidP="006A73A0">
            <w:pPr>
              <w:pStyle w:val="AmColumnHeading"/>
              <w:keepNext/>
            </w:pPr>
            <w:r w:rsidRPr="006C6DF3">
              <w:t>Projekt Europejskiego Banku Centralnego</w:t>
            </w:r>
          </w:p>
        </w:tc>
        <w:tc>
          <w:tcPr>
            <w:tcW w:w="4876" w:type="dxa"/>
          </w:tcPr>
          <w:p w14:paraId="7156BD0D" w14:textId="77777777" w:rsidR="00DC33C4" w:rsidRPr="006C6DF3" w:rsidRDefault="00DC33C4" w:rsidP="006A73A0">
            <w:pPr>
              <w:pStyle w:val="AmColumnHeading"/>
              <w:keepNext/>
            </w:pPr>
            <w:r w:rsidRPr="006C6DF3">
              <w:t>Poprawka</w:t>
            </w:r>
          </w:p>
        </w:tc>
      </w:tr>
      <w:tr w:rsidR="00DC33C4" w:rsidRPr="006C6DF3" w14:paraId="626CE5C1" w14:textId="77777777" w:rsidTr="006A73A0">
        <w:trPr>
          <w:jc w:val="center"/>
        </w:trPr>
        <w:tc>
          <w:tcPr>
            <w:tcW w:w="4876" w:type="dxa"/>
          </w:tcPr>
          <w:p w14:paraId="2CE67632" w14:textId="77777777" w:rsidR="00DC33C4" w:rsidRPr="006C6DF3" w:rsidRDefault="00DC33C4" w:rsidP="006A73A0">
            <w:pPr>
              <w:pStyle w:val="Normal6a"/>
            </w:pPr>
            <w:r w:rsidRPr="006C6DF3">
              <w:t>a)</w:t>
            </w:r>
            <w:r w:rsidRPr="006C6DF3">
              <w:tab/>
            </w:r>
            <w:r w:rsidRPr="006C6DF3">
              <w:rPr>
                <w:b/>
                <w:i/>
              </w:rPr>
              <w:t>podejmują wszelkie niezbędne środki regulacyjne</w:t>
            </w:r>
            <w:r w:rsidRPr="006C6DF3">
              <w:t xml:space="preserve">, </w:t>
            </w:r>
            <w:r w:rsidRPr="006C6DF3">
              <w:rPr>
                <w:b/>
                <w:i/>
              </w:rPr>
              <w:t>administracyjne</w:t>
            </w:r>
            <w:r w:rsidRPr="006C6DF3">
              <w:t xml:space="preserve">, </w:t>
            </w:r>
            <w:r w:rsidRPr="006C6DF3">
              <w:rPr>
                <w:b/>
                <w:i/>
              </w:rPr>
              <w:t>techniczne i organizacyjne w celu zapewnienia fizycznej i logicznej ochrony poufnych informacji statystycznych zgodnie ze wspólnymi zasadami i minimalnymi standardami określonymi przez EBC</w:t>
            </w:r>
            <w:r w:rsidRPr="006C6DF3">
              <w:t>; oraz</w:t>
            </w:r>
          </w:p>
        </w:tc>
        <w:tc>
          <w:tcPr>
            <w:tcW w:w="4876" w:type="dxa"/>
          </w:tcPr>
          <w:p w14:paraId="20511A5B" w14:textId="77777777" w:rsidR="00DC33C4" w:rsidRPr="006C6DF3" w:rsidRDefault="00DC33C4" w:rsidP="006A73A0">
            <w:pPr>
              <w:pStyle w:val="Normal6a"/>
              <w:rPr>
                <w:szCs w:val="24"/>
              </w:rPr>
            </w:pPr>
            <w:r w:rsidRPr="006C6DF3">
              <w:t>a)</w:t>
            </w:r>
            <w:r w:rsidRPr="006C6DF3">
              <w:tab/>
            </w:r>
            <w:r w:rsidRPr="006C6DF3">
              <w:rPr>
                <w:b/>
                <w:i/>
              </w:rPr>
              <w:t>wykorzystują poufne informacje statystyczne wyłącznie do celów</w:t>
            </w:r>
            <w:r w:rsidRPr="006C6DF3">
              <w:t xml:space="preserve">, </w:t>
            </w:r>
            <w:r w:rsidRPr="006C6DF3">
              <w:rPr>
                <w:b/>
                <w:i/>
              </w:rPr>
              <w:t xml:space="preserve">na które wyraził zgodę członek ESBC udostępniający te informacje </w:t>
            </w:r>
            <w:proofErr w:type="gramStart"/>
            <w:r w:rsidRPr="006C6DF3">
              <w:rPr>
                <w:b/>
                <w:i/>
              </w:rPr>
              <w:t>oraz</w:t>
            </w:r>
            <w:r w:rsidRPr="006C6DF3">
              <w:t>,</w:t>
            </w:r>
            <w:proofErr w:type="gramEnd"/>
            <w:r w:rsidRPr="006C6DF3">
              <w:t xml:space="preserve"> </w:t>
            </w:r>
            <w:r w:rsidRPr="006C6DF3">
              <w:rPr>
                <w:b/>
                <w:i/>
              </w:rPr>
              <w:t>w stosownych przypadkach, podmiot sprawozdający lub inna osoba prawna lub fizyczna, podmiot lub oddział, które można zidentyfikować na podstawie poufnych informacji statystycznych</w:t>
            </w:r>
            <w:r w:rsidRPr="006C6DF3">
              <w:t>; oraz</w:t>
            </w:r>
          </w:p>
        </w:tc>
      </w:tr>
    </w:tbl>
    <w:p w14:paraId="5C97A3B0" w14:textId="142F78A0" w:rsidR="00E365E1" w:rsidRPr="006C6DF3" w:rsidRDefault="00E365E1" w:rsidP="006B5C6F"/>
    <w:sectPr w:rsidR="00E365E1" w:rsidRPr="006C6DF3" w:rsidSect="006C6DF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3F1235" w14:textId="77777777" w:rsidR="006B5C6F" w:rsidRPr="006C6DF3" w:rsidRDefault="006B5C6F">
      <w:r w:rsidRPr="006C6DF3">
        <w:separator/>
      </w:r>
    </w:p>
  </w:endnote>
  <w:endnote w:type="continuationSeparator" w:id="0">
    <w:p w14:paraId="41390F45" w14:textId="77777777" w:rsidR="006B5C6F" w:rsidRPr="006C6DF3" w:rsidRDefault="006B5C6F">
      <w:r w:rsidRPr="006C6DF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9E9672" w14:textId="77777777" w:rsidR="00064002" w:rsidRPr="006C6DF3"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0352B4" w14:textId="77777777" w:rsidR="00064002" w:rsidRPr="006C6DF3"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9186C3" w14:textId="77777777" w:rsidR="00064002" w:rsidRPr="006C6DF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58F40B" w14:textId="77777777" w:rsidR="006B5C6F" w:rsidRPr="006C6DF3" w:rsidRDefault="006B5C6F">
      <w:r w:rsidRPr="006C6DF3">
        <w:separator/>
      </w:r>
    </w:p>
  </w:footnote>
  <w:footnote w:type="continuationSeparator" w:id="0">
    <w:p w14:paraId="2F8173E9" w14:textId="77777777" w:rsidR="006B5C6F" w:rsidRPr="006C6DF3" w:rsidRDefault="006B5C6F">
      <w:r w:rsidRPr="006C6DF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D23EFC" w14:textId="77777777" w:rsidR="00064002" w:rsidRPr="006C6DF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DE851B" w14:textId="77777777" w:rsidR="00064002" w:rsidRPr="006C6DF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4C6370" w14:textId="77777777" w:rsidR="00064002" w:rsidRPr="006C6DF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67028662">
    <w:abstractNumId w:val="9"/>
  </w:num>
  <w:num w:numId="2" w16cid:durableId="343635434">
    <w:abstractNumId w:val="9"/>
  </w:num>
  <w:num w:numId="3" w16cid:durableId="282080790">
    <w:abstractNumId w:val="7"/>
  </w:num>
  <w:num w:numId="4" w16cid:durableId="1709986780">
    <w:abstractNumId w:val="7"/>
  </w:num>
  <w:num w:numId="5" w16cid:durableId="1295478139">
    <w:abstractNumId w:val="6"/>
  </w:num>
  <w:num w:numId="6" w16cid:durableId="270860575">
    <w:abstractNumId w:val="6"/>
  </w:num>
  <w:num w:numId="7" w16cid:durableId="870345003">
    <w:abstractNumId w:val="5"/>
  </w:num>
  <w:num w:numId="8" w16cid:durableId="1331063158">
    <w:abstractNumId w:val="5"/>
  </w:num>
  <w:num w:numId="9" w16cid:durableId="398212634">
    <w:abstractNumId w:val="4"/>
  </w:num>
  <w:num w:numId="10" w16cid:durableId="1544750359">
    <w:abstractNumId w:val="4"/>
  </w:num>
  <w:num w:numId="11" w16cid:durableId="1628975825">
    <w:abstractNumId w:val="8"/>
  </w:num>
  <w:num w:numId="12" w16cid:durableId="377633779">
    <w:abstractNumId w:val="8"/>
  </w:num>
  <w:num w:numId="13" w16cid:durableId="555556964">
    <w:abstractNumId w:val="3"/>
  </w:num>
  <w:num w:numId="14" w16cid:durableId="1376663008">
    <w:abstractNumId w:val="3"/>
  </w:num>
  <w:num w:numId="15" w16cid:durableId="590161261">
    <w:abstractNumId w:val="2"/>
  </w:num>
  <w:num w:numId="16" w16cid:durableId="617182899">
    <w:abstractNumId w:val="2"/>
  </w:num>
  <w:num w:numId="17" w16cid:durableId="932280447">
    <w:abstractNumId w:val="1"/>
  </w:num>
  <w:num w:numId="18" w16cid:durableId="1389377541">
    <w:abstractNumId w:val="1"/>
  </w:num>
  <w:num w:numId="19" w16cid:durableId="1647933046">
    <w:abstractNumId w:val="0"/>
  </w:num>
  <w:num w:numId="20" w16cid:durableId="61636449">
    <w:abstractNumId w:val="0"/>
  </w:num>
  <w:num w:numId="21" w16cid:durableId="592394608">
    <w:abstractNumId w:val="9"/>
  </w:num>
  <w:num w:numId="22" w16cid:durableId="1961106321">
    <w:abstractNumId w:val="7"/>
  </w:num>
  <w:num w:numId="23" w16cid:durableId="197284693">
    <w:abstractNumId w:val="6"/>
  </w:num>
  <w:num w:numId="24" w16cid:durableId="9571305">
    <w:abstractNumId w:val="5"/>
  </w:num>
  <w:num w:numId="25" w16cid:durableId="810950018">
    <w:abstractNumId w:val="4"/>
  </w:num>
  <w:num w:numId="26" w16cid:durableId="2002654451">
    <w:abstractNumId w:val="8"/>
  </w:num>
  <w:num w:numId="27" w16cid:durableId="213665190">
    <w:abstractNumId w:val="3"/>
  </w:num>
  <w:num w:numId="28" w16cid:durableId="1195659531">
    <w:abstractNumId w:val="2"/>
  </w:num>
  <w:num w:numId="29" w16cid:durableId="475683268">
    <w:abstractNumId w:val="1"/>
  </w:num>
  <w:num w:numId="30" w16cid:durableId="629672927">
    <w:abstractNumId w:val="0"/>
  </w:num>
  <w:num w:numId="31" w16cid:durableId="584998946">
    <w:abstractNumId w:val="9"/>
  </w:num>
  <w:num w:numId="32" w16cid:durableId="1381324339">
    <w:abstractNumId w:val="7"/>
  </w:num>
  <w:num w:numId="33" w16cid:durableId="416899127">
    <w:abstractNumId w:val="6"/>
  </w:num>
  <w:num w:numId="34" w16cid:durableId="450395741">
    <w:abstractNumId w:val="5"/>
  </w:num>
  <w:num w:numId="35" w16cid:durableId="2013409756">
    <w:abstractNumId w:val="4"/>
  </w:num>
  <w:num w:numId="36" w16cid:durableId="1866747239">
    <w:abstractNumId w:val="8"/>
  </w:num>
  <w:num w:numId="37" w16cid:durableId="1567378022">
    <w:abstractNumId w:val="3"/>
  </w:num>
  <w:num w:numId="38" w16cid:durableId="396435904">
    <w:abstractNumId w:val="2"/>
  </w:num>
  <w:num w:numId="39" w16cid:durableId="1842895194">
    <w:abstractNumId w:val="1"/>
  </w:num>
  <w:num w:numId="40" w16cid:durableId="966742702">
    <w:abstractNumId w:val="0"/>
  </w:num>
  <w:num w:numId="41" w16cid:durableId="236285670">
    <w:abstractNumId w:val="10"/>
  </w:num>
  <w:num w:numId="42" w16cid:durableId="1613634538">
    <w:abstractNumId w:val="10"/>
  </w:num>
  <w:num w:numId="43" w16cid:durableId="233514093">
    <w:abstractNumId w:val="10"/>
  </w:num>
  <w:num w:numId="44" w16cid:durableId="6746570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22/2025"/>
    <w:docVar w:name="dvlangue" w:val="PL"/>
    <w:docVar w:name="dvnumam" w:val="0"/>
    <w:docVar w:name="dvpe" w:val="777.060"/>
    <w:docVar w:name="dvrapporteur" w:val="Sprawozdawca: "/>
    <w:docVar w:name="dvstar" w:val="*"/>
    <w:docVar w:name="dvtitre" w:val="Rezolucja ustawodawcza Parlamentu Europejskiego z dnia  2025 r. w sprawie projektu rozporządzenia Rady zmieniającego rozporządzenie (WE) nr 2533/98 dotyczące zbierania informacji statystycznych przez Europejski Bank Centralny (EBC/2025/17)(09737/2025 – C10-0118/2025 – 2025/0806(CNS))"/>
  </w:docVars>
  <w:rsids>
    <w:rsidRoot w:val="006B5C6F"/>
    <w:rsid w:val="00002272"/>
    <w:rsid w:val="00064002"/>
    <w:rsid w:val="000677B9"/>
    <w:rsid w:val="000831BA"/>
    <w:rsid w:val="000A42CC"/>
    <w:rsid w:val="000E5C50"/>
    <w:rsid w:val="000E7DD9"/>
    <w:rsid w:val="0010095E"/>
    <w:rsid w:val="00125B37"/>
    <w:rsid w:val="00187494"/>
    <w:rsid w:val="001F32AE"/>
    <w:rsid w:val="00270042"/>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352F0"/>
    <w:rsid w:val="00545827"/>
    <w:rsid w:val="00560270"/>
    <w:rsid w:val="005C2568"/>
    <w:rsid w:val="005F1B17"/>
    <w:rsid w:val="006037C0"/>
    <w:rsid w:val="006631B6"/>
    <w:rsid w:val="00680577"/>
    <w:rsid w:val="006B5C6F"/>
    <w:rsid w:val="006C6DF3"/>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A5097"/>
    <w:rsid w:val="008C2AC6"/>
    <w:rsid w:val="00930C23"/>
    <w:rsid w:val="0093193B"/>
    <w:rsid w:val="009509D8"/>
    <w:rsid w:val="00950B64"/>
    <w:rsid w:val="00981893"/>
    <w:rsid w:val="00A1687D"/>
    <w:rsid w:val="00A43E52"/>
    <w:rsid w:val="00A4678D"/>
    <w:rsid w:val="00A536D0"/>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11CE"/>
    <w:rsid w:val="00CC2357"/>
    <w:rsid w:val="00CF071A"/>
    <w:rsid w:val="00D058B8"/>
    <w:rsid w:val="00D56C11"/>
    <w:rsid w:val="00D772C3"/>
    <w:rsid w:val="00D834A0"/>
    <w:rsid w:val="00D872DF"/>
    <w:rsid w:val="00D91E21"/>
    <w:rsid w:val="00DA7FCD"/>
    <w:rsid w:val="00DC33C4"/>
    <w:rsid w:val="00E365E1"/>
    <w:rsid w:val="00E820A4"/>
    <w:rsid w:val="00EB000E"/>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483C9F"/>
  <w15:chartTrackingRefBased/>
  <w15:docId w15:val="{6932949D-76ED-4CCA-BE87-43D50D9C3E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l-P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DC33C4"/>
    <w:pPr>
      <w:spacing w:before="480" w:after="240"/>
    </w:pPr>
  </w:style>
  <w:style w:type="paragraph" w:customStyle="1" w:styleId="Normal6a">
    <w:name w:val="Normal6a"/>
    <w:basedOn w:val="Normal"/>
    <w:rsid w:val="00DC33C4"/>
    <w:pPr>
      <w:spacing w:after="120"/>
    </w:pPr>
  </w:style>
  <w:style w:type="paragraph" w:customStyle="1" w:styleId="NormalBold">
    <w:name w:val="NormalBold"/>
    <w:basedOn w:val="Normal"/>
    <w:link w:val="NormalBoldChar"/>
    <w:rsid w:val="00DC33C4"/>
    <w:rPr>
      <w:b/>
    </w:rPr>
  </w:style>
  <w:style w:type="paragraph" w:customStyle="1" w:styleId="NormalHanging12a">
    <w:name w:val="NormalHanging12a"/>
    <w:basedOn w:val="Normal"/>
    <w:rsid w:val="00DC33C4"/>
    <w:pPr>
      <w:spacing w:after="240"/>
      <w:ind w:left="567" w:hanging="567"/>
    </w:pPr>
  </w:style>
  <w:style w:type="paragraph" w:customStyle="1" w:styleId="AmColumnHeading">
    <w:name w:val="AmColumnHeading"/>
    <w:basedOn w:val="Normal"/>
    <w:rsid w:val="00DC33C4"/>
    <w:pPr>
      <w:spacing w:after="240"/>
      <w:jc w:val="center"/>
    </w:pPr>
    <w:rPr>
      <w:i/>
    </w:rPr>
  </w:style>
  <w:style w:type="paragraph" w:customStyle="1" w:styleId="AmNumberTabs">
    <w:name w:val="AmNumberTabs"/>
    <w:basedOn w:val="Normal"/>
    <w:rsid w:val="00DC33C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DC33C4"/>
    <w:pPr>
      <w:spacing w:before="240"/>
    </w:pPr>
    <w:rPr>
      <w:b/>
    </w:rPr>
  </w:style>
  <w:style w:type="character" w:customStyle="1" w:styleId="NormalBoldChar">
    <w:name w:val="NormalBold Char"/>
    <w:basedOn w:val="DefaultParagraphFont"/>
    <w:link w:val="NormalBold"/>
    <w:locked/>
    <w:rsid w:val="00DC33C4"/>
    <w:rPr>
      <w:b/>
      <w:sz w:val="24"/>
      <w:lang w:val="pl-PL"/>
    </w:rPr>
  </w:style>
  <w:style w:type="paragraph" w:styleId="Revision">
    <w:name w:val="Revision"/>
    <w:hidden/>
    <w:uiPriority w:val="99"/>
    <w:semiHidden/>
    <w:rsid w:val="008A5097"/>
    <w:rPr>
      <w:sz w:val="24"/>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2328</Words>
  <Characters>16419</Characters>
  <Application>Microsoft Office Word</Application>
  <DocSecurity>0</DocSecurity>
  <Lines>136</Lines>
  <Paragraphs>37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BOZYK-MAZURENKO Agnieszka</dc:creator>
  <cp:keywords/>
  <cp:lastModifiedBy>ZALESKI Tomasz</cp:lastModifiedBy>
  <cp:revision>2</cp:revision>
  <cp:lastPrinted>2004-11-19T15:42:00Z</cp:lastPrinted>
  <dcterms:created xsi:type="dcterms:W3CDTF">2026-02-06T16:37:00Z</dcterms:created>
  <dcterms:modified xsi:type="dcterms:W3CDTF">2026-02-06T16:37:00Z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P10_TA(2025)0297_</vt:lpwstr>
  </property>
  <property fmtid="{D5CDD505-2E9C-101B-9397-08002B2CF9AE}" pid="4" name="&lt;Type&gt;">
    <vt:lpwstr>RR</vt:lpwstr>
  </property>
</Properties>
</file>