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6FC4" w14:paraId="2B770A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055BB5" w14:textId="5AB533CC" w:rsidR="00751A4A" w:rsidRPr="00D76FC4" w:rsidRDefault="000A352E" w:rsidP="0010095E">
            <w:pPr>
              <w:pStyle w:val="EPName"/>
            </w:pPr>
            <w:r w:rsidRPr="00D76FC4">
              <w:t>Evropský parlament</w:t>
            </w:r>
          </w:p>
          <w:p w14:paraId="039C05F9" w14:textId="77777777" w:rsidR="00751A4A" w:rsidRPr="00D76F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6FC4">
              <w:t>2024</w:t>
            </w:r>
            <w:r w:rsidR="00817416" w:rsidRPr="00D76FC4">
              <w:t>-202</w:t>
            </w:r>
            <w:r w:rsidRPr="00D76FC4">
              <w:t>9</w:t>
            </w:r>
          </w:p>
        </w:tc>
        <w:tc>
          <w:tcPr>
            <w:tcW w:w="2268" w:type="dxa"/>
            <w:shd w:val="clear" w:color="auto" w:fill="auto"/>
          </w:tcPr>
          <w:p w14:paraId="139DE56C" w14:textId="77777777" w:rsidR="00751A4A" w:rsidRPr="00D76FC4" w:rsidRDefault="00187494" w:rsidP="0010095E">
            <w:pPr>
              <w:pStyle w:val="EPLogo"/>
            </w:pPr>
            <w:r w:rsidRPr="00D76FC4">
              <w:rPr>
                <w:noProof/>
                <w:lang w:eastAsia="ja-JP"/>
              </w:rPr>
              <w:drawing>
                <wp:inline distT="0" distB="0" distL="0" distR="0" wp14:anchorId="1FB90E2F" wp14:editId="1961EB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C92F7A" w14:textId="77777777" w:rsidR="00D058B8" w:rsidRPr="00D76FC4" w:rsidRDefault="00D058B8" w:rsidP="004C5D52">
      <w:pPr>
        <w:pStyle w:val="LineTop"/>
      </w:pPr>
    </w:p>
    <w:p w14:paraId="112F08E1" w14:textId="7A9F4519" w:rsidR="00680577" w:rsidRPr="00D76FC4" w:rsidRDefault="000A352E" w:rsidP="00680577">
      <w:pPr>
        <w:pStyle w:val="EPBodyTA1"/>
      </w:pPr>
      <w:r w:rsidRPr="00D76FC4">
        <w:t>PŘIJATÉ TEXTY</w:t>
      </w:r>
    </w:p>
    <w:p w14:paraId="547463FF" w14:textId="77777777" w:rsidR="00D058B8" w:rsidRPr="00D76FC4" w:rsidRDefault="00D058B8" w:rsidP="00D058B8">
      <w:pPr>
        <w:pStyle w:val="LineBottom"/>
      </w:pPr>
    </w:p>
    <w:p w14:paraId="4FE2FBAE" w14:textId="1D3282C9" w:rsidR="000A352E" w:rsidRPr="00D76FC4" w:rsidRDefault="000A352E" w:rsidP="000A352E">
      <w:pPr>
        <w:pStyle w:val="ATHeading1"/>
      </w:pPr>
      <w:bookmarkStart w:id="0" w:name="TANumber"/>
      <w:r w:rsidRPr="00D76FC4">
        <w:t>P10_</w:t>
      </w:r>
      <w:proofErr w:type="gramStart"/>
      <w:r w:rsidRPr="00D76FC4">
        <w:t>TA(</w:t>
      </w:r>
      <w:proofErr w:type="gramEnd"/>
      <w:r w:rsidRPr="00D76FC4">
        <w:t>2025)0</w:t>
      </w:r>
      <w:r w:rsidR="00665EEB">
        <w:t>298</w:t>
      </w:r>
      <w:bookmarkEnd w:id="0"/>
    </w:p>
    <w:p w14:paraId="097B822E" w14:textId="10C3E99B" w:rsidR="000A352E" w:rsidRPr="00D76FC4" w:rsidRDefault="000A352E" w:rsidP="000A352E">
      <w:pPr>
        <w:pStyle w:val="ATHeading2"/>
      </w:pPr>
      <w:bookmarkStart w:id="1" w:name="title"/>
      <w:r w:rsidRPr="00D76FC4">
        <w:t>Diplomatická strategie EU a geopolitická spolupráce v Arktidě</w:t>
      </w:r>
      <w:bookmarkEnd w:id="1"/>
    </w:p>
    <w:p w14:paraId="4982D9AF" w14:textId="77777777" w:rsidR="000A352E" w:rsidRPr="00D76FC4" w:rsidRDefault="000A352E" w:rsidP="000A352E">
      <w:pPr>
        <w:rPr>
          <w:i/>
          <w:vanish/>
        </w:rPr>
      </w:pPr>
      <w:r w:rsidRPr="00D76FC4">
        <w:rPr>
          <w:i/>
        </w:rPr>
        <w:fldChar w:fldCharType="begin"/>
      </w:r>
      <w:r w:rsidRPr="00D76FC4">
        <w:rPr>
          <w:i/>
        </w:rPr>
        <w:instrText xml:space="preserve"> TC"(</w:instrText>
      </w:r>
      <w:bookmarkStart w:id="2" w:name="DocNumber"/>
      <w:r w:rsidRPr="00D76FC4">
        <w:rPr>
          <w:i/>
        </w:rPr>
        <w:instrText>A10-0229/2025</w:instrText>
      </w:r>
      <w:bookmarkEnd w:id="2"/>
      <w:r w:rsidRPr="00D76FC4">
        <w:rPr>
          <w:i/>
        </w:rPr>
        <w:instrText xml:space="preserve"> - Zpravodaj: </w:instrText>
      </w:r>
      <w:proofErr w:type="spellStart"/>
      <w:r w:rsidRPr="00D76FC4">
        <w:rPr>
          <w:i/>
        </w:rPr>
        <w:instrText>Urmas</w:instrText>
      </w:r>
      <w:proofErr w:type="spellEnd"/>
      <w:r w:rsidRPr="00D76FC4">
        <w:rPr>
          <w:i/>
        </w:rPr>
        <w:instrText xml:space="preserve"> </w:instrText>
      </w:r>
      <w:proofErr w:type="spellStart"/>
      <w:r w:rsidRPr="00D76FC4">
        <w:rPr>
          <w:i/>
        </w:rPr>
        <w:instrText>Paet</w:instrText>
      </w:r>
      <w:proofErr w:type="spellEnd"/>
      <w:r w:rsidRPr="00D76FC4">
        <w:rPr>
          <w:i/>
        </w:rPr>
        <w:instrText xml:space="preserve">)"\l3 \n&gt; \* MERGEFORMAT </w:instrText>
      </w:r>
      <w:r w:rsidRPr="00D76FC4">
        <w:rPr>
          <w:i/>
        </w:rPr>
        <w:fldChar w:fldCharType="end"/>
      </w:r>
    </w:p>
    <w:p w14:paraId="34AFAF5D" w14:textId="77777777" w:rsidR="000A352E" w:rsidRPr="00D76FC4" w:rsidRDefault="000A352E" w:rsidP="000A352E">
      <w:pPr>
        <w:rPr>
          <w:vanish/>
        </w:rPr>
      </w:pPr>
      <w:bookmarkStart w:id="3" w:name="Commission"/>
      <w:r w:rsidRPr="00D76FC4">
        <w:rPr>
          <w:vanish/>
        </w:rPr>
        <w:t>Výbor pro zahraniční věci</w:t>
      </w:r>
      <w:bookmarkEnd w:id="3"/>
    </w:p>
    <w:p w14:paraId="4555DF8E" w14:textId="77777777" w:rsidR="000A352E" w:rsidRPr="00D76FC4" w:rsidRDefault="000A352E" w:rsidP="000A352E">
      <w:pPr>
        <w:rPr>
          <w:vanish/>
        </w:rPr>
      </w:pPr>
      <w:bookmarkStart w:id="4" w:name="PE"/>
      <w:r w:rsidRPr="00D76FC4">
        <w:rPr>
          <w:vanish/>
        </w:rPr>
        <w:t>PE775.465</w:t>
      </w:r>
      <w:bookmarkEnd w:id="4"/>
    </w:p>
    <w:p w14:paraId="02B9DC76" w14:textId="53D08F2B" w:rsidR="000A352E" w:rsidRPr="00D76FC4" w:rsidRDefault="009E6B92" w:rsidP="000A352E">
      <w:pPr>
        <w:pStyle w:val="ATHeading3"/>
      </w:pPr>
      <w:bookmarkStart w:id="5" w:name="Sujet"/>
      <w:r>
        <w:t>Doporučení</w:t>
      </w:r>
      <w:r w:rsidR="000A352E" w:rsidRPr="00D76FC4">
        <w:t xml:space="preserve"> Evropského parlamentu ze dne 26. listopadu 2025 Radě, Komisi a místopředsedkyni Komise, vysoké představitelce Unie pro zahraniční věci a bezpečnostní politiku k diplomatické strategii EU a geopolitické spolupráci v Arktidě</w:t>
      </w:r>
      <w:bookmarkEnd w:id="5"/>
      <w:r w:rsidR="000A352E" w:rsidRPr="00D76FC4">
        <w:t xml:space="preserve"> </w:t>
      </w:r>
      <w:bookmarkStart w:id="6" w:name="References"/>
      <w:r w:rsidR="000A352E" w:rsidRPr="00D76FC4">
        <w:t>(2025/2116(INI))</w:t>
      </w:r>
      <w:bookmarkEnd w:id="6"/>
    </w:p>
    <w:p w14:paraId="1134DBB3" w14:textId="77777777" w:rsidR="0026435D" w:rsidRPr="00D76FC4" w:rsidRDefault="0026435D" w:rsidP="0026435D">
      <w:pPr>
        <w:pStyle w:val="EPComma"/>
      </w:pPr>
      <w:r w:rsidRPr="00D76FC4">
        <w:rPr>
          <w:rStyle w:val="Italic"/>
        </w:rPr>
        <w:t>Evropský parlament</w:t>
      </w:r>
      <w:r w:rsidRPr="00D76FC4">
        <w:t>,</w:t>
      </w:r>
    </w:p>
    <w:p w14:paraId="33DD1894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t>–</w:t>
      </w:r>
      <w:r w:rsidRPr="00D76FC4">
        <w:tab/>
        <w:t>s ohledem na svá</w:t>
      </w:r>
      <w:r w:rsidRPr="00D76FC4">
        <w:rPr>
          <w:szCs w:val="24"/>
        </w:rPr>
        <w:t xml:space="preserve"> předchozí usnesení o otázkách Arktidy, zejména na své usnesení ze dne 7. října 2021 o Arktidě: příležitosti, obavy a bezpečnostní výzvy</w:t>
      </w:r>
      <w:r w:rsidRPr="00D76FC4">
        <w:rPr>
          <w:rStyle w:val="FootnoteReference"/>
          <w:szCs w:val="24"/>
        </w:rPr>
        <w:footnoteReference w:id="1"/>
      </w:r>
      <w:r w:rsidRPr="00D76FC4">
        <w:rPr>
          <w:szCs w:val="24"/>
        </w:rPr>
        <w:t>,</w:t>
      </w:r>
    </w:p>
    <w:p w14:paraId="4404A23C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>s ohledem na Úmluvu Organizace spojených národů o mořském právu (UNCLOS) ze dne 16. listopadu 1994,</w:t>
      </w:r>
    </w:p>
    <w:p w14:paraId="00D0A1AE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>s ohledem na společné sdělení Komise a vysokého představitele Unie pro zahraniční věci a bezpečnostní politiku ze dne 13. října 2021 s názvem „Větší angažovanost EU ve prospěch mírové, udržitelné a prosperující Arktidy“ (</w:t>
      </w:r>
      <w:proofErr w:type="gramStart"/>
      <w:r w:rsidRPr="00D76FC4">
        <w:rPr>
          <w:szCs w:val="24"/>
        </w:rPr>
        <w:t>JOIN(</w:t>
      </w:r>
      <w:proofErr w:type="gramEnd"/>
      <w:r w:rsidRPr="00D76FC4">
        <w:rPr>
          <w:szCs w:val="24"/>
        </w:rPr>
        <w:t>2021)0027),</w:t>
      </w:r>
    </w:p>
    <w:p w14:paraId="5ED7476E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 ohledem na Pařížskou dohodu a Rámcovou úmluvu Organizace spojených národů o změně klimatu, </w:t>
      </w:r>
    </w:p>
    <w:p w14:paraId="03DC4226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>s ohledem na dohodu v rámci Úmluvy Organizace spojených národů o mořském právu o zachování a udržitelném využívání biologické rozmanitosti moří v oblastech mimo jurisdikci jednotlivých států přijatou dne 19. června 2023,</w:t>
      </w:r>
    </w:p>
    <w:p w14:paraId="33E25C0F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zřízení Rady států Baltského moře, </w:t>
      </w:r>
    </w:p>
    <w:p w14:paraId="0DF28464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 ohledem na Úmluvu Mezinárodní organizace práce o domorodém a kmenovém obyvatelstvu přijatou dne 27. června 1989, </w:t>
      </w:r>
    </w:p>
    <w:p w14:paraId="2BCDBB1C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Dohodu o prevenci neregulovaného rybolovu na volném moři ve střední části Severního ledového oceánu ze dne 3. října 2018 (dále jen „dohoda o rybolovu ve střední části Severního ledového oceánu“), </w:t>
      </w:r>
    </w:p>
    <w:p w14:paraId="0E8FDF4A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lastRenderedPageBreak/>
        <w:t>–</w:t>
      </w:r>
      <w:r w:rsidRPr="00D76FC4">
        <w:rPr>
          <w:szCs w:val="24"/>
        </w:rPr>
        <w:tab/>
        <w:t>s ohledem na Deklaraci OSN o právech původních obyvatel,</w:t>
      </w:r>
    </w:p>
    <w:p w14:paraId="4075E39D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</w:t>
      </w:r>
      <w:proofErr w:type="spellStart"/>
      <w:r w:rsidRPr="00D76FC4">
        <w:rPr>
          <w:szCs w:val="24"/>
        </w:rPr>
        <w:t>Svalbardskou</w:t>
      </w:r>
      <w:proofErr w:type="spellEnd"/>
      <w:r w:rsidRPr="00D76FC4">
        <w:rPr>
          <w:szCs w:val="24"/>
        </w:rPr>
        <w:t xml:space="preserve"> smlouvu (dříve Smlouvu týkající se souostroví Špicberky) ze dne 9. února 1920, </w:t>
      </w:r>
    </w:p>
    <w:p w14:paraId="05A9CDB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deklaraci o ustavení Arktické rady ze dne 19. září 1996 (Ottawská deklarace), </w:t>
      </w:r>
    </w:p>
    <w:p w14:paraId="5E448FA2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tři právně závazné dohody sjednané pod záštitou Arktické rady, konkrétně na dohodu o spolupráci při pátrání a záchraně ve vzduchu a na moři v Arktidě ze dne 12. května 2011, dohodu o spolupráci v oblasti znečištění mořského prostředí v Arktidě ropou, připravenosti a reakci na takové znečištění ze dne 15. května 2013 a na dohodu o posílení mezinárodní vědecké spolupráce v arktické oblasti ze dne 11. května 2017, </w:t>
      </w:r>
    </w:p>
    <w:p w14:paraId="07472A9F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společné prohlášení po summitu Evropská unie – Kanada 2025: trvalé partnerství, ambiciózní agenda, </w:t>
      </w:r>
    </w:p>
    <w:p w14:paraId="503AD766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otevření Úřadu EU v grónském Nuuku dne 15. března 2024, </w:t>
      </w:r>
    </w:p>
    <w:p w14:paraId="7C664263" w14:textId="3C911CF3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 xml:space="preserve">s ohledem na proslov grónského premiéra </w:t>
      </w:r>
      <w:proofErr w:type="spellStart"/>
      <w:r w:rsidRPr="00D76FC4">
        <w:rPr>
          <w:szCs w:val="24"/>
        </w:rPr>
        <w:t>Jense</w:t>
      </w:r>
      <w:proofErr w:type="spellEnd"/>
      <w:r w:rsidRPr="00D76FC4">
        <w:rPr>
          <w:szCs w:val="24"/>
        </w:rPr>
        <w:t xml:space="preserve">-Frederika </w:t>
      </w:r>
      <w:proofErr w:type="spellStart"/>
      <w:r w:rsidRPr="00D76FC4">
        <w:rPr>
          <w:szCs w:val="24"/>
        </w:rPr>
        <w:t>Nielsena</w:t>
      </w:r>
      <w:proofErr w:type="spellEnd"/>
      <w:r w:rsidRPr="00D76FC4">
        <w:rPr>
          <w:szCs w:val="24"/>
        </w:rPr>
        <w:t xml:space="preserve"> v Parlamentu dne 8.</w:t>
      </w:r>
      <w:r w:rsidR="000700F7" w:rsidRPr="00D76FC4">
        <w:rPr>
          <w:szCs w:val="24"/>
        </w:rPr>
        <w:t> </w:t>
      </w:r>
      <w:r w:rsidRPr="00D76FC4">
        <w:rPr>
          <w:szCs w:val="24"/>
        </w:rPr>
        <w:t>října 2025,</w:t>
      </w:r>
    </w:p>
    <w:p w14:paraId="7A0DC41A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>s ohledem na článek 121 jednacího řádu,</w:t>
      </w:r>
    </w:p>
    <w:p w14:paraId="7D290843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–</w:t>
      </w:r>
      <w:r w:rsidRPr="00D76FC4">
        <w:rPr>
          <w:szCs w:val="24"/>
        </w:rPr>
        <w:tab/>
        <w:t>s ohledem na zprávu Výboru pro zahraniční věci (A10-0229/2025),</w:t>
      </w:r>
    </w:p>
    <w:p w14:paraId="2A2EE50F" w14:textId="77777777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A.</w:t>
      </w:r>
      <w:r w:rsidRPr="00D76FC4">
        <w:rPr>
          <w:szCs w:val="24"/>
        </w:rPr>
        <w:tab/>
        <w:t>vzhledem k tomu, že Arktida je region, který obývají více než čtyři miliony lidí, kteří jsou součástí různých kultur, komunit a ekonomik, a jako taková musí zůstat oblastí míru a musí být respektována její biologická rozmanitost a křehké ekosystémy; vzhledem k tomu, že konstruktivní spolupráci v Arktidě je třeba chránit před sílícím globálním soupeřením;</w:t>
      </w:r>
    </w:p>
    <w:p w14:paraId="40F70690" w14:textId="3FACC012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B.</w:t>
      </w:r>
      <w:r w:rsidRPr="00D76FC4">
        <w:rPr>
          <w:szCs w:val="24"/>
        </w:rPr>
        <w:tab/>
        <w:t>vzhledem k tomu, že EU, která je po desetiletí arktickým aktérem se strategickými zájmy v evropské Arktidě i v širším arktickém regionu, má zásadní podíl na strategickém příspěvku k pozitivním, bezpečnostním, socioekonomickým a environmentálním výsledkům, zejména prostřednictvím mnohostranné spolupráce;</w:t>
      </w:r>
    </w:p>
    <w:p w14:paraId="6D5320F6" w14:textId="26107729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C.</w:t>
      </w:r>
      <w:r w:rsidRPr="00D76FC4">
        <w:rPr>
          <w:szCs w:val="24"/>
        </w:rPr>
        <w:tab/>
        <w:t>vzhledem k tomu, že od zahájení své nezákonné útočné války proti Ukrajině zintenzivňuje Rusko v Arktidě své vojenské operace; vzhledem k tomu, že ruská militarizace spolu s rostoucí čínskou přítomností mění politickou a bezpečnostní situaci v tomto regionu; vzhledem k tomu, že skutečnost, že Rusko přijalo jednostranný a nelegitimní režim upravující plavbu po severomořské trase, včetně zákona ze dne 5.</w:t>
      </w:r>
      <w:r w:rsidR="000700F7" w:rsidRPr="00D76FC4">
        <w:rPr>
          <w:szCs w:val="24"/>
        </w:rPr>
        <w:t> </w:t>
      </w:r>
      <w:r w:rsidRPr="00D76FC4">
        <w:rPr>
          <w:szCs w:val="24"/>
        </w:rPr>
        <w:t>prosince 2022, který omezuje průjezd zahraničních válečných lodí, vyvolává vážné obavy z hlediska mezinárodního práva, a zejména úmluvy UNCLOS, a může zhoršit geopolitické napětí v Arktidě;</w:t>
      </w:r>
    </w:p>
    <w:p w14:paraId="737FCEFF" w14:textId="1E33AE27" w:rsidR="0026435D" w:rsidRPr="00D76FC4" w:rsidRDefault="0026435D" w:rsidP="00D76FC4">
      <w:pPr>
        <w:spacing w:after="240"/>
        <w:ind w:left="567" w:hanging="567"/>
        <w:rPr>
          <w:bCs/>
          <w:iCs/>
          <w:szCs w:val="24"/>
        </w:rPr>
      </w:pPr>
      <w:r w:rsidRPr="00D76FC4">
        <w:rPr>
          <w:szCs w:val="24"/>
        </w:rPr>
        <w:t>D.</w:t>
      </w:r>
      <w:r w:rsidRPr="00D76FC4">
        <w:rPr>
          <w:szCs w:val="24"/>
        </w:rPr>
        <w:tab/>
        <w:t>vzhledem k tomu, že využívání arktické oblasti pro vojenské účely se zrychluje a současně dochází k oslabování regulačních rámců týkajících se kontroly zbraní, včetně jaderných zbraní kvůli zásahům totalitních a autoritářských režimů jako je Rusko;</w:t>
      </w:r>
    </w:p>
    <w:p w14:paraId="518E1932" w14:textId="77777777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E.</w:t>
      </w:r>
      <w:r w:rsidRPr="00D76FC4">
        <w:rPr>
          <w:szCs w:val="24"/>
        </w:rPr>
        <w:tab/>
        <w:t xml:space="preserve">vzhledem k tomu, že aby Arktida mohla zůstat bezpečnou a stabilní oblastí je nezbytné </w:t>
      </w:r>
      <w:r w:rsidRPr="00D76FC4">
        <w:rPr>
          <w:szCs w:val="24"/>
        </w:rPr>
        <w:lastRenderedPageBreak/>
        <w:t>důsledně dodržovat územní celistvost a mezinárodní právo, zejména úmluvu UNCLOS a úmluvy Mezinárodní námořní organizace (IMO); vzhledem k tomu, že organizace IMO je přední světovou autoritou v oblasti námořní bezpečnosti a ochrany životního prostředí a její právně závazné úmluvy a dobrovolné pokyny platí po celém světě, včetně Arktidy;</w:t>
      </w:r>
    </w:p>
    <w:p w14:paraId="1095995F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F.</w:t>
      </w:r>
      <w:r w:rsidRPr="00D76FC4">
        <w:rPr>
          <w:szCs w:val="24"/>
        </w:rPr>
        <w:tab/>
        <w:t>vzhledem k tomu, že všechny politiky zaměřené na Arktidu musí odrážet různorodou realitu tohoto regionu, včetně různých systémů správy, právních rámců, infrastrukturních kapacit a socioekonomických podmínek;</w:t>
      </w:r>
    </w:p>
    <w:p w14:paraId="562991A6" w14:textId="564B34C1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G.</w:t>
      </w:r>
      <w:r w:rsidRPr="00D76FC4">
        <w:rPr>
          <w:szCs w:val="24"/>
        </w:rPr>
        <w:tab/>
        <w:t xml:space="preserve">vzhledem k tomu, že nejvýznamnějším fórem pro spolupráci v cirkumpolární oblasti je Arktická rada; vzhledem k tomu, že součástí Arktické rady jsou tři členské státy EU a dva členové Evropského hospodářského prostoru (EHP) a že sedm z členů Arktické rady jsou členskými zeměmi NATO; </w:t>
      </w:r>
    </w:p>
    <w:p w14:paraId="19DBA80B" w14:textId="77777777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H.</w:t>
      </w:r>
      <w:r w:rsidRPr="00D76FC4">
        <w:rPr>
          <w:szCs w:val="24"/>
        </w:rPr>
        <w:tab/>
      </w:r>
      <w:bookmarkStart w:id="7" w:name="_Hlk213196210"/>
      <w:r w:rsidRPr="00D76FC4">
        <w:rPr>
          <w:szCs w:val="24"/>
        </w:rPr>
        <w:t xml:space="preserve">vzhledem k tomu, že přestože je Arktická rada založena na dobrovolných závazcích a nemá závaznou pravomoc, usnadňuje konstruktivní spolupráci a zprostředkovala uzavření několika závazných dohod; vzhledem k tomu, že její omezený mandát snižuje její schopnost řešit závažné výzvy, jako jsou ekologické katastrofy nebo rostoucí geopolitické napětí, které by mohly ohrozit status Arktidy jako regionu s nízkým napětím; vzhledem k tomu, že v důsledku nevyprovokované ruské útočné války proti Ukrajině byla pozastavena politická zasedání Arktické rady, což narušuje schopnost Rady plnit její mandát a řádně fungovat; </w:t>
      </w:r>
    </w:p>
    <w:p w14:paraId="6309D99B" w14:textId="77777777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I.</w:t>
      </w:r>
      <w:r w:rsidRPr="00D76FC4">
        <w:rPr>
          <w:szCs w:val="24"/>
        </w:rPr>
        <w:tab/>
        <w:t>vzhledem k tomu, že pokud jde o žádost EU, aby se stala plnoprávným pozorovatelem v Arktické radě, nedošlo dosud k žádnému pokroku;</w:t>
      </w:r>
    </w:p>
    <w:p w14:paraId="46126F0E" w14:textId="77777777" w:rsidR="0026435D" w:rsidRPr="00D76FC4" w:rsidRDefault="0026435D" w:rsidP="00D76FC4">
      <w:pPr>
        <w:spacing w:after="240"/>
        <w:ind w:left="567" w:hanging="567"/>
        <w:rPr>
          <w:szCs w:val="24"/>
        </w:rPr>
      </w:pPr>
      <w:r w:rsidRPr="00D76FC4">
        <w:rPr>
          <w:szCs w:val="24"/>
        </w:rPr>
        <w:t>J.</w:t>
      </w:r>
      <w:r w:rsidRPr="00D76FC4">
        <w:rPr>
          <w:szCs w:val="24"/>
        </w:rPr>
        <w:tab/>
        <w:t>vzhledem k tomu, že arktická oblast mezi Grónskem, Islandem a Spojeným královstvím (oblast GIUK) představuje strategický koridor, který umožňuje kontrolovat námořní dopravu a odhalovat hybridní hrozby; vzhledem k tomu, že vstup Finska a Švédska do NATO prohloubil arktickou orientaci Aliance a posílí její pozici v tomto regionu;</w:t>
      </w:r>
      <w:bookmarkEnd w:id="7"/>
    </w:p>
    <w:p w14:paraId="1AA5936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K.</w:t>
      </w:r>
      <w:r w:rsidRPr="00D76FC4">
        <w:rPr>
          <w:szCs w:val="24"/>
        </w:rPr>
        <w:tab/>
        <w:t>vzhledem k tomu, že arktický region se otepluje zhruba třikrát rychleji, než je celosvětový průměr, což urychluje úbytek ledu a ohrožuje stabilitu planetárního klimatu; vzhledem k tomu, že letní mořský led rychle mizí, což způsobuje rozsáhlé ničení biotopů a úbytek populací druhů, které jsou na sněhu a ledu závislé;</w:t>
      </w:r>
    </w:p>
    <w:p w14:paraId="5D13788E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L.</w:t>
      </w:r>
      <w:r w:rsidRPr="00D76FC4">
        <w:rPr>
          <w:szCs w:val="24"/>
        </w:rPr>
        <w:tab/>
        <w:t>vzhledem k tomu, že NATO v roce 2022 uznalo změnu klimatu za rozhodující výzvu a multiplikátor hrozeb s hlubokými důsledky pro bezpečnost a vojenské operace, a to i v nejsevernějších oblastech, a označilo nejsevernější oblasti za region strategického významu, kde schopnost Ruska narušovat alianční posily a svobodu plavby přes severní Atlantik představuje pro Alianci přímou výzvu; vzhledem k tomu, že Arktidu lze považovat za primární oblast, v níž dochází k provázanosti klimatu a bezpečnosti; vzhledem k tomu, že provádění Pařížské dohody a Zelené dohody pro Evropu je i nadále nezbytné, aby se předešlo nejhorším důsledkům změny klimatu;</w:t>
      </w:r>
    </w:p>
    <w:p w14:paraId="4F04BFA5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M.</w:t>
      </w:r>
      <w:r w:rsidRPr="00D76FC4">
        <w:rPr>
          <w:szCs w:val="24"/>
        </w:rPr>
        <w:tab/>
        <w:t xml:space="preserve">vzhledem k tomu, že tání permafrostu představuje bezpečnostní, environmentální a biologickou hrozbu s přeshraničním dopadem, protože má destruktivní dopad na infrastrukturu, uvolňuje metan, který poškozuje klima, má za následek opětovné objevování spících a neznámých virů a bakterií a vede k narušování vzorců počasí </w:t>
      </w:r>
      <w:r w:rsidRPr="00D76FC4">
        <w:rPr>
          <w:szCs w:val="24"/>
        </w:rPr>
        <w:lastRenderedPageBreak/>
        <w:t xml:space="preserve">v Evropě i mimo ni; vzhledem k tomu, že podmořský permafrost ve východosibiřském arktickém šelfu se může stát dalším zdrojem emisí metanu; </w:t>
      </w:r>
    </w:p>
    <w:p w14:paraId="0438F18A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N.</w:t>
      </w:r>
      <w:r w:rsidRPr="00D76FC4">
        <w:rPr>
          <w:szCs w:val="24"/>
        </w:rPr>
        <w:tab/>
        <w:t xml:space="preserve">vzhledem k tomu, že ubývající mořský led zvyšuje celosvětový zájem o Arktidu a její zdroje; vzhledem k tomu, že zejména rychlý ústup mořského ledu otevírá sezónní a potenciálně celoroční obchodní koridory, jako je Severní mořská cesta, Severozápadní cesta a v budoucnu i možná </w:t>
      </w:r>
      <w:proofErr w:type="spellStart"/>
      <w:r w:rsidRPr="00D76FC4">
        <w:rPr>
          <w:szCs w:val="24"/>
        </w:rPr>
        <w:t>transpolární</w:t>
      </w:r>
      <w:proofErr w:type="spellEnd"/>
      <w:r w:rsidRPr="00D76FC4">
        <w:rPr>
          <w:szCs w:val="24"/>
        </w:rPr>
        <w:t xml:space="preserve"> trasa, což by mohlo změnit globální obchodní vzorce a zároveň vést k závažným výzvám v oblasti životního prostředí, bezpečnosti a správy Arktidy; vzhledem k tomu, že drsné povětrnostní podmínky, omezené pátrací a záchranné kapacity, vysoké náklady na pojištění a nevyřešené otázky týkající se mezinárodního právního statusu těchto nových námořních tras představují významné překážky pro jejich plné využívání a mnoho zúčastněných stran požaduje, aby tyto trasy byly považovány za součást „globálních veřejných statků“; </w:t>
      </w:r>
    </w:p>
    <w:p w14:paraId="1796F162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O.</w:t>
      </w:r>
      <w:r w:rsidRPr="00D76FC4">
        <w:rPr>
          <w:szCs w:val="24"/>
        </w:rPr>
        <w:tab/>
        <w:t>vzhledem k tomu, že v důsledku klimatické krize jsou změny v Arktidě neoddělitelně spjaty s Evropou; vzhledem k tomu, že vyšší teploty, stoupající hladina moří, snižující se biologická rozmanitost a extrémní výkyvy počasí mají dopad na lidi a ekosystémy v Evropě, což ukazuje na význam politik založených na znalostech a vědě, do nichž budou zapojeny místní arktické komunity a znalostní instituce;</w:t>
      </w:r>
    </w:p>
    <w:p w14:paraId="14B7039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P.</w:t>
      </w:r>
      <w:r w:rsidRPr="00D76FC4">
        <w:rPr>
          <w:szCs w:val="24"/>
        </w:rPr>
        <w:tab/>
        <w:t>vzhledem k tomu, že Rusko v Arktidě výrazně rozšířilo své síly a vojenskou infrastrukturu, čímž zvýšilo vojenské napětí v regionu; vzhledem k tomu, že koncepce ruské zahraniční politiky z roku 2023 označuje Arktidu za jeden z prioritních regionů Ruska; vzhledem k tomu, že militarizace Arktidy je v rozporu s principem spolupráce, kterým se dosud řídily vztahy mezi státy v arktické oblasti;</w:t>
      </w:r>
    </w:p>
    <w:p w14:paraId="4C105F5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Q.</w:t>
      </w:r>
      <w:r w:rsidRPr="00D76FC4">
        <w:rPr>
          <w:szCs w:val="24"/>
        </w:rPr>
        <w:tab/>
        <w:t>vzhledem k tomu, že prohlubující se spolupráce mezi Čínou a Ruskem v Arktidě prostřednictvím společných energetických projektů, investic do infrastruktury a námořních podniků podél nově vznikajících arktických tras představuje riziko, že dojde k upevnění geopolitické osy usilující o využívání zdrojů a omezování přístupu na úkor arktických pobřežních komunit, původních obyvatel a globálních environmentálních záruk; vzhledem k tomu, že Rusko porušuje svrchovanost a územní celistvost sousedních států a brání plavbě v Azovském, Černém a Baltském moři, což vyvolává vážné obavy, které je třeba vzít v úvahu při posuzování vyhlídek na udržení mírového soužití v Arktidě;</w:t>
      </w:r>
    </w:p>
    <w:p w14:paraId="2B255C27" w14:textId="28C05DCD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R.</w:t>
      </w:r>
      <w:r w:rsidRPr="00D76FC4">
        <w:rPr>
          <w:szCs w:val="24"/>
        </w:rPr>
        <w:tab/>
        <w:t>vzhledem k tomu, že zejména Rusko posiluje svou arktickou infrastrukturu tím, že staví a spouští univerzální ledoborec s jaderným pohonem Čukotka (projekt 22220) v rámci širšího programu na zajištění celoroční plavby po Severní mořské cestě; vzhledem k tomu, že na podporu svých strategických ambicí v Arktidě staví Rusko další ledoborce;</w:t>
      </w:r>
    </w:p>
    <w:p w14:paraId="534D00B6" w14:textId="76DB4DF9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S.</w:t>
      </w:r>
      <w:r w:rsidRPr="00D76FC4">
        <w:rPr>
          <w:szCs w:val="24"/>
        </w:rPr>
        <w:tab/>
        <w:t xml:space="preserve">vzhledem k tomu, že satelitní snímky z roku 2023 odhalily významnou novou výstavbu budov a infrastruktury na odlehlém arktickém souostroví Nová země, které Rusko v minulosti využívalo k testování jaderných zbraní; vzhledem k tomu, že tento vývoj vyvolává vážné obavy ohledně obnovení jaderných aktivit v Arktidě a jejich důsledků pro regionální bezpečnost a bezpečnost životního prostředí; vzhledem k tomu, že rozšíření ruské vojenské výstavby, a to i na </w:t>
      </w:r>
      <w:proofErr w:type="spellStart"/>
      <w:r w:rsidRPr="00D76FC4">
        <w:rPr>
          <w:szCs w:val="24"/>
        </w:rPr>
        <w:t>Wrangelově</w:t>
      </w:r>
      <w:proofErr w:type="spellEnd"/>
      <w:r w:rsidRPr="00D76FC4">
        <w:rPr>
          <w:szCs w:val="24"/>
        </w:rPr>
        <w:t xml:space="preserve"> ostrově, který je zapsán na seznamu světového dědictví UNESCO a jedná se o přírodní rezervaci, vzbuzuje vážné obavy týkající se životního prostředí, bezpečnosti a práva;</w:t>
      </w:r>
    </w:p>
    <w:p w14:paraId="4C2116F7" w14:textId="58308665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T.</w:t>
      </w:r>
      <w:r w:rsidRPr="00D76FC4">
        <w:rPr>
          <w:szCs w:val="24"/>
        </w:rPr>
        <w:tab/>
        <w:t>vzhledem k tomu, že v březnu 2024 přijalo Rusko výnos o rozšíření Arktické zóny Ruské federace o </w:t>
      </w:r>
      <w:proofErr w:type="spellStart"/>
      <w:r w:rsidRPr="00D76FC4">
        <w:rPr>
          <w:szCs w:val="24"/>
        </w:rPr>
        <w:t>Berezovský</w:t>
      </w:r>
      <w:proofErr w:type="spellEnd"/>
      <w:r w:rsidRPr="00D76FC4">
        <w:rPr>
          <w:szCs w:val="24"/>
        </w:rPr>
        <w:t xml:space="preserve"> a </w:t>
      </w:r>
      <w:proofErr w:type="spellStart"/>
      <w:r w:rsidRPr="00D76FC4">
        <w:rPr>
          <w:szCs w:val="24"/>
        </w:rPr>
        <w:t>Bělojarský</w:t>
      </w:r>
      <w:proofErr w:type="spellEnd"/>
      <w:r w:rsidRPr="00D76FC4">
        <w:rPr>
          <w:szCs w:val="24"/>
        </w:rPr>
        <w:t xml:space="preserve"> městský obvod </w:t>
      </w:r>
      <w:proofErr w:type="spellStart"/>
      <w:r w:rsidRPr="00D76FC4">
        <w:rPr>
          <w:szCs w:val="24"/>
        </w:rPr>
        <w:t>Chantymansijského</w:t>
      </w:r>
      <w:proofErr w:type="spellEnd"/>
      <w:r w:rsidRPr="00D76FC4">
        <w:rPr>
          <w:szCs w:val="24"/>
        </w:rPr>
        <w:t xml:space="preserve"> autonomního okruhu – </w:t>
      </w:r>
      <w:proofErr w:type="spellStart"/>
      <w:r w:rsidRPr="00D76FC4">
        <w:rPr>
          <w:szCs w:val="24"/>
        </w:rPr>
        <w:t>Jugra</w:t>
      </w:r>
      <w:proofErr w:type="spellEnd"/>
      <w:r w:rsidRPr="00D76FC4">
        <w:rPr>
          <w:szCs w:val="24"/>
        </w:rPr>
        <w:t>; vzhledem k tomu, že toto rozšíření je součástí ruské strategie usilující o upevnění federální kontroly nad přírodními zdroji, posílení územních nároků a přilákání investorů prostřednictvím pobídek pro zvláštní hospodářské zóny;</w:t>
      </w:r>
    </w:p>
    <w:p w14:paraId="2C7ADB32" w14:textId="58A0B804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U.</w:t>
      </w:r>
      <w:r w:rsidRPr="00D76FC4">
        <w:rPr>
          <w:szCs w:val="24"/>
        </w:rPr>
        <w:tab/>
        <w:t>vzhledem k tomu, že Rusko v arktické oblasti zintenzivnilo hybridní hrozby, včetně kybernetických operací a rušení GPS; vzhledem k tomu, že arktické vody jsou stále častěji využívány stárnoucí a špatně udržovanou ruskou „stínovou flotilou“, která operuje pod výhodnými vlajkami, aby obcházela mezinárodní sankce, což představuje v tomto křehkém regionu značné riziko pro životní prostředí a bezpečnost;</w:t>
      </w:r>
    </w:p>
    <w:p w14:paraId="0037E25D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V.</w:t>
      </w:r>
      <w:r w:rsidRPr="00D76FC4">
        <w:rPr>
          <w:szCs w:val="24"/>
        </w:rPr>
        <w:tab/>
        <w:t>vzhledem k tomu, že se Čína prohlásila za „stát blízký arktické oblasti“, vyhlásila „polární hedvábnou stezku“, která je rozšířením její iniciativy „Jedno pásmo, jedna cesta“, a rychle zvyšuje svůj vliv na sever od polárního kruhu, mimo jiné prostřednictvím investic do ruských společností; vzhledem k tomu, že čínská Bílá kniha z roku 2025 o národní bezpečnosti v nové éře označuje „polární bezpečnost“ za součást komplexní koncepce národní bezpečnosti;</w:t>
      </w:r>
    </w:p>
    <w:p w14:paraId="7AF3AB0D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W.</w:t>
      </w:r>
      <w:r w:rsidRPr="00D76FC4">
        <w:rPr>
          <w:szCs w:val="24"/>
        </w:rPr>
        <w:tab/>
        <w:t xml:space="preserve">vzhledem k tomu, že prohlášení Číny za „stát blízký arktické oblasti“ je zavádějícím vlastním označením bez právního základu, výsad nebo odůvodnění vojenské přítomnosti v nejsevernějších oblastech; vzhledem k tomu, že Čína pod rouškou vědeckého výzkumu skrývá svůj vojenský a politický dosah, neboť čínská výzkumná zařízení v Arktidě, jako jsou </w:t>
      </w:r>
      <w:proofErr w:type="spellStart"/>
      <w:r w:rsidRPr="00D76FC4">
        <w:rPr>
          <w:szCs w:val="24"/>
        </w:rPr>
        <w:t>Yellow</w:t>
      </w:r>
      <w:proofErr w:type="spellEnd"/>
      <w:r w:rsidRPr="00D76FC4">
        <w:rPr>
          <w:szCs w:val="24"/>
        </w:rPr>
        <w:t xml:space="preserve"> River Station ve </w:t>
      </w:r>
      <w:proofErr w:type="spellStart"/>
      <w:r w:rsidRPr="00D76FC4">
        <w:rPr>
          <w:szCs w:val="24"/>
        </w:rPr>
        <w:t>Svalbardu</w:t>
      </w:r>
      <w:proofErr w:type="spellEnd"/>
      <w:r w:rsidRPr="00D76FC4">
        <w:rPr>
          <w:szCs w:val="24"/>
        </w:rPr>
        <w:t xml:space="preserve"> a čínsko-islandská vědecká observatoř pro arktickou oblast v </w:t>
      </w:r>
      <w:proofErr w:type="spellStart"/>
      <w:r w:rsidRPr="00D76FC4">
        <w:rPr>
          <w:szCs w:val="24"/>
        </w:rPr>
        <w:t>Kárhóllu</w:t>
      </w:r>
      <w:proofErr w:type="spellEnd"/>
      <w:r w:rsidRPr="00D76FC4">
        <w:rPr>
          <w:szCs w:val="24"/>
        </w:rPr>
        <w:t>, mohou mít potenciálně dvojí užití; vzhledem k tomu, že v říjnu 2024 čínská pobřežní stráž prohlásila, že během společné hlídky s Ruskem poprvé vstoupila do Severního ledového oceánu, což dále ukazuje na koordinovaný čínsko-ruský tlak na rozšíření jejich strategické stopy v nejsevernějších oblastech;</w:t>
      </w:r>
    </w:p>
    <w:p w14:paraId="70F6047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X.</w:t>
      </w:r>
      <w:r w:rsidRPr="00D76FC4">
        <w:rPr>
          <w:szCs w:val="24"/>
        </w:rPr>
        <w:tab/>
        <w:t xml:space="preserve">vzhledem k tomu, že v posledních letech zablokovalo několik evropských zemí z důvodů národní bezpečnosti plánované čínské akvizice citlivé arktické infrastruktury, včetně rozhodnutí Dánska z roku 2016 zablokovat nákup námořní základny </w:t>
      </w:r>
      <w:proofErr w:type="spellStart"/>
      <w:r w:rsidRPr="00D76FC4">
        <w:rPr>
          <w:szCs w:val="24"/>
        </w:rPr>
        <w:t>Grønnedal</w:t>
      </w:r>
      <w:proofErr w:type="spellEnd"/>
      <w:r w:rsidRPr="00D76FC4">
        <w:rPr>
          <w:szCs w:val="24"/>
        </w:rPr>
        <w:t xml:space="preserve"> v Grónsku, rozhodnutí Finska z roku 2018 zablokovat nákup letiště </w:t>
      </w:r>
      <w:proofErr w:type="spellStart"/>
      <w:r w:rsidRPr="00D76FC4">
        <w:rPr>
          <w:szCs w:val="24"/>
        </w:rPr>
        <w:t>Kemijärvi</w:t>
      </w:r>
      <w:proofErr w:type="spellEnd"/>
      <w:r w:rsidRPr="00D76FC4">
        <w:rPr>
          <w:szCs w:val="24"/>
        </w:rPr>
        <w:t xml:space="preserve"> poblíž vojenské zóny a rozhodnutí Norska z roku 2024 zastavit prodej oblasti </w:t>
      </w:r>
      <w:proofErr w:type="spellStart"/>
      <w:r w:rsidRPr="00D76FC4">
        <w:rPr>
          <w:szCs w:val="24"/>
        </w:rPr>
        <w:t>Søre</w:t>
      </w:r>
      <w:proofErr w:type="spellEnd"/>
      <w:r w:rsidRPr="00D76FC4">
        <w:rPr>
          <w:szCs w:val="24"/>
        </w:rPr>
        <w:t xml:space="preserve"> </w:t>
      </w:r>
      <w:proofErr w:type="spellStart"/>
      <w:r w:rsidRPr="00D76FC4">
        <w:rPr>
          <w:szCs w:val="24"/>
        </w:rPr>
        <w:t>Fagerfjord</w:t>
      </w:r>
      <w:proofErr w:type="spellEnd"/>
      <w:r w:rsidRPr="00D76FC4">
        <w:rPr>
          <w:szCs w:val="24"/>
        </w:rPr>
        <w:t xml:space="preserve"> čínským kupujícím;</w:t>
      </w:r>
    </w:p>
    <w:p w14:paraId="29152883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Y.</w:t>
      </w:r>
      <w:r w:rsidRPr="00D76FC4">
        <w:rPr>
          <w:szCs w:val="24"/>
        </w:rPr>
        <w:tab/>
        <w:t>vzhledem k tomu, že Rusko a Čína v posledních letech prohloubily svou spolupráci v Arktidě podpisem dohody o spolupráci pobřežní stráže, prováděním společných vojenských cvičení, jako jsou „Ocean-2024“ a „</w:t>
      </w:r>
      <w:proofErr w:type="spellStart"/>
      <w:r w:rsidRPr="00D76FC4">
        <w:rPr>
          <w:szCs w:val="24"/>
        </w:rPr>
        <w:t>Pacific</w:t>
      </w:r>
      <w:proofErr w:type="spellEnd"/>
      <w:r w:rsidRPr="00D76FC4">
        <w:rPr>
          <w:szCs w:val="24"/>
        </w:rPr>
        <w:t xml:space="preserve"> Patrol-2024“, v blízkosti Arktidy a technologickými a loďařskými projekty a novými obchodními koridory podél Severní mořské cesty, čímž posílily své strategické sblížení v nejsevernějších oblastech; vzhledem k tomu, že přes útočnou válku Ruska proti Ukrajině pokračuje Čína ve spolupráci s Ruskem v arktické oblasti, čímž nahrazuje ztracené investice západních společností po západních sankcích přijatých po ruské invazi na Ukrajinu;</w:t>
      </w:r>
    </w:p>
    <w:p w14:paraId="2BBFEBC1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Z.</w:t>
      </w:r>
      <w:r w:rsidRPr="00D76FC4">
        <w:rPr>
          <w:szCs w:val="24"/>
        </w:rPr>
        <w:tab/>
        <w:t>vzhledem k tomu, že Čína prostřednictvím nákladní lodi testuje expresní trasu do Evropy přes Arktidu, s cílem zavést pravidelnou dopravu přes ruskou Severní mořskou cestu, která by propojovala několik přístavů v Asii a Evropě;</w:t>
      </w:r>
    </w:p>
    <w:p w14:paraId="7CC40D7F" w14:textId="7696A512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AA.</w:t>
      </w:r>
      <w:r w:rsidRPr="00D76FC4">
        <w:rPr>
          <w:szCs w:val="24"/>
        </w:rPr>
        <w:tab/>
        <w:t>vzhledem k tomu, že přístup Spojených států k Arktidě se vyvíjí směrem k širšímu zapojení, jemuž předcházela některá politováníhodná prohlášení týkající se Grónska;</w:t>
      </w:r>
    </w:p>
    <w:p w14:paraId="0846BECC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AB.</w:t>
      </w:r>
      <w:r w:rsidRPr="00D76FC4">
        <w:rPr>
          <w:szCs w:val="24"/>
        </w:rPr>
        <w:tab/>
        <w:t>vzhledem k tomu, že původní obyvatelé a místní komunity mají nenahraditelné tradiční znalosti, jsou hlavními správci arktických ekosystémů a jsou neúměrně postiženi změnou klimatu, socioekonomickou marginalizací a zhoršováním životního prostředí, přičemž jsou často vyloučeni z rozhodovacích procesů; vzhledem k tomu, že evropští tvůrci politik obecně uznávají, že původní obyvatelé musí být dále podporováni a při tvorbě politik je třeba klást větší důraz na jejich zájmy, přičemž je zároveň třeba zajistit, aby byly v celém politickém vývoji respektovány a zohledňovány jejich komunitní znalosti; vzhledem k tomu, že Arktická rada podnikla významné kroky k řešení tohoto problému;</w:t>
      </w:r>
    </w:p>
    <w:p w14:paraId="1D123CC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AC.</w:t>
      </w:r>
      <w:r w:rsidRPr="00D76FC4">
        <w:rPr>
          <w:szCs w:val="24"/>
        </w:rPr>
        <w:tab/>
        <w:t>vzhledem k tomu, že Dánsko, Švédsko a Finsko jsou signatáři Ottawské deklarace z roku 1996, která potvrzuje jejich závazek k dobrým životním podmínkám obyvatel Arktidy, včetně uznání zvláštního vztahu a jedinečného přínosu původních obyvatel a jejich komunit, uznává tradiční znalosti původních obyvatel a vyzývá k tomu, aby byli původní obyvatelé a jejich komunity v plném rozsahu konzultováni a zapojováni do rozhodování;</w:t>
      </w:r>
    </w:p>
    <w:p w14:paraId="5FB164C5" w14:textId="0C47A99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AD.</w:t>
      </w:r>
      <w:r w:rsidRPr="00D76FC4">
        <w:rPr>
          <w:szCs w:val="24"/>
        </w:rPr>
        <w:tab/>
        <w:t xml:space="preserve">vzhledem k tomu, že arktické oblasti EU slouží jako brána k přítomnosti Unie v širší Arktidě a jejímu zapojení v této oblasti, že poskytují zdroje pro evropskou strategickou autonomii a zároveň uspokojují místní zájmy, jako je rostoucí poptávka po přírodních zdrojích a práva původních obyvatel; vzhledem k tomu, že podpora EU v rámci politiky soudržnosti, programů </w:t>
      </w:r>
      <w:proofErr w:type="spellStart"/>
      <w:r w:rsidRPr="00D76FC4">
        <w:rPr>
          <w:szCs w:val="24"/>
        </w:rPr>
        <w:t>Interreg</w:t>
      </w:r>
      <w:proofErr w:type="spellEnd"/>
      <w:r w:rsidRPr="00D76FC4">
        <w:rPr>
          <w:szCs w:val="24"/>
        </w:rPr>
        <w:t>, Horizont Evropa a rozvoje venkova pro oblasti, jako jsou severní řídce osídlené oblasti, a sítě, jako je Fórum starostů arktické oblasti a „Arktická šestka“, mají pro zájmy EU v Arktidě zásadní význam;</w:t>
      </w:r>
    </w:p>
    <w:p w14:paraId="3373BD4C" w14:textId="3441B7AF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AE.</w:t>
      </w:r>
      <w:r w:rsidRPr="00D76FC4">
        <w:rPr>
          <w:szCs w:val="24"/>
        </w:rPr>
        <w:tab/>
        <w:t>vzhledem k tomu, že iniciativy, jako je summit domorodých Sámů z </w:t>
      </w:r>
      <w:proofErr w:type="spellStart"/>
      <w:r w:rsidRPr="00D76FC4">
        <w:rPr>
          <w:szCs w:val="24"/>
        </w:rPr>
        <w:t>Barentsovy</w:t>
      </w:r>
      <w:proofErr w:type="spellEnd"/>
      <w:r w:rsidRPr="00D76FC4">
        <w:rPr>
          <w:szCs w:val="24"/>
        </w:rPr>
        <w:t xml:space="preserve"> euro-arktické oblasti, který se konal v Evropském parlamentu v roce 2023, mohou dále posílit spolupráci s komunitou Sámů;</w:t>
      </w:r>
    </w:p>
    <w:p w14:paraId="7A31DD61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AF.</w:t>
      </w:r>
      <w:r w:rsidRPr="00D76FC4">
        <w:rPr>
          <w:szCs w:val="24"/>
        </w:rPr>
        <w:tab/>
        <w:t>vzhledem k tomu, že Grónsko bude v letech 2025–2027 jménem Dánského království předsedat Arktické radě, což je klíčová příležitost k posílení inkluzivní správy Arktidy založené na pravidlech;</w:t>
      </w:r>
    </w:p>
    <w:p w14:paraId="6606CB18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AG. </w:t>
      </w:r>
      <w:r w:rsidRPr="00D76FC4">
        <w:rPr>
          <w:szCs w:val="24"/>
        </w:rPr>
        <w:tab/>
        <w:t xml:space="preserve">vzhledem k tomu, že strategií Grónska je posílit své diplomatické zastoupení na celém světě, včetně plánů na otevření kanceláří v Ottawě a New Yorku, a zároveň zachovat svá zastoupení ve Washingtonu, Pekingu, Reykjavíku a Bruselu; vzhledem k tomu, že strategický význam americké vesmírné základny </w:t>
      </w:r>
      <w:proofErr w:type="spellStart"/>
      <w:r w:rsidRPr="00D76FC4">
        <w:rPr>
          <w:szCs w:val="24"/>
        </w:rPr>
        <w:t>Pituffik</w:t>
      </w:r>
      <w:proofErr w:type="spellEnd"/>
      <w:r w:rsidRPr="00D76FC4">
        <w:rPr>
          <w:szCs w:val="24"/>
        </w:rPr>
        <w:t xml:space="preserve"> v Grónsku je zásadní pro systém protiraketové obrany NATO a monitorování vesmírných aktivit;</w:t>
      </w:r>
    </w:p>
    <w:p w14:paraId="2DAA5779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AH.</w:t>
      </w:r>
      <w:r w:rsidRPr="00D76FC4">
        <w:rPr>
          <w:szCs w:val="24"/>
        </w:rPr>
        <w:tab/>
        <w:t>vzhledem k tomu, že po řadě doporučení Evropského parlamentu zřídila EU v březnu 2024 konečně svou kancelář v Nuuku, čímž posílila svou diplomatickou přítomnost a podpořila užší spolupráci s Grónskem; vzhledem k tomu, že EU a Faerské ostrovy se dohodly na posíleném partnerství, včetně spolupráce v oblasti rybolovu, klimatu a v dalších strategických oblastech;</w:t>
      </w:r>
    </w:p>
    <w:p w14:paraId="7AEA8B2E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AI.</w:t>
      </w:r>
      <w:r w:rsidRPr="00D76FC4">
        <w:rPr>
          <w:szCs w:val="24"/>
        </w:rPr>
        <w:tab/>
        <w:t>vzhledem k tomu, že uhlovodíky, vzácné zeminy, rybolovné a další zdroje, které se v Arktidě hojně nacházejí, jsou stále žádanější, což vyžaduje přísné normy v oblasti udržitelnosti a spravedlivého rozdělování přínosů;</w:t>
      </w:r>
    </w:p>
    <w:p w14:paraId="12EA55D4" w14:textId="52B14AFD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AJ.</w:t>
      </w:r>
      <w:r w:rsidRPr="00D76FC4">
        <w:rPr>
          <w:szCs w:val="24"/>
        </w:rPr>
        <w:tab/>
        <w:t>vzhledem k tomu, že v Arktidě se nacházejí rozmanité zdroje energie, které mají zásadní význam pro ekologickou a digitální transformaci EU, včetně ekologické vodíkové, vodní, větrné a geotermální energie, které mohou pomoci diverzifikovat a dekarbonizovat skladbu zdrojů energie EU; vzhledem k tomu, že pro zajištění kritických surovin nezbytných pro průmyslovou konkurenceschopnost a obranyschopnost EU jsou nezbytné strategické investice;</w:t>
      </w:r>
    </w:p>
    <w:p w14:paraId="42EB7211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AK. </w:t>
      </w:r>
      <w:r w:rsidRPr="00D76FC4">
        <w:rPr>
          <w:szCs w:val="24"/>
        </w:rPr>
        <w:tab/>
        <w:t xml:space="preserve">vzhledem k tomu, že iniciativy jako </w:t>
      </w:r>
      <w:proofErr w:type="spellStart"/>
      <w:r w:rsidRPr="00D76FC4">
        <w:rPr>
          <w:szCs w:val="24"/>
        </w:rPr>
        <w:t>Polar</w:t>
      </w:r>
      <w:proofErr w:type="spellEnd"/>
      <w:r w:rsidRPr="00D76FC4">
        <w:rPr>
          <w:szCs w:val="24"/>
        </w:rPr>
        <w:t xml:space="preserve"> </w:t>
      </w:r>
      <w:proofErr w:type="spellStart"/>
      <w:r w:rsidRPr="00D76FC4">
        <w:rPr>
          <w:szCs w:val="24"/>
        </w:rPr>
        <w:t>Connect</w:t>
      </w:r>
      <w:proofErr w:type="spellEnd"/>
      <w:r w:rsidRPr="00D76FC4">
        <w:rPr>
          <w:szCs w:val="24"/>
        </w:rPr>
        <w:t xml:space="preserve"> a koncepce „Vize 2030“ předpokládají odolné transarktické trasy podmořských kabelů spojující Grónsko a Island s kontinentální Evropou; vzhledem k tomu, že tyto projekty jsou zranitelné vůči hybridním hrozbám ze strany zlovolných aktérů, jako jsou Rusko a Čína;</w:t>
      </w:r>
    </w:p>
    <w:p w14:paraId="5D83DE06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AL. </w:t>
      </w:r>
      <w:r w:rsidRPr="00D76FC4">
        <w:rPr>
          <w:szCs w:val="24"/>
        </w:rPr>
        <w:tab/>
        <w:t>vzhledem k tomu, že rozvoj arktických podmořských optických kabelů propojujících Evropu s Japonskem a Jižní Koreou představuje strategickou příležitost k rozšíření bezpečného vysokorychlostního digitálního připojení, posílení digitální svrchovanosti EU a prohloubení spolupráce mezi EU a Asií; vzhledem k tomu, že ochrana podmořských kabelů, potrubí, komunikačních systémů a dopravních koridorů v Arktidě má zásadní význam pro digitální, energetickou a hospodářskou bezpečnost EU a EHP;</w:t>
      </w:r>
    </w:p>
    <w:p w14:paraId="26E982F1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AM. </w:t>
      </w:r>
      <w:r w:rsidRPr="00D76FC4">
        <w:rPr>
          <w:szCs w:val="24"/>
        </w:rPr>
        <w:tab/>
        <w:t>vzhledem k tomu, že Grónsko, Island a Norsko spravují největší udržitelné rybolovné oblasti v Arktidě a že se v tomto regionu rozvíjejí odborné znalosti v oblasti biotechnologií a inovací, které jsou zásadní pro potravinovou bezpečnost EU, modrou ekonomiku a vedoucí postavení ve vědě; vzhledem k tomu, že úmluva UNCLOS obsahuje ustanovení o právech, povinnostech a odpovědnosti států za ochranu životního prostředí;</w:t>
      </w:r>
    </w:p>
    <w:p w14:paraId="67512D91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AN. </w:t>
      </w:r>
      <w:r w:rsidRPr="00D76FC4">
        <w:rPr>
          <w:szCs w:val="24"/>
        </w:rPr>
        <w:tab/>
        <w:t>vzhledem k tomu, že hospodářský potenciál Arktidy přesahuje přírodní zdroje a zahrnuje i odvětví, jako je udržitelný cestovní ruch, vesmírné technologie a infrastruktura datových center, čímž Evropské unii nabízí příležitosti k navazování strategických partnerství, která by využívala jedinečné geografické podmínky, obnovitelné zdroje energie a blízkost klíčových spojenců;</w:t>
      </w:r>
    </w:p>
    <w:p w14:paraId="304E0199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AO. </w:t>
      </w:r>
      <w:r w:rsidRPr="00D76FC4">
        <w:rPr>
          <w:szCs w:val="24"/>
        </w:rPr>
        <w:tab/>
        <w:t>vzhledem k tomu, že zásada „významně nepoškozovat“ znamená nepodporovat ani nevykonávat hospodářské činnosti, které významně poškozují environmentální cíle ve smyslu článku 17 nařízení (EU) 2020/852</w:t>
      </w:r>
      <w:r w:rsidRPr="00D76FC4">
        <w:rPr>
          <w:rStyle w:val="FootnoteReference"/>
          <w:szCs w:val="24"/>
        </w:rPr>
        <w:footnoteReference w:id="2"/>
      </w:r>
      <w:r w:rsidRPr="00D76FC4">
        <w:rPr>
          <w:szCs w:val="24"/>
        </w:rPr>
        <w:t xml:space="preserve">; </w:t>
      </w:r>
    </w:p>
    <w:p w14:paraId="3BA00FF7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AP.</w:t>
      </w:r>
      <w:r w:rsidRPr="00D76FC4">
        <w:rPr>
          <w:szCs w:val="24"/>
        </w:rPr>
        <w:tab/>
        <w:t xml:space="preserve">vzhledem k tomu, že energetická propojení s Arktidou, včetně dovozu ropy a zemního plynu z norského </w:t>
      </w:r>
      <w:proofErr w:type="spellStart"/>
      <w:r w:rsidRPr="00D76FC4">
        <w:rPr>
          <w:szCs w:val="24"/>
        </w:rPr>
        <w:t>Barentsova</w:t>
      </w:r>
      <w:proofErr w:type="spellEnd"/>
      <w:r w:rsidRPr="00D76FC4">
        <w:rPr>
          <w:szCs w:val="24"/>
        </w:rPr>
        <w:t xml:space="preserve"> moře, přepravy zkapalněného zemního plynu (LNG) po arktických námořních trasách během přechodu k energetické autonomii EU, vývozu energie z obnovitelných zdrojů a potenciálu zeleného vodíku z Islandu a Grónska, projektů infrastruktury podporovaných EU, jako jsou podmořské kabely a potrubí, a spolupráce v oblasti výzkumu a inovací pro udržitelný rozvoj, jsou zásadní pro energetickou bezpečnost a budoucí hospodářský rozvoj EU, přičemž zajišťují investice do místních arktických ekonomik a infrastruktury; vzhledem k tomu, že jak ukazuje ruská útočná válka proti Ukrajině a následná energetická krize, klíčem k dosažení všeobecné bezpečnosti jsou spolehliví partneři a dodávky energie;</w:t>
      </w:r>
    </w:p>
    <w:p w14:paraId="06915837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AQ.</w:t>
      </w:r>
      <w:r w:rsidRPr="00D76FC4">
        <w:rPr>
          <w:szCs w:val="24"/>
        </w:rPr>
        <w:tab/>
        <w:t xml:space="preserve">vzhledem k tomu, že Arktida trpí nedostatkem infrastruktury, což znevýhodňuje místní obyvatele i ostatní lidi; vzhledem k tomu, že rozvoj víceúčelových infrastrukturních projektů by mohl pomoci řešit jak tyto nedostatky, tak i širší bezpečnostní výzvy; </w:t>
      </w:r>
    </w:p>
    <w:p w14:paraId="10F1F586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AR. </w:t>
      </w:r>
      <w:r w:rsidRPr="00D76FC4">
        <w:rPr>
          <w:szCs w:val="24"/>
        </w:rPr>
        <w:tab/>
        <w:t>vzhledem k tomu, že nově vybudované a plánované terminály LNG – zejména plovoucí jednotky pro skladování a opětovné zplyňování, k jejichž výstavbě se členské státy EU v posledních dvou letech zavázaly – představují zásadní vstupní bránu pro norský LNG, což dále posiluje diverzifikaci a bezpečnost dodávek; vzhledem k tomu, že další vývoj a výroba ledoborců má klíčový význam pro průzkum a bezpečnost Arktidy a že zvláštní odborné znalosti má v tomto ohledu Finsko;</w:t>
      </w:r>
    </w:p>
    <w:p w14:paraId="2D64CA5B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AS.</w:t>
      </w:r>
      <w:r w:rsidRPr="00D76FC4">
        <w:rPr>
          <w:szCs w:val="24"/>
        </w:rPr>
        <w:tab/>
        <w:t xml:space="preserve">vzhledem k tomu, že výzkum financovaný EU, partnerství v rámci programu Horizont Evropa a satelitní služby programu </w:t>
      </w:r>
      <w:proofErr w:type="spellStart"/>
      <w:r w:rsidRPr="00D76FC4">
        <w:rPr>
          <w:szCs w:val="24"/>
        </w:rPr>
        <w:t>Copernicus</w:t>
      </w:r>
      <w:proofErr w:type="spellEnd"/>
      <w:r w:rsidRPr="00D76FC4">
        <w:rPr>
          <w:szCs w:val="24"/>
        </w:rPr>
        <w:t xml:space="preserve"> poskytují zásadní údaje pro bezpečnost, odolnost vůči změně klimatu, bezpečnost plavby a správu životního prostředí v nejsevernějších oblastech;</w:t>
      </w:r>
    </w:p>
    <w:p w14:paraId="0EB3D323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AT.</w:t>
      </w:r>
      <w:r w:rsidRPr="00D76FC4">
        <w:rPr>
          <w:szCs w:val="24"/>
        </w:rPr>
        <w:tab/>
        <w:t>vzhledem k tomu, že bezpečné, odolné a autonomní satelitní připojení představuje strategický přínos pro zajištění komunikace, zlepšení situačního povědomí, ochranu kritické infrastruktury a posílení schopnosti EU předcházet hybridním a konvenčním hrozbám v Arktidě, odrazovat od nich a reagovat na ně;</w:t>
      </w:r>
    </w:p>
    <w:p w14:paraId="23B7A388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AU. </w:t>
      </w:r>
      <w:r w:rsidRPr="00D76FC4">
        <w:rPr>
          <w:szCs w:val="24"/>
        </w:rPr>
        <w:tab/>
        <w:t xml:space="preserve">vzhledem k tomu, že vesmírné technologie, včetně určování polohy, navigace, pozorování Země a družicové komunikace, jsou nezbytné pro situační povědomí o Arktidě, monitorování životního prostředí a konektivitu; vzhledem k tomu, že zeměpisná poloha Norska a zařízení, jako je kosmodrom </w:t>
      </w:r>
      <w:proofErr w:type="spellStart"/>
      <w:r w:rsidRPr="00D76FC4">
        <w:rPr>
          <w:szCs w:val="24"/>
        </w:rPr>
        <w:t>Andøya</w:t>
      </w:r>
      <w:proofErr w:type="spellEnd"/>
      <w:r w:rsidRPr="00D76FC4">
        <w:rPr>
          <w:szCs w:val="24"/>
        </w:rPr>
        <w:t xml:space="preserve"> a arktická družicová širokopásmová mise, poskytují kritickou infrastrukturu podporující zájmy EU a umožňují nezávislý evropský přístup do vesmíru; vzhledem k tomu, že posílená spolupráce s Norskem v oblasti vesmírných kapacit je zásadní pro rozvoj arktické strategie EU a bezpečnosti;</w:t>
      </w:r>
    </w:p>
    <w:p w14:paraId="57096CA0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 xml:space="preserve">AV. </w:t>
      </w:r>
      <w:r w:rsidRPr="00D76FC4">
        <w:rPr>
          <w:szCs w:val="24"/>
        </w:rPr>
        <w:tab/>
        <w:t>vzhledem k tomu, že Evropská služba pro vnější činnost (ESVČ) hraje při utváření a koordinaci politiky EU pro Arktidu ústřední úlohu;</w:t>
      </w:r>
    </w:p>
    <w:p w14:paraId="1F991643" w14:textId="77777777" w:rsidR="0026435D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1.</w:t>
      </w:r>
      <w:r w:rsidRPr="00D76FC4">
        <w:rPr>
          <w:szCs w:val="24"/>
        </w:rPr>
        <w:tab/>
        <w:t>doporučuje Radě, Komisi a místopředsedkyni Komise, vysoké představitelce Unie pro zahraniční věci a bezpečnostní politiku, aby:</w:t>
      </w:r>
    </w:p>
    <w:p w14:paraId="4EF7BD8A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a)</w:t>
      </w:r>
      <w:r w:rsidRPr="00D76FC4">
        <w:rPr>
          <w:szCs w:val="24"/>
        </w:rPr>
        <w:tab/>
        <w:t xml:space="preserve">odsoudily rostoucí militarizaci Arktidy, zejména v důsledku rozsáhlé vojenské restrukturalizace Ruska, včetně zřízení Námořního kolegia, která v kombinaci s jasným zájmem Číny o tuto oblast dále stupňuje napětí v regionu a oslabuje jeho stabilitu; </w:t>
      </w:r>
    </w:p>
    <w:p w14:paraId="112F2FA0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b)</w:t>
      </w:r>
      <w:r w:rsidRPr="00D76FC4">
        <w:rPr>
          <w:szCs w:val="24"/>
        </w:rPr>
        <w:tab/>
        <w:t>pozorně sledovaly rostoucí strategický zájem a aktivity Číny v arktické oblasti v rámci „polární hedvábné stezky“; uznaly, že deklarovaná ambice Číny stát se do roku 2030 „polární velmocí“ a její rozšiřující se přítomnost prostřednictvím výzkumných misí, strategických investic do infrastruktury a partnerství dvojího užití mohou zpochybnit zavedené zásady správy;</w:t>
      </w:r>
    </w:p>
    <w:p w14:paraId="5A42D475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c)</w:t>
      </w:r>
      <w:r w:rsidRPr="00D76FC4">
        <w:rPr>
          <w:szCs w:val="24"/>
        </w:rPr>
        <w:tab/>
        <w:t xml:space="preserve">zohledňovaly veškeré možné scénáře ohrožení související se situací na Ukrajině, včetně možného posílení ruské přítomnosti v Arktidě v důsledku případného zamrzlého konfliktu na Ukrajině, a plně proto uplatňovaly sankce EU vůči technologiím dvojího užití určeným k ruské vojenské expanzi v Arktidě a zároveň podporovaly zapojení Ukrajiny do struktur správy Arktidy, včetně možnosti získat status pozorovatele na příslušných fórech, s cílem podpořit řád založený na pravidlech; zpřísnily sankce vůči plavidlům stínové flotily využívajícím výhodné vlajky k obcházení sankcí v Arktidě; zlepšily jejich sledování a prosazování, mimo jiné prostřednictvím mezinárodní spolupráce, s cílem zajistit, aby přístavy a pojišťovny tato plavidla zařadily na černé listiny; pohnaly státy vlajky k plné odpovědnosti za zajištění souladu s environmentálními a bezpečnostními normami; </w:t>
      </w:r>
    </w:p>
    <w:p w14:paraId="50DD6358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d)</w:t>
      </w:r>
      <w:r w:rsidRPr="00D76FC4">
        <w:rPr>
          <w:szCs w:val="24"/>
        </w:rPr>
        <w:tab/>
        <w:t>v plné míře docenily význam oblasti GIUK jako námořního tranzitního koridoru, který je úzce spjatý se zájmy EU, jakož i rizika spojená s tím, že by se z něj stal prostor pro neprůhledné operace, a v souladu s tím usilovaly o budování institucionální odolnosti těchto zemí a území ve spolupráci s konstruktivními partnery;</w:t>
      </w:r>
    </w:p>
    <w:p w14:paraId="583914D0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e)</w:t>
      </w:r>
      <w:r w:rsidRPr="00D76FC4">
        <w:rPr>
          <w:szCs w:val="24"/>
        </w:rPr>
        <w:tab/>
        <w:t>spolupracovaly s členskými státy a spojenci v NATO na posilování odrazujících schopností v reakci na tuto situaci, mimo jiné prostřednictvím posílených strategických dialogů mezi EU a NATO zaměřených na povědomí o arktické oblasti, sdílení zpravodajských informací a společných obranných cvičení v nejsevernějších oblastech, a to v návaznosti na akce jako byla například „</w:t>
      </w:r>
      <w:proofErr w:type="spellStart"/>
      <w:r w:rsidRPr="00D76FC4">
        <w:rPr>
          <w:szCs w:val="24"/>
        </w:rPr>
        <w:t>Arctic</w:t>
      </w:r>
      <w:proofErr w:type="spellEnd"/>
      <w:r w:rsidRPr="00D76FC4">
        <w:rPr>
          <w:szCs w:val="24"/>
        </w:rPr>
        <w:t xml:space="preserve"> </w:t>
      </w:r>
      <w:proofErr w:type="spellStart"/>
      <w:r w:rsidRPr="00D76FC4">
        <w:rPr>
          <w:szCs w:val="24"/>
        </w:rPr>
        <w:t>Challenge</w:t>
      </w:r>
      <w:proofErr w:type="spellEnd"/>
      <w:r w:rsidRPr="00D76FC4">
        <w:rPr>
          <w:szCs w:val="24"/>
        </w:rPr>
        <w:t>“ kterou v roce 2023 uspořádaly Švédsko, Finsko a Norsko, a vojenské cvičení pod vedením Dánska „</w:t>
      </w:r>
      <w:proofErr w:type="spellStart"/>
      <w:r w:rsidRPr="00D76FC4">
        <w:rPr>
          <w:szCs w:val="24"/>
        </w:rPr>
        <w:t>Arctic</w:t>
      </w:r>
      <w:proofErr w:type="spellEnd"/>
      <w:r w:rsidRPr="00D76FC4">
        <w:rPr>
          <w:szCs w:val="24"/>
        </w:rPr>
        <w:t xml:space="preserve"> </w:t>
      </w:r>
      <w:proofErr w:type="spellStart"/>
      <w:r w:rsidRPr="00D76FC4">
        <w:rPr>
          <w:szCs w:val="24"/>
        </w:rPr>
        <w:t>Light</w:t>
      </w:r>
      <w:proofErr w:type="spellEnd"/>
      <w:r w:rsidRPr="00D76FC4">
        <w:rPr>
          <w:szCs w:val="24"/>
        </w:rPr>
        <w:t>“, které se uskutečnilo v roce 2025; posílily spolupráci se strukturami NATO a Evropským centrem excelence pro boj s hybridními hrozbami s cílem zvýšit odolnost a vyvinout společné standardy pro ochranu infrastruktury v Arktidě; prohloubily praktickou spolupráci mezi EU a NATO v Arktidě v oblastech společného zájmu – včetně povědomí o námořní oblasti, ochrany kritické infrastruktury, logistiky a interoperability při pátrání a záchraně; zvýšily ostražitost, pokud jde o zapojování EU do spolupráce s vnějšími partnery, a zavedly mechanismy bezpečnostního prověřování na úrovni EU pro zahraniční projekty v oblasti arktického výzkumu a infrastruktury;</w:t>
      </w:r>
    </w:p>
    <w:p w14:paraId="20E05458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f)</w:t>
      </w:r>
      <w:r w:rsidRPr="00D76FC4">
        <w:rPr>
          <w:szCs w:val="24"/>
        </w:rPr>
        <w:tab/>
        <w:t xml:space="preserve">souběžně i nadále usilovaly o to, aby se do této oblasti nepřelévaly geopolitické konflikty, a zároveň převzaly v Arktidě významnější úlohu a usilovaly o komplexní přeformulování politiky pro Arktidu, která půjde nad rámec zastaralého pojetí výjimečnosti Arktidy, a namísto toho bude uplatňována jako metoda pro posuzování vyvíjejících se výzev ve stávajícím geopolitickém kontextu; </w:t>
      </w:r>
    </w:p>
    <w:p w14:paraId="59107335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g)</w:t>
      </w:r>
      <w:r w:rsidRPr="00D76FC4">
        <w:rPr>
          <w:szCs w:val="24"/>
        </w:rPr>
        <w:tab/>
        <w:t xml:space="preserve">v této souvislosti zajistily, aby činnost EU v nejsevernějších oblastech doplňovala strategickou koncepci NATO z roku 2022 a využívala posílené námořní pozice Aliance; prosazovaly harmonizaci činnosti mezi NATO a EU a sdílely poznatky o situaci a vyzývaly k posílení interoperability mezi členskými státy EU a dalšími spojenci z NATO, pokud jde o bezpečnost v Arktidě, námořní dohled, pátrací a záchranné operace a ochranu kritické infrastruktury; </w:t>
      </w:r>
    </w:p>
    <w:p w14:paraId="67209DC8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h)</w:t>
      </w:r>
      <w:r w:rsidRPr="00D76FC4">
        <w:rPr>
          <w:szCs w:val="24"/>
        </w:rPr>
        <w:tab/>
        <w:t>vzaly na vědomí, že evropská arktická oblast je součástí kontinua, které zahrnuje oblast Baltského moře v Arktidě a sdílí společné výzvy a zájmy; uznaly, že činnost EU v Arktidě musí být v souladu s rozvojovými činnostmi EU prováděnými v oblastech na severovýchodní hranici EU a musí je podporovat, aby se maximalizoval jejich dopad;</w:t>
      </w:r>
    </w:p>
    <w:p w14:paraId="6951E037" w14:textId="72D64F3E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i)</w:t>
      </w:r>
      <w:r w:rsidRPr="00D76FC4">
        <w:rPr>
          <w:szCs w:val="24"/>
        </w:rPr>
        <w:tab/>
        <w:t>v této souvislosti a s ohledem na nedávné incidenty v Baltském moři připisované ruské stínové flotile a čínským plavidlům podstatně posílily ochranu základní podmořské infrastruktury v Arktidě, zejména podmořských kabelů a potrubí, včetně těch, které se nacházejí v blízkosti Grónska, a zpřísnily regulační rámec pro sankce a protiopatření; dodržovaly a prosazovaly závazky podle článků 112–115 úmluvy UNCLOS, které jsou nezbytné pro ochranu evropského digitálního propojení a propojení energetických soustav před geopolitickým narušením; vypracovaly strategii EU a EHP pro sledování a potírání čínsko-ruské spolupráce v nejsevernějších oblastech, která potenciálně narušuje svobodu plavby a mezinárodní právo;</w:t>
      </w:r>
    </w:p>
    <w:p w14:paraId="051380AA" w14:textId="36D634B8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j)</w:t>
      </w:r>
      <w:r w:rsidRPr="00D76FC4">
        <w:rPr>
          <w:szCs w:val="24"/>
        </w:rPr>
        <w:tab/>
        <w:t>podporovaly zavádění společných standardů kybernetické bezpečnosti a odolnosti pro podmořské kabely, přístaviště a kritickou digitální infrastrukturu v Arktidě, mimo jiné prostřednictvím společného posuzování rizik, požadavků na hlášení incidentů a pravidelných zátěžových testů, s ohledem na jejich strategickou úlohu pro otevřenou strategickou autonomii EU;</w:t>
      </w:r>
    </w:p>
    <w:p w14:paraId="583BB5B3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k)</w:t>
      </w:r>
      <w:r w:rsidRPr="00D76FC4">
        <w:rPr>
          <w:szCs w:val="24"/>
        </w:rPr>
        <w:tab/>
        <w:t>řešily hybridní hrozby, jako jsou kybernetické útoky, rušení GPS a </w:t>
      </w:r>
      <w:proofErr w:type="spellStart"/>
      <w:r w:rsidRPr="00D76FC4">
        <w:rPr>
          <w:szCs w:val="24"/>
        </w:rPr>
        <w:t>spoofing</w:t>
      </w:r>
      <w:proofErr w:type="spellEnd"/>
      <w:r w:rsidRPr="00D76FC4">
        <w:rPr>
          <w:szCs w:val="24"/>
        </w:rPr>
        <w:t xml:space="preserve"> a sabotáže podmořských kabelů, které vyžadují posílené mechanismy monitorování a reakce prostřednictvím společného rámce EU a NATO pro monitorování a reakci a zvýšených investic do modernizované, bezpečné a autonomní družicové komunikace, včetně kapacity pro vypouštění družic, jakož i investice, podvodní drony a mapování mořského dna; v této souvislosti v koordinaci se severskými partnery podporovaly výzkum, testování a postupné zavádění hybridních sledovacích technologií financovaných EU, včetně bezpilotních systémů, s cílem monitorovat hybridní hrozby a reagovat na ně;</w:t>
      </w:r>
    </w:p>
    <w:p w14:paraId="05B679DC" w14:textId="22AAFDE1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l)</w:t>
      </w:r>
      <w:r w:rsidRPr="00D76FC4">
        <w:rPr>
          <w:szCs w:val="24"/>
        </w:rPr>
        <w:tab/>
        <w:t xml:space="preserve">s ohledem na rostoucí strategický význam arktických vesmírných kapacit pro evropskou bezpečnost zvyšovaly kolektivní situační povědomí, odolnost a regionální stabilitu v Arktidě; vedle toho podporovaly investice a partnerství pod vedením EU s důvěryhodnými spojenci s cílem zabezpečit kritickou arktickou infrastrukturu a snižovat závislost na autoritářských mocnostech, včetně výroby ledoborců, pokud možno ve spolupráci se strategickými partnery EU; </w:t>
      </w:r>
    </w:p>
    <w:p w14:paraId="446D9AA1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m)</w:t>
      </w:r>
      <w:r w:rsidRPr="00D76FC4">
        <w:rPr>
          <w:szCs w:val="24"/>
        </w:rPr>
        <w:tab/>
        <w:t>uznaly zvýšenou geopolitickou konkurenci na arktických námořních trasách, zejména na Severní mořské cestě; podporovaly proto diplomatické dialogy, jejichž cílem bude uzavřít jasné mezinárodní dohody o svobodě plavby a mírové námořní spolupráci, vzdorovaly jednostranným nárokům a prosazovaly uplatňování mezinárodního námořního práva v souladu s úmluvou UNCLOS; v souladu s tím veřejně odsoudily ruská omezení svobodné plavby po Severní mořské cestě a skutečnost, že Rusko posiluje svou vojenskou infrastrukturu podél této mořské cesty; podporovaly uplatňování mezinárodního práva s cílem čelit pokusům o legitimizaci sporných námořních koridorů nebo o prosazování geopolitického vlivu pod záminkou vědecké nebo hospodářské spolupráce; se zapojovaly do regionálních dialogů o provádění úmluvy UNCLOS o zachování a udržitelném využívání biologické rozmanitosti moří v oblastech mimo jurisdikci jednotlivých států v Arktidě,</w:t>
      </w:r>
    </w:p>
    <w:p w14:paraId="3BD1E4AF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n)</w:t>
      </w:r>
      <w:r w:rsidRPr="00D76FC4">
        <w:rPr>
          <w:szCs w:val="24"/>
        </w:rPr>
        <w:tab/>
        <w:t>vzhledem k nepřiměřenému dopadu změny klimatu na Arktidu a ve spolupráci s mezinárodními partnery a původními obyvateli Arktidy urychleně posílily adaptační strategie, které mají rovněž bezpečnostně-politický rozměr, podporovaly rozsáhlé monitorovací iniciativy a výrazně navýšily investice do výzkumných programů, které se budou přednostně zaměřovat na potřebu vyvážit hospodářský růst a zároveň chránit kritické ekosystémy v Arktidě, v souladu se zásadou „významně nepoškozovat“ zakotvenou v článku 17 nařízení (EU) 2020/852; uznaly, že zatímco změna klimatu ohrožuje arktické ekosystémy, zvyšující se teploty mají v arktických regionech také závažné společenské dopady, a zdůrazňovaly, že je třeba, aby se středem výzkumu stali lidé žijící v Arktidě a aby výzkumné činnosti pomáhaly místním komunitám lépe se přizpůsobit změně klimatu a stát se odolnějšími;</w:t>
      </w:r>
    </w:p>
    <w:p w14:paraId="7E3EF160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o)</w:t>
      </w:r>
      <w:r w:rsidRPr="00D76FC4">
        <w:rPr>
          <w:szCs w:val="24"/>
        </w:rPr>
        <w:tab/>
        <w:t xml:space="preserve">vzhledem k významu přírodních zdrojů Arktidy, včetně uhlovodíků, vzácných zemin a rybolovných zdrojů, společně s členskými státy posílily konsensuální partnerství s Grónskem a dalšími arktickými zúčastněnými stranami, včetně původních obyvatel, v oblasti udržitelné těžby zdrojů za přísného dodržování nejvyšších environmentálních norem, aby se zabránilo katastrofickým důsledkům, jaké způsobila ropná havárie u ruského města </w:t>
      </w:r>
      <w:proofErr w:type="spellStart"/>
      <w:r w:rsidRPr="00D76FC4">
        <w:rPr>
          <w:szCs w:val="24"/>
        </w:rPr>
        <w:t>Norilsk</w:t>
      </w:r>
      <w:proofErr w:type="spellEnd"/>
      <w:r w:rsidRPr="00D76FC4">
        <w:rPr>
          <w:szCs w:val="24"/>
        </w:rPr>
        <w:t xml:space="preserve"> v roce 2020; zajistily, aby tato spolupráce na jedné straně přispívala k růstu populace a revitalizaci místních komunit v Arktidě a na druhé straně snižovala závislost EU na Číně a dalších nespolehlivých dodavatelích; zohledňovaly strategické zájmy EU, pokud jde o zajišťování přístupu ke kritickým surovinám od spolehlivých, podobně smýšlejících partnerů, jakož i hospodářský růst EU;</w:t>
      </w:r>
    </w:p>
    <w:p w14:paraId="4FBEEDFB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p)</w:t>
      </w:r>
      <w:r w:rsidRPr="00D76FC4">
        <w:rPr>
          <w:szCs w:val="24"/>
        </w:rPr>
        <w:tab/>
        <w:t xml:space="preserve">současně usilovaly o zavedení závazného mezinárodního režimu odpovědnosti za životní prostředí, který zajistí, že znečišťovatelé ponesou plnou odpovědnost za nehody a ekologické škody v arktických vodách s ohledem na možné otevření nových transarktických námořních tras; </w:t>
      </w:r>
    </w:p>
    <w:p w14:paraId="6ABC84A2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q)</w:t>
      </w:r>
      <w:r w:rsidRPr="00D76FC4">
        <w:rPr>
          <w:szCs w:val="24"/>
        </w:rPr>
        <w:tab/>
        <w:t>vzhledem k tomu, že je třeba dodržovat a prosazovat práva původních obyvatel v celé Arktidě, usilovaly o začleňování znalostí původních obyvatel do environmentálních procesů a procesů tvorby politik a zajišťovaly, aby zájmy a odborné znalosti původních obyvatel byly dobře začleňovány do všech úrovní tvorby politik EU spolu se všemi dalšími příslušnými zdroji znalostí a aby byly chráněny jejich jazyky a kultura;</w:t>
      </w:r>
    </w:p>
    <w:p w14:paraId="5D391B82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r)</w:t>
      </w:r>
      <w:r w:rsidRPr="00D76FC4">
        <w:rPr>
          <w:szCs w:val="24"/>
        </w:rPr>
        <w:tab/>
        <w:t>v rámci spolupráce EU v Arktidě upřednostňovaly programy zaměřené na duševní zdraví, gramotnost, jazyky a mládež a reagovaly tak na doporučení původních obyvatel Arktidy a mládežnických fór;</w:t>
      </w:r>
    </w:p>
    <w:p w14:paraId="72E13034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s)</w:t>
      </w:r>
      <w:r w:rsidRPr="00D76FC4">
        <w:rPr>
          <w:szCs w:val="24"/>
        </w:rPr>
        <w:tab/>
        <w:t xml:space="preserve">dodržovaly článek 19 Deklarace OSN o právech původních obyvatel, který stanoví jejich práva; podobně v souladu s Ottawskou deklarací z roku 1996 zajišťovaly, aby činnosti EU a členských států v arktickém regionu přispívaly k blahobytu a právům původních obyvatel a nepoškozovaly je; braly na vědomí zvýšenou expozici původních obyvatel zahraničnímu vměšování a dezinformačním kampaním, které se </w:t>
      </w:r>
      <w:proofErr w:type="gramStart"/>
      <w:r w:rsidRPr="00D76FC4">
        <w:rPr>
          <w:szCs w:val="24"/>
        </w:rPr>
        <w:t>snaží</w:t>
      </w:r>
      <w:proofErr w:type="gramEnd"/>
      <w:r w:rsidRPr="00D76FC4">
        <w:rPr>
          <w:szCs w:val="24"/>
        </w:rPr>
        <w:t xml:space="preserve"> zneužívat složitý a jedinečný kontext, a bojovaly proti nim;</w:t>
      </w:r>
    </w:p>
    <w:p w14:paraId="44031CE6" w14:textId="14DA5A10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t)</w:t>
      </w:r>
      <w:r w:rsidRPr="00D76FC4">
        <w:rPr>
          <w:szCs w:val="24"/>
        </w:rPr>
        <w:tab/>
        <w:t>plně začlenily doporučení uvedená v prohlášení z </w:t>
      </w:r>
      <w:proofErr w:type="spellStart"/>
      <w:r w:rsidRPr="00D76FC4">
        <w:rPr>
          <w:szCs w:val="24"/>
        </w:rPr>
        <w:t>Kiruny</w:t>
      </w:r>
      <w:proofErr w:type="spellEnd"/>
      <w:r w:rsidRPr="00D76FC4">
        <w:rPr>
          <w:szCs w:val="24"/>
        </w:rPr>
        <w:t xml:space="preserve"> z roku 2013 do politiky EU pro Arktidu, mimo jiné podporou zvýšeného financování energie z obnovitelných zdrojů a udržitelného nakládání s odpady v arktických komunitách, posilováním mechanismů pro smysluplnou účast původních obyvatel na správě a rozhodování v Arktidě, posilováním civilní bezpečnosti a kapacit pro reakci na mimořádné události v arktických oblastech – včetně infrastruktury pro pátrací a záchranné operace a připravenost na katastrofy – a prosazováním mezioborových partnerství v oblasti výzkumu a vzdělávání, včetně podpory mladých lidí v Arktidě a místních a domorodých institucí;</w:t>
      </w:r>
    </w:p>
    <w:p w14:paraId="46786D82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u)</w:t>
      </w:r>
      <w:r w:rsidRPr="00D76FC4">
        <w:rPr>
          <w:szCs w:val="24"/>
        </w:rPr>
        <w:tab/>
        <w:t>podporovaly plné provádění dohody o rybolovu ve střední části Severního ledového oceánu, která vyžaduje, aby její signatáři zavedli společný program vědeckého výzkumu a monitorování a začlenili do něj znalosti původních obyvatel předtím, než v tomto regionu povolí jakýkoli budoucí komerční rybolov;</w:t>
      </w:r>
    </w:p>
    <w:p w14:paraId="150DF8C9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v)</w:t>
      </w:r>
      <w:r w:rsidRPr="00D76FC4">
        <w:rPr>
          <w:szCs w:val="24"/>
        </w:rPr>
        <w:tab/>
        <w:t>uznaly, že osídlená Arktida, přeshraniční infrastruktura a odolná společenství mají strategický význam pro evropskou bezpečnost a posílily spolupráci s evropskou Arktidou i v jejím rámci; podporovaly zejména rozvoj infrastrukturních projektů ve švédské a finské Arktidě, jež budou propojovat místa na severu této oblasti, jakož i východní a západní část tohoto regionu, se zvláštním důrazem na zvyšování kapacity stávající železnice z Finska k Severnímu ledovému oceánu, a zkoumaly nová multimodální dopravní spojení s cílem posílit propojení EU a severských zemí a vojenskou mobilitu;</w:t>
      </w:r>
    </w:p>
    <w:p w14:paraId="540DE15A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w)</w:t>
      </w:r>
      <w:r w:rsidRPr="00D76FC4">
        <w:rPr>
          <w:szCs w:val="24"/>
        </w:rPr>
        <w:tab/>
        <w:t xml:space="preserve">uznaly význam odolné konektivity pro arktické komunity a bezpečnost EU, navrhovaly nástroje EU, které aktivně </w:t>
      </w:r>
      <w:proofErr w:type="gramStart"/>
      <w:r w:rsidRPr="00D76FC4">
        <w:rPr>
          <w:szCs w:val="24"/>
        </w:rPr>
        <w:t>podpoří</w:t>
      </w:r>
      <w:proofErr w:type="gramEnd"/>
      <w:r w:rsidRPr="00D76FC4">
        <w:rPr>
          <w:szCs w:val="24"/>
        </w:rPr>
        <w:t xml:space="preserve"> větší hospodářskou integraci v arktické oblasti, neboť investice do přeshraniční infrastruktury zvyšují mobilitu, stimulují inovace a rozvoj podnikání a posilují bezpečnost dodávek a připravenost prostřednictvím spolupráce mezi veřejnými a soukromými subjekty;</w:t>
      </w:r>
    </w:p>
    <w:p w14:paraId="338B2B96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x)</w:t>
      </w:r>
      <w:r w:rsidRPr="00D76FC4">
        <w:rPr>
          <w:szCs w:val="24"/>
        </w:rPr>
        <w:tab/>
        <w:t>uznaly, že podpora rozvoje a spolupráce v Arktidě ze strany EU má zásadní význam pro posilování vztahů, důvěry a rozvojových kapacit v řídce osídlených a zranitelných severních oblastech;</w:t>
      </w:r>
    </w:p>
    <w:p w14:paraId="7D13F6ED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y)</w:t>
      </w:r>
      <w:r w:rsidRPr="00D76FC4">
        <w:rPr>
          <w:szCs w:val="24"/>
        </w:rPr>
        <w:tab/>
        <w:t xml:space="preserve">uznaly, že konkurenceschopnost a řešení krizí ve složitém prostředí bezpečnostní politiky závisí na silných, inovativních společnostech a místních podnicích s vlastními schopnostmi a na přeshraniční spolupráci mezi tvůrci politik, výzkumnými pracovníky, podniky a komunitami; uznaly, že by EU měla v úzkém dialogu s příslušnými státy a regionálními orgány i nadále podporovat budování kapacit odolnějších a udržitelnějších arktických komunit; </w:t>
      </w:r>
    </w:p>
    <w:p w14:paraId="01F4CF59" w14:textId="46514523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z)</w:t>
      </w:r>
      <w:r w:rsidRPr="00D76FC4">
        <w:rPr>
          <w:szCs w:val="24"/>
        </w:rPr>
        <w:tab/>
        <w:t xml:space="preserve">zdůrazňovaly zásadní úlohu mezinárodní vědecké spolupráce pro správu Arktidy a pochopení klimatu, podporovaly pokračující financování výzkumných projektů a vědeckých dialogů v Arktidě ze strany EU a aktivní účast na těchto akcích; podporovaly sdílení otevřených dat a začleňování vědeckých poznatků do procesů tvorby politik a zároveň zajišťovaly, aby tato vědecká výměna probíhala s plným povědomím o současných obranných a bezpečnostních rizicích vyplývajících z geopolitické situace; </w:t>
      </w:r>
    </w:p>
    <w:p w14:paraId="27C33684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proofErr w:type="spellStart"/>
      <w:r w:rsidRPr="00D76FC4">
        <w:rPr>
          <w:szCs w:val="24"/>
        </w:rPr>
        <w:t>aa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uznaly jedinečnou úlohu univerzit v arktických venkovských oblastech jako hnací síly regionálního rozvoje, hospodářského růstu prostřednictvím inovací ve výzkumu a podnikání, přilákání nových pracovníků, posílení místních a regionálních schopností a dovedností, podpory regionální soudržnosti a šíření znalostí a informací, což přispívá k odolnosti a připravenosti; podporovaly arktické univerzity, a to i prostřednictvím finančních příspěvků z kombinace programů EU; posílily iniciativy pro vzdělávací a výzkumnou mobilitu mezi univerzitami v EU a arktickými vysokoškolskými institucemi, mimo jiné v Grónsku, na Islandu a v severním Norsku, s cílem podpořit novou generaci arktických odborníků a prohloubit mezilidskou spolupráci; zvýšily financování mezioborového výzkumu o Arktidě a podpořily zřízení „Evropského centra excelence pro výzkum Arktidy“, které by využívalo služeb programu </w:t>
      </w:r>
      <w:proofErr w:type="spellStart"/>
      <w:r w:rsidRPr="00D76FC4">
        <w:rPr>
          <w:szCs w:val="24"/>
        </w:rPr>
        <w:t>Copernicus</w:t>
      </w:r>
      <w:proofErr w:type="spellEnd"/>
      <w:r w:rsidRPr="00D76FC4">
        <w:rPr>
          <w:szCs w:val="24"/>
        </w:rPr>
        <w:t xml:space="preserve"> a infrastruktur otevřených dat, měření na místě a tradičních znalostí k poskytování operativních vědeckých produktů, jež by podporovaly rozhodování EU a spolupráci s legitimními mezinárodními partnery;</w:t>
      </w:r>
    </w:p>
    <w:p w14:paraId="070F2DBE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ab)</w:t>
      </w:r>
      <w:r w:rsidRPr="00D76FC4">
        <w:rPr>
          <w:szCs w:val="24"/>
        </w:rPr>
        <w:tab/>
        <w:t>s ohledem na rostoucí podporu přistoupení k EU na Islandu uvítaly záměr místních orgánů uspořádat do roku 2027 referendum o obnovení jednání o přistoupení k EU a zavázaly se respektovat jeho výsledek, jak jej demokraticky vyjádří islandský lid; mezitím aktivně spolupracovaly s islandskou vládou na propagaci výhod potenciálního členství v EU a zlepšily připravenost na obnovený proces přistoupení, pokud Island formálně obnoví svou žádost, a zároveň neprodleně posílily spolupráci v oblasti společných zájmů a nabídly pomoc EU v boji proti hybridním hrozbám a zahraničnímu vměšování;</w:t>
      </w:r>
    </w:p>
    <w:p w14:paraId="6C5A7696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proofErr w:type="spellStart"/>
      <w:r w:rsidRPr="00D76FC4">
        <w:rPr>
          <w:szCs w:val="24"/>
        </w:rPr>
        <w:t>ac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uvítaly rozhodnutí islandské vlády zahájit rozhovory o bezpečnostním a obranném partnerství s EU; vyjádřily přesvědčení, že vyplývající dohoda bude mít pro budoucí vztahy mezi EU a Islandem zásadní význam;</w:t>
      </w:r>
    </w:p>
    <w:p w14:paraId="65844AE8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ad)</w:t>
      </w:r>
      <w:r w:rsidRPr="00D76FC4">
        <w:rPr>
          <w:szCs w:val="24"/>
        </w:rPr>
        <w:tab/>
        <w:t>uznaly Norsko jako klíčového spojence EU a NATO a zdůraznily, že je třeba i nadále posilovat spolupráci v oblasti bezpečnosti a obrany v plném souladu se závazky NATO; v této souvislosti a vzhledem k tomu, že členství Norska v EU by posílilo jak jeho národní zájmy, tak geopolitickou odolnost EU tím, že by odstranilo kritické mezery v kolektivní obraně EU (zejména v oblasti GIUK), prozkoumaly hlubší spolupráci s Norskem, včetně možného rozšíření čl. 42 odst. 7 Smlouvy o Evropské unii na Norsko a případného přistoupení Norska k EU; zdůraznily, že komplexní obranná spolupráce s Norskem je možná již v současnosti, jak dokládá silná skandinávská obranná spolupráce, která by měla sloužit jako vzor pro užší vazby mezi EU a Norskem;</w:t>
      </w:r>
    </w:p>
    <w:p w14:paraId="1F3A8E36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ae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vzhledem k zásadní úloze Norska pro energetickou bezpečnost EU – v roce 2024 bylo více než 30 % plynu dovezeno do EU právě z Norska – posílily spolupráci v oblasti energetické odolnosti a diverzifikace dodávek, což je – spolu s dalšími projekty strategické infrastruktury, jako je baltský plynový koridor – klíčový nástroj k dosažení strategické autonomie EU, posílení odolnosti a snížení závislosti na ruských dodávkách energie; </w:t>
      </w:r>
    </w:p>
    <w:p w14:paraId="3930CBA9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af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uvítaly pokračující podporu Ukrajiny ze strany Norska, včetně jeho rozhodnutí vyčlenit téměř 600 milionů EUR na ukrajinské systémy protivzdušné obrany;</w:t>
      </w:r>
    </w:p>
    <w:p w14:paraId="02218A62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ag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s ohledem na hluboké znepokojení Parlamentu nad rostoucím geopolitickým významem Grónska, které je umocněno prohlášeními vnějších aktérů zpochybňujících ústavní uspořádání a svrchovanost Dánska, jakož i zprávami o zahraničním vměšování do jeho vnitřních záležitostí, včetně některých prohlášení vládních představitelů USA, znovu potvrdily respektování práva Grónska na sebeurčení a zdůraznily, že rozhodnutí týkající se ústavní budoucnosti Grónska a jeho mezinárodních vztahů musí být přijímána výhradně grónskými občany bez vnějšího tlaku;</w:t>
      </w:r>
    </w:p>
    <w:p w14:paraId="67FAD850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proofErr w:type="spellStart"/>
      <w:r w:rsidRPr="00D76FC4">
        <w:rPr>
          <w:szCs w:val="24"/>
        </w:rPr>
        <w:t>ah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vzhledem k rostoucímu významu Grónska v arktickém a evropském bezpečnostním rámci a rostoucí podpoře přistoupení k EU mezi Gróňany, o čemž svědčí průzkumy veřejného mínění, podle nichž je nyní přibližně 60 % Gróňanů pro návrat do EU, vítaly každou potenciální iniciativu grónské vlády usilující o posílení jejích politických, institucionálních a hospodářských vazeb s EU;  vybízely EU, aby se angažovala v hlubších strategických a hospodářských partnerstvích, a to i v souvislosti s případným přistoupením, pokud si to obyvatelé Grónska budou přát; v této souvislosti zdůraznily, že členství v EU, které poskytuje přístup k iniciativám jako Iris</w:t>
      </w:r>
      <w:r w:rsidRPr="00D76FC4">
        <w:rPr>
          <w:szCs w:val="24"/>
          <w:vertAlign w:val="superscript"/>
        </w:rPr>
        <w:t>2</w:t>
      </w:r>
      <w:r w:rsidRPr="00D76FC4">
        <w:rPr>
          <w:szCs w:val="24"/>
        </w:rPr>
        <w:t xml:space="preserve"> a Galileo, by Grónsku poskytlo silnější hlas ve správě Arktidy a prostředky na ochranu jeho kriticky důležitých ekosystémů a umožnilo by udržitelný rozvoj kritické infrastruktury v době, kdy vznikají nové severní obchodní trasy, a zároveň by posílilo jeho bezpečnost;</w:t>
      </w:r>
    </w:p>
    <w:p w14:paraId="1D49557F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proofErr w:type="spellStart"/>
      <w:r w:rsidRPr="00D76FC4">
        <w:rPr>
          <w:szCs w:val="24"/>
        </w:rPr>
        <w:t>ai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vzaly na vědomí první bezpečnostní strategii Grónska nazvanou „Grónsko ve světě: nic o nás bez nás – zahraniční, bezpečnostní a obranná politika Grónska na období 2024–2033“, která odráží zásadu smysluplného zapojení arktických národů do utváření politik, které ovlivňují jejich region; vzaly na vědomí doporučení obsažené v této strategii, tj. zřídit v Nuuku mírové středisko, které by podporovalo dialog a usnadňovalo výzkum a mediaci;</w:t>
      </w:r>
    </w:p>
    <w:p w14:paraId="2161BA36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aj)</w:t>
      </w:r>
      <w:r w:rsidRPr="00D76FC4">
        <w:rPr>
          <w:szCs w:val="24"/>
        </w:rPr>
        <w:tab/>
        <w:t>vzaly na vědomí, že se Grónsko připojilo k sankcím EU proti Rusku po invazi na Ukrajinu; zdůraznily, že otevření kanceláře Komise v Nuuku představuje novou etapu spolupráce s Grónskem, které sice není členským státem, ale dlouhodobě udržuje s EU úzké vztahy a využívá její finanční podpory, a to i v oblasti vzdělávání;</w:t>
      </w:r>
    </w:p>
    <w:p w14:paraId="3D3171A0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proofErr w:type="spellStart"/>
      <w:r w:rsidRPr="00D76FC4">
        <w:rPr>
          <w:szCs w:val="24"/>
        </w:rPr>
        <w:t>ak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posílily spolupráci s Kanadou; zdůraznily strategický význam partnerství mezi EU a Kanadou s ohledem na sdílené demokratické hodnoty a globální odpovědnost a podporovaly spolupráci v oblasti bezpečnosti a obrany v Arktidě jako součást ambiciózní a na budoucnost zaměřené agendy EU-Kanada;</w:t>
      </w:r>
    </w:p>
    <w:p w14:paraId="2CE0CFF5" w14:textId="77777777" w:rsidR="0026435D" w:rsidRPr="00D76FC4" w:rsidRDefault="0026435D" w:rsidP="00B715BF">
      <w:pPr>
        <w:pStyle w:val="NormalHanging12a"/>
        <w:ind w:left="1134"/>
        <w:rPr>
          <w:szCs w:val="24"/>
        </w:rPr>
      </w:pPr>
      <w:r w:rsidRPr="00D76FC4">
        <w:rPr>
          <w:szCs w:val="24"/>
        </w:rPr>
        <w:t>al)</w:t>
      </w:r>
      <w:r w:rsidRPr="00D76FC4">
        <w:rPr>
          <w:szCs w:val="24"/>
        </w:rPr>
        <w:tab/>
        <w:t>zdůrazňovaly, že je zejména zapotřebí intenzivnější spolupráce v boji proti nepřátelským činnostem Ruska a Číny v Arktidě a zároveň podporovaly hospodářský rozvoj a připomínaly, že vojenská spolupráce může rovněž posílit místní komunity; rozvíjely strukturovaný dialog v rámci Komplexní hospodářské a obchodní dohody mezi EU a Kanadou</w:t>
      </w:r>
      <w:r w:rsidRPr="00D76FC4">
        <w:rPr>
          <w:rStyle w:val="FootnoteReference"/>
          <w:szCs w:val="24"/>
        </w:rPr>
        <w:footnoteReference w:id="3"/>
      </w:r>
      <w:r w:rsidRPr="00D76FC4">
        <w:rPr>
          <w:szCs w:val="24"/>
        </w:rPr>
        <w:t xml:space="preserve"> se zaměřením na ochranu ekosystémů a biologické rozmanitosti, provádění mezinárodních environmentálních norem, odolnou infrastrukturu, bezpečnost námořních tras a začleňování znalostí původních obyvatel do rozhodovacích procesů; připomínaly velký potenciál spolupráce mezi EU a Kanadou týkající se kanadských přírodních zdrojů; podporovaly užší spolupráci ve vědecké a kulturní oblasti s cílem posílit postavení původních obyvatel a odolnost Arktidy; zdůrazňovaly, že spolupráce v oblasti rozvoje a řízení infrastruktury a modelů partnerství s původními obyvateli má pro spolupráci mezi EU a Kanadou zásadní význam; se zaměřovaly na rychlá opatření k prohloubení politické, hospodářské a bezpečnostní spolupráce s Kanadou, vzhledem k její úloze zakládajícího člena Arktické rady a strategického partnera EU;</w:t>
      </w:r>
    </w:p>
    <w:p w14:paraId="4796B2C2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am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pokročily v dialogu mezi EU a USA o Arktidě; zdůrazňovaly mnoho společných výzev, kterým čelí EU a USA v Arktidě, od klimatu až po bezpečnostní spolupráci; zdůrazňovaly, že spolupráce mezi EU a USA v Arktidě má zásadní význam pro omezení činnosti Ruska a Číny a pro zajištění sdílené bezpečnosti mezi EU a USA; </w:t>
      </w:r>
    </w:p>
    <w:p w14:paraId="7B54A4A0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an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zdůrazňovaly, že je nezbytné navázat intenzivnější regionální dialog s podobně smýšlejícími partnery v Arktidě, a vyzvaly vedoucí představitele EU, aby svolali vedoucí představitele podobně smýšlejících arktických partnerů s cílem vytvořit společnou, zásadní a životaschopnou dlouhodobou strategii pro Arktidu; </w:t>
      </w:r>
    </w:p>
    <w:p w14:paraId="203060AA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ao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posílily mnohostrannou správu a spolupráci prostřednictvím Arktické rady, jíž v současnosti (2025–2027) jménem Dánského království předsedá Grónsko; v této souvislosti naléhavě vyzývá všechny členy, aby prosazovali mírové, na právu založené správní rámce a obnovili účinnou mnohostrannou spolupráci se zvláštním důrazem na ochranu životního prostředí, udržitelný rozvoj a práva původních obyvatel; </w:t>
      </w:r>
    </w:p>
    <w:p w14:paraId="43C79711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ap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posílily spolupráci s pozorovatelskými státy Arktické rady, jako je Japonsko a Jižní Korea, se zaměřením na udržitelné technologie, </w:t>
      </w:r>
      <w:proofErr w:type="spellStart"/>
      <w:r w:rsidRPr="00D76FC4">
        <w:rPr>
          <w:szCs w:val="24"/>
        </w:rPr>
        <w:t>ledoborecké</w:t>
      </w:r>
      <w:proofErr w:type="spellEnd"/>
      <w:r w:rsidRPr="00D76FC4">
        <w:rPr>
          <w:szCs w:val="24"/>
        </w:rPr>
        <w:t xml:space="preserve"> schopnosti a námořní bezpečnost a zároveň chránily strategické zájmy EU;</w:t>
      </w:r>
    </w:p>
    <w:p w14:paraId="73B50B3A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aq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opět začaly usilovat o podporu žádosti EU o status plnoprávného pozorovatele v Arktické radě a posílení účasti EU v pracovních skupinách Arktické rady;</w:t>
      </w:r>
    </w:p>
    <w:p w14:paraId="5F051BE3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r w:rsidRPr="00D76FC4">
        <w:rPr>
          <w:szCs w:val="24"/>
        </w:rPr>
        <w:t>ar)</w:t>
      </w:r>
      <w:r w:rsidRPr="00D76FC4">
        <w:rPr>
          <w:szCs w:val="24"/>
        </w:rPr>
        <w:tab/>
        <w:t xml:space="preserve">zvýšily financování a podporu spolupráce s klíčovými arktickými institucemi, jako je Arktická hospodářská rada, Fórum starostů arktické oblasti a stálý výbor poslanců parlamentů z arktické oblasti, a to i prostřednictvím budování kapacit, společných projektů a výzkumných iniciativ, a uznaly jejich zásadní úlohu při prosazování udržitelného rozvoje a zapojování místních obyvatel v celém arktickém regionu; </w:t>
      </w:r>
    </w:p>
    <w:p w14:paraId="751E39D7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r w:rsidRPr="00D76FC4">
        <w:rPr>
          <w:szCs w:val="24"/>
        </w:rPr>
        <w:t>as)</w:t>
      </w:r>
      <w:r w:rsidRPr="00D76FC4">
        <w:rPr>
          <w:szCs w:val="24"/>
        </w:rPr>
        <w:tab/>
        <w:t>uznaly, že modernizovaná a posílená strategie EU pro Arktidu vyžaduje také další finanční zdroje; zajistily proto, aby příští víceletý finanční rámec stimuloval strategické investice do arktických přepravních schopností, moderních komunikačních systémů, logistických uzlů a podpůrné infrastruktury, včetně ledoborců; zdůrazňovaly, že tyto investice musí zaručit přísné dodržování environmentálních norem a smysluplnou účast původních obyvatel na plánování a realizaci politik;</w:t>
      </w:r>
    </w:p>
    <w:p w14:paraId="7CC56018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at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 xml:space="preserve">posílily mandát zvláštního vyslance pro otázky Arktidy tím, že mu budou poskytnuty jasnější pravomoci, odpovídající zdroje a odpovědnost za sledování vývoje v oblasti bezpečnosti a životního prostředí, zastupování EU na arktických fórech, koordinaci politiky pro Arktidu, spolupráci s původními obyvateli a podávání zpráv Radě a Parlamentu; </w:t>
      </w:r>
    </w:p>
    <w:p w14:paraId="3699DC4E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r w:rsidRPr="00D76FC4">
        <w:rPr>
          <w:szCs w:val="24"/>
        </w:rPr>
        <w:t>au)</w:t>
      </w:r>
      <w:r w:rsidRPr="00D76FC4">
        <w:rPr>
          <w:szCs w:val="24"/>
        </w:rPr>
        <w:tab/>
        <w:t>vyzvaly k vytvoření specializovaného útvaru pro Arktidu v rámci ESVČ, který by podporoval komplexnější a proaktivnější spolupráci s arktickými státy a zúčastněnými stranami; zdůrazňovaly, že EU by měla k Arktidě přistupovat jako k dlouhodobému partnerovi v oblasti udržitelné prosperity a přednostně se zaměřovat na spolupráci v hospodářských, environmentálních a bezpečnostních otázkách; naléhavě vyzvaly ESVČ, aby budovala odborné znalosti týkající se Arktidy, mimo jiné prostřednictvím školení zaměstnanců a užší spolupráce s arktickými komunitami a institucemi, a posílila účast EU v pracovních skupinách Arktické rady; zdůrazňovaly, že toto budování kapacit musí být podpořeno dostatečným financováním, včetně zdrojů na školení zaměstnanců, výzkum a budování partnerství s arktickými komunitami a institucemi, aby byl zajištěn komplexní, informovaný, účinný a koordinovaný přístup k politice EU pro Arktidu;</w:t>
      </w:r>
    </w:p>
    <w:p w14:paraId="31BC0DA2" w14:textId="77777777" w:rsidR="0026435D" w:rsidRPr="00D76FC4" w:rsidRDefault="0026435D" w:rsidP="00B715BF">
      <w:pPr>
        <w:spacing w:after="240"/>
        <w:ind w:left="1134" w:hanging="567"/>
        <w:rPr>
          <w:szCs w:val="24"/>
        </w:rPr>
      </w:pPr>
      <w:proofErr w:type="spellStart"/>
      <w:r w:rsidRPr="00D76FC4">
        <w:rPr>
          <w:szCs w:val="24"/>
        </w:rPr>
        <w:t>av</w:t>
      </w:r>
      <w:proofErr w:type="spellEnd"/>
      <w:r w:rsidRPr="00D76FC4">
        <w:rPr>
          <w:szCs w:val="24"/>
        </w:rPr>
        <w:t>)</w:t>
      </w:r>
      <w:r w:rsidRPr="00D76FC4">
        <w:rPr>
          <w:szCs w:val="24"/>
        </w:rPr>
        <w:tab/>
        <w:t>prozkoumaly a zřídily formální zastoupení EU na Faerských ostrovech s cílem posílit politický dialog, spolupráci v oblasti rybolovu, odolnost vůči změně klimatu a udržitelný rozvoj a upevnily strategickou přítomnost EU v severoatlantickém regionu;</w:t>
      </w:r>
    </w:p>
    <w:p w14:paraId="0DB7A317" w14:textId="2FB2B9E3" w:rsidR="00EC03EF" w:rsidRPr="00D76FC4" w:rsidRDefault="0026435D" w:rsidP="00D76FC4">
      <w:pPr>
        <w:pStyle w:val="NormalHanging12a"/>
        <w:rPr>
          <w:szCs w:val="24"/>
        </w:rPr>
      </w:pPr>
      <w:r w:rsidRPr="00D76FC4">
        <w:rPr>
          <w:szCs w:val="24"/>
        </w:rPr>
        <w:t>2.</w:t>
      </w:r>
      <w:r w:rsidRPr="00D76FC4">
        <w:rPr>
          <w:szCs w:val="24"/>
        </w:rPr>
        <w:tab/>
        <w:t>pověřuje svou předsedkyni, aby předala toto doporučení Radě, Komisi a místopředsedkyni Komise, vysoké představitelce Unie pro zahraniční věci a bezpečnostní politiku a pro informaci vládám a parlamentům arktických států a organizacím zastupujícím původní obyvatele.</w:t>
      </w:r>
    </w:p>
    <w:p w14:paraId="1638A76B" w14:textId="69FA976D" w:rsidR="00E365E1" w:rsidRPr="00D76FC4" w:rsidRDefault="00E365E1" w:rsidP="00D76FC4">
      <w:pPr>
        <w:spacing w:after="240"/>
        <w:ind w:left="567" w:hanging="567"/>
        <w:rPr>
          <w:szCs w:val="24"/>
        </w:rPr>
      </w:pPr>
    </w:p>
    <w:sectPr w:rsidR="00E365E1" w:rsidRPr="00D76FC4" w:rsidSect="00EC03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E8A34" w14:textId="77777777" w:rsidR="000A352E" w:rsidRPr="00EC03EF" w:rsidRDefault="000A352E">
      <w:r w:rsidRPr="00EC03EF">
        <w:separator/>
      </w:r>
    </w:p>
  </w:endnote>
  <w:endnote w:type="continuationSeparator" w:id="0">
    <w:p w14:paraId="19257A06" w14:textId="77777777" w:rsidR="000A352E" w:rsidRPr="00EC03EF" w:rsidRDefault="000A352E">
      <w:r w:rsidRPr="00EC03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15BE" w14:textId="77777777" w:rsidR="00064002" w:rsidRPr="00EC03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3F1F" w14:textId="77777777" w:rsidR="00064002" w:rsidRPr="00EC03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2ECE" w14:textId="77777777" w:rsidR="00064002" w:rsidRPr="00EC03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49678" w14:textId="77777777" w:rsidR="000A352E" w:rsidRPr="00EC03EF" w:rsidRDefault="000A352E">
      <w:r w:rsidRPr="00EC03EF">
        <w:separator/>
      </w:r>
    </w:p>
  </w:footnote>
  <w:footnote w:type="continuationSeparator" w:id="0">
    <w:p w14:paraId="59DE0BF0" w14:textId="77777777" w:rsidR="000A352E" w:rsidRPr="00EC03EF" w:rsidRDefault="000A352E">
      <w:r w:rsidRPr="00EC03EF">
        <w:continuationSeparator/>
      </w:r>
    </w:p>
  </w:footnote>
  <w:footnote w:id="1">
    <w:p w14:paraId="4D1C3162" w14:textId="1E7ED9F1" w:rsidR="0026435D" w:rsidRPr="00EC03EF" w:rsidRDefault="0026435D" w:rsidP="00EC03EF">
      <w:pPr>
        <w:pStyle w:val="FootnoteText"/>
        <w:ind w:left="567" w:hanging="567"/>
        <w:rPr>
          <w:sz w:val="24"/>
          <w:lang w:val="cs-CZ"/>
        </w:rPr>
      </w:pPr>
      <w:r w:rsidRPr="00EC03EF">
        <w:rPr>
          <w:rStyle w:val="FootnoteReference"/>
          <w:sz w:val="24"/>
          <w:lang w:val="cs-CZ"/>
        </w:rPr>
        <w:footnoteRef/>
      </w:r>
      <w:r w:rsidR="00EC03EF" w:rsidRPr="00EC03EF">
        <w:rPr>
          <w:sz w:val="24"/>
          <w:lang w:val="cs-CZ"/>
        </w:rPr>
        <w:t xml:space="preserve"> </w:t>
      </w:r>
      <w:r w:rsidR="00EC03EF" w:rsidRPr="00EC03EF">
        <w:rPr>
          <w:sz w:val="24"/>
          <w:lang w:val="cs-CZ"/>
        </w:rPr>
        <w:tab/>
      </w:r>
      <w:proofErr w:type="spellStart"/>
      <w:r w:rsidRPr="00EC03EF">
        <w:rPr>
          <w:sz w:val="24"/>
          <w:lang w:val="cs-CZ"/>
        </w:rPr>
        <w:t>Úř</w:t>
      </w:r>
      <w:proofErr w:type="spellEnd"/>
      <w:r w:rsidRPr="00EC03EF">
        <w:rPr>
          <w:sz w:val="24"/>
          <w:lang w:val="cs-CZ"/>
        </w:rPr>
        <w:t xml:space="preserve">. </w:t>
      </w:r>
      <w:proofErr w:type="spellStart"/>
      <w:r w:rsidRPr="00EC03EF">
        <w:rPr>
          <w:sz w:val="24"/>
          <w:lang w:val="cs-CZ"/>
        </w:rPr>
        <w:t>věst</w:t>
      </w:r>
      <w:proofErr w:type="spellEnd"/>
      <w:r w:rsidRPr="00EC03EF">
        <w:rPr>
          <w:sz w:val="24"/>
          <w:lang w:val="cs-CZ"/>
        </w:rPr>
        <w:t>. C 132, 24.3.2022, s. 113.</w:t>
      </w:r>
    </w:p>
  </w:footnote>
  <w:footnote w:id="2">
    <w:p w14:paraId="4D9F631A" w14:textId="39834D61" w:rsidR="0026435D" w:rsidRPr="00EC03EF" w:rsidRDefault="0026435D" w:rsidP="00EC03EF">
      <w:pPr>
        <w:pStyle w:val="FootnoteText"/>
        <w:ind w:left="567" w:hanging="567"/>
        <w:rPr>
          <w:sz w:val="24"/>
          <w:lang w:val="cs-CZ"/>
        </w:rPr>
      </w:pPr>
      <w:r w:rsidRPr="00EC03EF">
        <w:rPr>
          <w:rStyle w:val="FootnoteReference"/>
          <w:sz w:val="24"/>
          <w:lang w:val="cs-CZ"/>
        </w:rPr>
        <w:footnoteRef/>
      </w:r>
      <w:r w:rsidR="00EC03EF" w:rsidRPr="00EC03EF">
        <w:rPr>
          <w:sz w:val="24"/>
          <w:lang w:val="cs-CZ"/>
        </w:rPr>
        <w:t xml:space="preserve"> </w:t>
      </w:r>
      <w:r w:rsidR="00EC03EF" w:rsidRPr="00EC03EF">
        <w:rPr>
          <w:sz w:val="24"/>
          <w:lang w:val="cs-CZ"/>
        </w:rPr>
        <w:tab/>
      </w:r>
      <w:r w:rsidRPr="00EC03EF">
        <w:rPr>
          <w:sz w:val="24"/>
          <w:lang w:val="cs-CZ"/>
        </w:rPr>
        <w:t>Nařízení Evropského parlamentu a Rady (EU) 2020/852 ze dne 18. června 2020 o zřízení rámce pro usnadnění udržitelných investic a o změně nařízení (EU) 2019/2088 (</w:t>
      </w:r>
      <w:proofErr w:type="spellStart"/>
      <w:r w:rsidRPr="00EC03EF">
        <w:rPr>
          <w:sz w:val="24"/>
          <w:lang w:val="cs-CZ"/>
        </w:rPr>
        <w:t>Úř</w:t>
      </w:r>
      <w:proofErr w:type="spellEnd"/>
      <w:r w:rsidRPr="00EC03EF">
        <w:rPr>
          <w:sz w:val="24"/>
          <w:lang w:val="cs-CZ"/>
        </w:rPr>
        <w:t>. </w:t>
      </w:r>
      <w:proofErr w:type="spellStart"/>
      <w:r w:rsidRPr="00EC03EF">
        <w:rPr>
          <w:sz w:val="24"/>
          <w:lang w:val="cs-CZ"/>
        </w:rPr>
        <w:t>věst</w:t>
      </w:r>
      <w:proofErr w:type="spellEnd"/>
      <w:r w:rsidRPr="00EC03EF">
        <w:rPr>
          <w:sz w:val="24"/>
          <w:lang w:val="cs-CZ"/>
        </w:rPr>
        <w:t>. L 198, 22.6.2020, s. 13, ELI:  </w:t>
      </w:r>
      <w:hyperlink r:id="rId1" w:tooltip="Umožňuje přístup k tomuto dokumentu prostřednictvím identifikátoru URI používaného v ELI." w:history="1">
        <w:r w:rsidRPr="00EC03EF">
          <w:rPr>
            <w:rStyle w:val="Hyperlink"/>
            <w:sz w:val="24"/>
            <w:lang w:val="cs-CZ"/>
          </w:rPr>
          <w:t>http://data.europa.eu/eli/reg/2020/852/oj</w:t>
        </w:r>
      </w:hyperlink>
      <w:r w:rsidRPr="00EC03EF">
        <w:rPr>
          <w:sz w:val="24"/>
          <w:lang w:val="cs-CZ"/>
        </w:rPr>
        <w:t>).</w:t>
      </w:r>
    </w:p>
  </w:footnote>
  <w:footnote w:id="3">
    <w:p w14:paraId="76A9C8DD" w14:textId="0F631FEA" w:rsidR="0026435D" w:rsidRPr="00EC03EF" w:rsidRDefault="0026435D" w:rsidP="00EC03EF">
      <w:pPr>
        <w:pStyle w:val="FootnoteText"/>
        <w:ind w:left="567" w:hanging="567"/>
        <w:rPr>
          <w:sz w:val="24"/>
          <w:lang w:val="cs-CZ"/>
        </w:rPr>
      </w:pPr>
      <w:r w:rsidRPr="00EC03EF">
        <w:rPr>
          <w:rStyle w:val="FootnoteReference"/>
          <w:sz w:val="24"/>
          <w:lang w:val="cs-CZ"/>
        </w:rPr>
        <w:footnoteRef/>
      </w:r>
      <w:r w:rsidR="00EC03EF" w:rsidRPr="00EC03EF">
        <w:rPr>
          <w:sz w:val="24"/>
          <w:lang w:val="cs-CZ"/>
        </w:rPr>
        <w:t xml:space="preserve"> </w:t>
      </w:r>
      <w:r w:rsidR="00EC03EF" w:rsidRPr="00EC03EF">
        <w:rPr>
          <w:sz w:val="24"/>
          <w:lang w:val="cs-CZ"/>
        </w:rPr>
        <w:tab/>
      </w:r>
      <w:r w:rsidRPr="00EC03EF">
        <w:rPr>
          <w:sz w:val="24"/>
          <w:lang w:val="cs-CZ"/>
        </w:rPr>
        <w:t>Komplexní hospodářská a obchodní dohoda (CETA) mezi Kanadou na jedné straně a Evropskou unií a jejími členskými státy na straně druhé (</w:t>
      </w:r>
      <w:proofErr w:type="spellStart"/>
      <w:r w:rsidRPr="00EC03EF">
        <w:rPr>
          <w:sz w:val="24"/>
          <w:lang w:val="cs-CZ"/>
        </w:rPr>
        <w:t>Úř</w:t>
      </w:r>
      <w:proofErr w:type="spellEnd"/>
      <w:r w:rsidRPr="00EC03EF">
        <w:rPr>
          <w:sz w:val="24"/>
          <w:lang w:val="cs-CZ"/>
        </w:rPr>
        <w:t xml:space="preserve">. </w:t>
      </w:r>
      <w:proofErr w:type="spellStart"/>
      <w:r w:rsidRPr="00EC03EF">
        <w:rPr>
          <w:sz w:val="24"/>
          <w:lang w:val="cs-CZ"/>
        </w:rPr>
        <w:t>věst</w:t>
      </w:r>
      <w:proofErr w:type="spellEnd"/>
      <w:r w:rsidRPr="00EC03EF">
        <w:rPr>
          <w:sz w:val="24"/>
          <w:lang w:val="cs-CZ"/>
        </w:rPr>
        <w:t xml:space="preserve">. L 11, 14.1.2017, s. 23, ELI: </w:t>
      </w:r>
      <w:hyperlink r:id="rId2" w:history="1">
        <w:r w:rsidRPr="00EC03EF">
          <w:rPr>
            <w:rStyle w:val="Hyperlink"/>
            <w:sz w:val="24"/>
            <w:lang w:val="cs-CZ"/>
          </w:rPr>
          <w:t>http://data.europa.eu/eli/agree_internation/2017/37/oj</w:t>
        </w:r>
      </w:hyperlink>
      <w:r w:rsidRPr="00EC03EF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A974" w14:textId="77777777" w:rsidR="00064002" w:rsidRPr="00EC03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A7CD" w14:textId="77777777" w:rsidR="00064002" w:rsidRPr="00EC03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D5C6" w14:textId="77777777" w:rsidR="00064002" w:rsidRPr="00EC03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D4C04036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A2D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0F5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5031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CE9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EE08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616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E19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08BA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CAACCB0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C8A6388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1D2A0C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62230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B8CBC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09064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5A3C3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F8A3B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ED0030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838034">
    <w:abstractNumId w:val="9"/>
  </w:num>
  <w:num w:numId="2" w16cid:durableId="1148665844">
    <w:abstractNumId w:val="9"/>
  </w:num>
  <w:num w:numId="3" w16cid:durableId="1859195086">
    <w:abstractNumId w:val="7"/>
  </w:num>
  <w:num w:numId="4" w16cid:durableId="936792578">
    <w:abstractNumId w:val="7"/>
  </w:num>
  <w:num w:numId="5" w16cid:durableId="1689059546">
    <w:abstractNumId w:val="6"/>
  </w:num>
  <w:num w:numId="6" w16cid:durableId="1988166518">
    <w:abstractNumId w:val="6"/>
  </w:num>
  <w:num w:numId="7" w16cid:durableId="1438284080">
    <w:abstractNumId w:val="5"/>
  </w:num>
  <w:num w:numId="8" w16cid:durableId="940986593">
    <w:abstractNumId w:val="5"/>
  </w:num>
  <w:num w:numId="9" w16cid:durableId="1070497770">
    <w:abstractNumId w:val="4"/>
  </w:num>
  <w:num w:numId="10" w16cid:durableId="419177343">
    <w:abstractNumId w:val="4"/>
  </w:num>
  <w:num w:numId="11" w16cid:durableId="808983213">
    <w:abstractNumId w:val="8"/>
  </w:num>
  <w:num w:numId="12" w16cid:durableId="21520187">
    <w:abstractNumId w:val="8"/>
  </w:num>
  <w:num w:numId="13" w16cid:durableId="2003268601">
    <w:abstractNumId w:val="3"/>
  </w:num>
  <w:num w:numId="14" w16cid:durableId="131410112">
    <w:abstractNumId w:val="3"/>
  </w:num>
  <w:num w:numId="15" w16cid:durableId="612130071">
    <w:abstractNumId w:val="2"/>
  </w:num>
  <w:num w:numId="16" w16cid:durableId="881864256">
    <w:abstractNumId w:val="2"/>
  </w:num>
  <w:num w:numId="17" w16cid:durableId="1817146455">
    <w:abstractNumId w:val="1"/>
  </w:num>
  <w:num w:numId="18" w16cid:durableId="35281340">
    <w:abstractNumId w:val="1"/>
  </w:num>
  <w:num w:numId="19" w16cid:durableId="165562542">
    <w:abstractNumId w:val="0"/>
  </w:num>
  <w:num w:numId="20" w16cid:durableId="1829321204">
    <w:abstractNumId w:val="0"/>
  </w:num>
  <w:num w:numId="21" w16cid:durableId="1418208341">
    <w:abstractNumId w:val="9"/>
  </w:num>
  <w:num w:numId="22" w16cid:durableId="877666040">
    <w:abstractNumId w:val="7"/>
  </w:num>
  <w:num w:numId="23" w16cid:durableId="868690337">
    <w:abstractNumId w:val="6"/>
  </w:num>
  <w:num w:numId="24" w16cid:durableId="1313410084">
    <w:abstractNumId w:val="5"/>
  </w:num>
  <w:num w:numId="25" w16cid:durableId="1576628615">
    <w:abstractNumId w:val="4"/>
  </w:num>
  <w:num w:numId="26" w16cid:durableId="1169062447">
    <w:abstractNumId w:val="8"/>
  </w:num>
  <w:num w:numId="27" w16cid:durableId="1490294614">
    <w:abstractNumId w:val="3"/>
  </w:num>
  <w:num w:numId="28" w16cid:durableId="1980333186">
    <w:abstractNumId w:val="2"/>
  </w:num>
  <w:num w:numId="29" w16cid:durableId="1702827692">
    <w:abstractNumId w:val="1"/>
  </w:num>
  <w:num w:numId="30" w16cid:durableId="43869680">
    <w:abstractNumId w:val="0"/>
  </w:num>
  <w:num w:numId="31" w16cid:durableId="565530364">
    <w:abstractNumId w:val="9"/>
  </w:num>
  <w:num w:numId="32" w16cid:durableId="1549760310">
    <w:abstractNumId w:val="7"/>
  </w:num>
  <w:num w:numId="33" w16cid:durableId="2040204293">
    <w:abstractNumId w:val="6"/>
  </w:num>
  <w:num w:numId="34" w16cid:durableId="36665226">
    <w:abstractNumId w:val="5"/>
  </w:num>
  <w:num w:numId="35" w16cid:durableId="1451046803">
    <w:abstractNumId w:val="4"/>
  </w:num>
  <w:num w:numId="36" w16cid:durableId="872302565">
    <w:abstractNumId w:val="8"/>
  </w:num>
  <w:num w:numId="37" w16cid:durableId="1688020546">
    <w:abstractNumId w:val="3"/>
  </w:num>
  <w:num w:numId="38" w16cid:durableId="325206545">
    <w:abstractNumId w:val="2"/>
  </w:num>
  <w:num w:numId="39" w16cid:durableId="1854102432">
    <w:abstractNumId w:val="1"/>
  </w:num>
  <w:num w:numId="40" w16cid:durableId="301734596">
    <w:abstractNumId w:val="0"/>
  </w:num>
  <w:num w:numId="41" w16cid:durableId="1428310760">
    <w:abstractNumId w:val="10"/>
  </w:num>
  <w:num w:numId="42" w16cid:durableId="1046946753">
    <w:abstractNumId w:val="10"/>
  </w:num>
  <w:num w:numId="43" w16cid:durableId="1040742195">
    <w:abstractNumId w:val="10"/>
  </w:num>
  <w:num w:numId="44" w16cid:durableId="165756336">
    <w:abstractNumId w:val="11"/>
  </w:num>
  <w:num w:numId="45" w16cid:durableId="1711295637">
    <w:abstractNumId w:val="12"/>
  </w:num>
  <w:num w:numId="46" w16cid:durableId="5412117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CS"/>
    <w:docVar w:name="dvnumam" w:val="0"/>
    <w:docVar w:name="dvpe" w:val="775.465"/>
    <w:docVar w:name="dvrapporteur" w:val="Zpravodaj: "/>
    <w:docVar w:name="dvtitre" w:val="Usnesení Evropského parlamentu ze dne 26. listopadu 2025 o doporučení Evropského parlamentu Radě, Komisi a místopředsedkyni Komise, vysoké představitelce Unie pro zahraniční věci a bezpečnostní politiku k diplomatické strategii EU a geopolitické spolupráci v Arktidě(2025/2116(INI))"/>
  </w:docVars>
  <w:rsids>
    <w:rsidRoot w:val="000A352E"/>
    <w:rsid w:val="00002272"/>
    <w:rsid w:val="00064002"/>
    <w:rsid w:val="000677B9"/>
    <w:rsid w:val="000700F7"/>
    <w:rsid w:val="000831BA"/>
    <w:rsid w:val="000A352E"/>
    <w:rsid w:val="000A42CC"/>
    <w:rsid w:val="000E7DD9"/>
    <w:rsid w:val="0010095E"/>
    <w:rsid w:val="00125B37"/>
    <w:rsid w:val="00187494"/>
    <w:rsid w:val="001E77EB"/>
    <w:rsid w:val="001F32AE"/>
    <w:rsid w:val="0026435D"/>
    <w:rsid w:val="002767FF"/>
    <w:rsid w:val="002B18FE"/>
    <w:rsid w:val="002B5493"/>
    <w:rsid w:val="00343214"/>
    <w:rsid w:val="00354142"/>
    <w:rsid w:val="00361C00"/>
    <w:rsid w:val="003869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EE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E1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204"/>
    <w:rsid w:val="009B23CF"/>
    <w:rsid w:val="009E6B92"/>
    <w:rsid w:val="00A1687D"/>
    <w:rsid w:val="00A43E52"/>
    <w:rsid w:val="00A4678D"/>
    <w:rsid w:val="00A778C7"/>
    <w:rsid w:val="00AB441E"/>
    <w:rsid w:val="00AB6293"/>
    <w:rsid w:val="00AC6049"/>
    <w:rsid w:val="00AE0928"/>
    <w:rsid w:val="00AF3B82"/>
    <w:rsid w:val="00B12E95"/>
    <w:rsid w:val="00B22876"/>
    <w:rsid w:val="00B558F0"/>
    <w:rsid w:val="00B715B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FC4"/>
    <w:rsid w:val="00D834A0"/>
    <w:rsid w:val="00D872DF"/>
    <w:rsid w:val="00D91E21"/>
    <w:rsid w:val="00DA7FCD"/>
    <w:rsid w:val="00DC2F42"/>
    <w:rsid w:val="00E365E1"/>
    <w:rsid w:val="00E50F2F"/>
    <w:rsid w:val="00E820A4"/>
    <w:rsid w:val="00EB006A"/>
    <w:rsid w:val="00EB4772"/>
    <w:rsid w:val="00EC03EF"/>
    <w:rsid w:val="00ED169E"/>
    <w:rsid w:val="00ED4235"/>
    <w:rsid w:val="00EE139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1E9FD"/>
  <w15:chartTrackingRefBased/>
  <w15:docId w15:val="{F905CCAC-7FE3-4B73-ACF3-38D5E96C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6435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6435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6435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6435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6435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6435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6435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6435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6435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26435D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26435D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26435D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26435D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26435D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2643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26435D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26435D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26435D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26435D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26435D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26435D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26435D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26435D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26435D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26435D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26435D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26435D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26435D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26435D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26435D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26435D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26435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26435D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26435D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26435D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26435D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26435D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26435D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26435D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26435D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26435D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2643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26435D"/>
    <w:pPr>
      <w:spacing w:before="240" w:after="240"/>
      <w:jc w:val="right"/>
    </w:pPr>
  </w:style>
  <w:style w:type="paragraph" w:customStyle="1" w:styleId="AnnexWPDate">
    <w:name w:val="AnnexWPDate"/>
    <w:basedOn w:val="Normal"/>
    <w:rsid w:val="0026435D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26435D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26435D"/>
    <w:pPr>
      <w:spacing w:before="120" w:after="120"/>
    </w:pPr>
  </w:style>
  <w:style w:type="paragraph" w:customStyle="1" w:styleId="AnnexWPSmall">
    <w:name w:val="AnnexWPSmall"/>
    <w:basedOn w:val="Normal"/>
    <w:rsid w:val="0026435D"/>
    <w:rPr>
      <w:smallCaps/>
      <w:sz w:val="20"/>
    </w:rPr>
  </w:style>
  <w:style w:type="paragraph" w:customStyle="1" w:styleId="AnnexWPTabs">
    <w:name w:val="AnnexWPTabs"/>
    <w:basedOn w:val="Normal"/>
    <w:rsid w:val="0026435D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26435D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26435D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26435D"/>
    <w:pPr>
      <w:spacing w:after="240"/>
      <w:ind w:left="1418"/>
    </w:pPr>
  </w:style>
  <w:style w:type="paragraph" w:customStyle="1" w:styleId="Confidential">
    <w:name w:val="Confidential"/>
    <w:basedOn w:val="Normal"/>
    <w:rsid w:val="0026435D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26435D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26435D"/>
    <w:pPr>
      <w:spacing w:before="240" w:after="1200"/>
    </w:pPr>
  </w:style>
  <w:style w:type="paragraph" w:customStyle="1" w:styleId="CoverDocType">
    <w:name w:val="CoverDocType"/>
    <w:basedOn w:val="Normal"/>
    <w:rsid w:val="0026435D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26435D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26435D"/>
    <w:pPr>
      <w:spacing w:after="240"/>
      <w:jc w:val="center"/>
    </w:pPr>
  </w:style>
  <w:style w:type="paragraph" w:customStyle="1" w:styleId="Normal6a">
    <w:name w:val="Normal6a"/>
    <w:basedOn w:val="Normal"/>
    <w:rsid w:val="0026435D"/>
    <w:pPr>
      <w:spacing w:after="120"/>
    </w:pPr>
  </w:style>
  <w:style w:type="paragraph" w:customStyle="1" w:styleId="NormalBold12b">
    <w:name w:val="NormalBold12b"/>
    <w:basedOn w:val="Normal"/>
    <w:rsid w:val="0026435D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26435D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26435D"/>
    <w:rPr>
      <w:b/>
    </w:rPr>
  </w:style>
  <w:style w:type="character" w:customStyle="1" w:styleId="BoldItalic">
    <w:name w:val="BoldItalic"/>
    <w:uiPriority w:val="1"/>
    <w:rsid w:val="0026435D"/>
    <w:rPr>
      <w:b/>
      <w:i/>
      <w:u w:val="none"/>
    </w:rPr>
  </w:style>
  <w:style w:type="character" w:customStyle="1" w:styleId="BoldItalicUnderline">
    <w:name w:val="BoldItalicUnderline"/>
    <w:uiPriority w:val="1"/>
    <w:rsid w:val="0026435D"/>
    <w:rPr>
      <w:b/>
      <w:i/>
      <w:u w:val="single"/>
    </w:rPr>
  </w:style>
  <w:style w:type="character" w:customStyle="1" w:styleId="BoldUnderline">
    <w:name w:val="BoldUnderline"/>
    <w:uiPriority w:val="1"/>
    <w:rsid w:val="0026435D"/>
    <w:rPr>
      <w:b/>
      <w:u w:val="single"/>
    </w:rPr>
  </w:style>
  <w:style w:type="paragraph" w:customStyle="1" w:styleId="CoverNormalLeft">
    <w:name w:val="CoverNormalLeft"/>
    <w:basedOn w:val="CoverNormal"/>
    <w:qFormat/>
    <w:rsid w:val="0026435D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26435D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character" w:customStyle="1" w:styleId="EPFooter2Motto">
    <w:name w:val="EPFooter2Motto"/>
    <w:uiPriority w:val="1"/>
    <w:qFormat/>
    <w:rsid w:val="0026435D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26435D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Italic">
    <w:name w:val="Italic"/>
    <w:uiPriority w:val="1"/>
    <w:rsid w:val="0026435D"/>
    <w:rPr>
      <w:i/>
    </w:rPr>
  </w:style>
  <w:style w:type="character" w:customStyle="1" w:styleId="ItalicUnderline">
    <w:name w:val="ItalicUnderline"/>
    <w:uiPriority w:val="1"/>
    <w:rsid w:val="0026435D"/>
    <w:rPr>
      <w:i/>
      <w:u w:val="single"/>
    </w:rPr>
  </w:style>
  <w:style w:type="paragraph" w:customStyle="1" w:styleId="LegendSign">
    <w:name w:val="LegendSign"/>
    <w:basedOn w:val="Normal"/>
    <w:qFormat/>
    <w:rsid w:val="0026435D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26435D"/>
    <w:pPr>
      <w:ind w:left="0" w:firstLine="0"/>
    </w:pPr>
  </w:style>
  <w:style w:type="paragraph" w:customStyle="1" w:styleId="LegendTitle">
    <w:name w:val="LegendTitle"/>
    <w:basedOn w:val="Normal"/>
    <w:qFormat/>
    <w:rsid w:val="0026435D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26435D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26435D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26435D"/>
    <w:pPr>
      <w:spacing w:after="240"/>
    </w:pPr>
  </w:style>
  <w:style w:type="paragraph" w:customStyle="1" w:styleId="Normal12b">
    <w:name w:val="Normal12b"/>
    <w:basedOn w:val="Normal"/>
    <w:qFormat/>
    <w:rsid w:val="0026435D"/>
    <w:pPr>
      <w:spacing w:before="240"/>
    </w:pPr>
  </w:style>
  <w:style w:type="paragraph" w:customStyle="1" w:styleId="NormalBoldUnderline24b">
    <w:name w:val="NormalBoldUnderline24b"/>
    <w:basedOn w:val="Normal"/>
    <w:qFormat/>
    <w:rsid w:val="0026435D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26435D"/>
    <w:pPr>
      <w:spacing w:after="240"/>
    </w:pPr>
  </w:style>
  <w:style w:type="paragraph" w:customStyle="1" w:styleId="Normal12aBullet1">
    <w:name w:val="Normal12aBullet1"/>
    <w:basedOn w:val="Normal"/>
    <w:qFormat/>
    <w:rsid w:val="0026435D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26435D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26435D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26435D"/>
    <w:pPr>
      <w:ind w:left="1417"/>
    </w:pPr>
  </w:style>
  <w:style w:type="paragraph" w:customStyle="1" w:styleId="NormalHanging12a3">
    <w:name w:val="NormalHanging12a3"/>
    <w:basedOn w:val="NormalHanging12a2"/>
    <w:qFormat/>
    <w:rsid w:val="0026435D"/>
    <w:pPr>
      <w:ind w:left="1843"/>
    </w:pPr>
  </w:style>
  <w:style w:type="paragraph" w:customStyle="1" w:styleId="NormalHanging12a4">
    <w:name w:val="NormalHanging12a4"/>
    <w:basedOn w:val="NormalHanging12a3"/>
    <w:qFormat/>
    <w:rsid w:val="0026435D"/>
    <w:pPr>
      <w:ind w:left="2268"/>
    </w:pPr>
  </w:style>
  <w:style w:type="paragraph" w:customStyle="1" w:styleId="NormalHanging12a5">
    <w:name w:val="NormalHanging12a5"/>
    <w:basedOn w:val="NormalHanging12a4"/>
    <w:qFormat/>
    <w:rsid w:val="0026435D"/>
    <w:pPr>
      <w:ind w:left="2693"/>
    </w:pPr>
  </w:style>
  <w:style w:type="paragraph" w:customStyle="1" w:styleId="NormalHanging12a6">
    <w:name w:val="NormalHanging12a6"/>
    <w:basedOn w:val="NormalHanging12a5"/>
    <w:qFormat/>
    <w:rsid w:val="0026435D"/>
    <w:pPr>
      <w:ind w:left="3118"/>
    </w:pPr>
  </w:style>
  <w:style w:type="paragraph" w:customStyle="1" w:styleId="NormalHanging12a7">
    <w:name w:val="NormalHanging12a7"/>
    <w:basedOn w:val="NormalHanging12a6"/>
    <w:qFormat/>
    <w:rsid w:val="0026435D"/>
    <w:pPr>
      <w:ind w:left="3544"/>
    </w:pPr>
  </w:style>
  <w:style w:type="paragraph" w:customStyle="1" w:styleId="NormalHangingCenter">
    <w:name w:val="NormalHangingCenter"/>
    <w:basedOn w:val="Normal"/>
    <w:qFormat/>
    <w:rsid w:val="0026435D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26435D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26435D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26435D"/>
    <w:pPr>
      <w:spacing w:line="120" w:lineRule="auto"/>
    </w:pPr>
    <w:rPr>
      <w:color w:val="000000"/>
      <w:sz w:val="4"/>
      <w:szCs w:val="24"/>
      <w:lang w:val="cs-CZ"/>
    </w:rPr>
  </w:style>
  <w:style w:type="character" w:customStyle="1" w:styleId="NormalBI">
    <w:name w:val="NormalBI"/>
    <w:basedOn w:val="DefaultParagraphFont"/>
    <w:uiPriority w:val="1"/>
    <w:qFormat/>
    <w:rsid w:val="0026435D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26435D"/>
    <w:rPr>
      <w:b/>
      <w:i/>
    </w:rPr>
  </w:style>
  <w:style w:type="paragraph" w:customStyle="1" w:styleId="NormalBoldItalicCenter6a">
    <w:name w:val="NormalBoldItalicCenter6a"/>
    <w:basedOn w:val="Normal6a"/>
    <w:qFormat/>
    <w:rsid w:val="0026435D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26435D"/>
    <w:rPr>
      <w:i/>
    </w:rPr>
  </w:style>
  <w:style w:type="paragraph" w:customStyle="1" w:styleId="PageHeadingNotTOC">
    <w:name w:val="PageHeadingNotTOC"/>
    <w:basedOn w:val="PageHeading"/>
    <w:rsid w:val="0026435D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26435D"/>
    <w:rPr>
      <w:vertAlign w:val="subscript"/>
    </w:rPr>
  </w:style>
  <w:style w:type="character" w:customStyle="1" w:styleId="SubBold">
    <w:name w:val="SubBold"/>
    <w:uiPriority w:val="1"/>
    <w:qFormat/>
    <w:rsid w:val="0026435D"/>
    <w:rPr>
      <w:b/>
      <w:vertAlign w:val="subscript"/>
    </w:rPr>
  </w:style>
  <w:style w:type="character" w:customStyle="1" w:styleId="SubBoldItalic">
    <w:name w:val="SubBoldItalic"/>
    <w:uiPriority w:val="1"/>
    <w:rsid w:val="0026435D"/>
    <w:rPr>
      <w:b/>
      <w:i/>
      <w:vertAlign w:val="subscript"/>
    </w:rPr>
  </w:style>
  <w:style w:type="character" w:customStyle="1" w:styleId="SubItalic">
    <w:name w:val="SubItalic"/>
    <w:uiPriority w:val="1"/>
    <w:qFormat/>
    <w:rsid w:val="0026435D"/>
    <w:rPr>
      <w:b/>
      <w:i/>
      <w:vertAlign w:val="subscript"/>
    </w:rPr>
  </w:style>
  <w:style w:type="character" w:customStyle="1" w:styleId="Sup">
    <w:name w:val="Sup"/>
    <w:uiPriority w:val="1"/>
    <w:rsid w:val="0026435D"/>
    <w:rPr>
      <w:vertAlign w:val="superscript"/>
    </w:rPr>
  </w:style>
  <w:style w:type="character" w:customStyle="1" w:styleId="SupBoldItalic">
    <w:name w:val="SupBoldItalic"/>
    <w:uiPriority w:val="1"/>
    <w:qFormat/>
    <w:rsid w:val="0026435D"/>
    <w:rPr>
      <w:b/>
      <w:i/>
      <w:vertAlign w:val="superscript"/>
    </w:rPr>
  </w:style>
  <w:style w:type="character" w:customStyle="1" w:styleId="Underline">
    <w:name w:val="Underline"/>
    <w:uiPriority w:val="1"/>
    <w:rsid w:val="0026435D"/>
    <w:rPr>
      <w:u w:val="single"/>
    </w:rPr>
  </w:style>
  <w:style w:type="paragraph" w:customStyle="1" w:styleId="NormalBoldCenter">
    <w:name w:val="NormalBoldCenter"/>
    <w:basedOn w:val="Normal"/>
    <w:rsid w:val="0026435D"/>
    <w:pPr>
      <w:jc w:val="center"/>
    </w:pPr>
    <w:rPr>
      <w:b/>
    </w:rPr>
  </w:style>
  <w:style w:type="paragraph" w:customStyle="1" w:styleId="ProcedureTable">
    <w:name w:val="ProcedureTable"/>
    <w:basedOn w:val="Normal"/>
    <w:rsid w:val="0026435D"/>
    <w:rPr>
      <w:sz w:val="20"/>
    </w:rPr>
  </w:style>
  <w:style w:type="paragraph" w:customStyle="1" w:styleId="ProcedureTableBold">
    <w:name w:val="ProcedureTableBold"/>
    <w:basedOn w:val="Normal"/>
    <w:rsid w:val="0026435D"/>
    <w:rPr>
      <w:b/>
      <w:sz w:val="20"/>
    </w:rPr>
  </w:style>
  <w:style w:type="paragraph" w:customStyle="1" w:styleId="NormalCenter">
    <w:name w:val="NormalCenter"/>
    <w:basedOn w:val="Normal"/>
    <w:rsid w:val="0026435D"/>
    <w:pPr>
      <w:jc w:val="center"/>
    </w:pPr>
  </w:style>
  <w:style w:type="character" w:customStyle="1" w:styleId="SubBoldItalicUnderline">
    <w:name w:val="SubBoldItalicUnderline"/>
    <w:uiPriority w:val="1"/>
    <w:rsid w:val="0026435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26435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26435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26435D"/>
    <w:rPr>
      <w:u w:val="single"/>
      <w:vertAlign w:val="subscript"/>
    </w:rPr>
  </w:style>
  <w:style w:type="character" w:customStyle="1" w:styleId="SupBold">
    <w:name w:val="SupBold"/>
    <w:uiPriority w:val="1"/>
    <w:rsid w:val="0026435D"/>
    <w:rPr>
      <w:b/>
      <w:vertAlign w:val="superscript"/>
    </w:rPr>
  </w:style>
  <w:style w:type="character" w:customStyle="1" w:styleId="SupBoldItalicUnderline">
    <w:name w:val="SupBoldItalicUnderline"/>
    <w:uiPriority w:val="1"/>
    <w:rsid w:val="0026435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26435D"/>
    <w:rPr>
      <w:b/>
      <w:u w:val="single"/>
      <w:vertAlign w:val="superscript"/>
    </w:rPr>
  </w:style>
  <w:style w:type="character" w:customStyle="1" w:styleId="SupItalic">
    <w:name w:val="SupItalic"/>
    <w:uiPriority w:val="1"/>
    <w:rsid w:val="0026435D"/>
    <w:rPr>
      <w:i/>
      <w:vertAlign w:val="superscript"/>
    </w:rPr>
  </w:style>
  <w:style w:type="character" w:customStyle="1" w:styleId="SupItalicUnderline">
    <w:name w:val="SupItalicUnderline"/>
    <w:uiPriority w:val="1"/>
    <w:rsid w:val="0026435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26435D"/>
    <w:rPr>
      <w:u w:val="single"/>
      <w:vertAlign w:val="superscript"/>
    </w:rPr>
  </w:style>
  <w:style w:type="paragraph" w:customStyle="1" w:styleId="Normal24a">
    <w:name w:val="Normal24a"/>
    <w:basedOn w:val="Normal"/>
    <w:rsid w:val="0026435D"/>
    <w:pPr>
      <w:spacing w:after="480"/>
    </w:pPr>
  </w:style>
  <w:style w:type="paragraph" w:customStyle="1" w:styleId="Normal12a24b">
    <w:name w:val="Normal12a24b"/>
    <w:basedOn w:val="Normal"/>
    <w:rsid w:val="0026435D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26435D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26435D"/>
    <w:rPr>
      <w:color w:val="0000FF"/>
      <w:u w:val="single"/>
    </w:rPr>
  </w:style>
  <w:style w:type="paragraph" w:customStyle="1" w:styleId="RollCallVotes">
    <w:name w:val="RollCallVotes"/>
    <w:basedOn w:val="Normal"/>
    <w:rsid w:val="0026435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6435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6435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6435D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26435D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26435D"/>
    <w:rPr>
      <w:snapToGrid w:val="0"/>
      <w:sz w:val="24"/>
      <w:lang w:val="cs-CZ" w:eastAsia="en-US"/>
    </w:rPr>
  </w:style>
  <w:style w:type="paragraph" w:styleId="Revision">
    <w:name w:val="Revision"/>
    <w:hidden/>
    <w:uiPriority w:val="99"/>
    <w:semiHidden/>
    <w:rsid w:val="00D76FC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6642</Words>
  <Characters>40554</Characters>
  <Application>Microsoft Office Word</Application>
  <DocSecurity>0</DocSecurity>
  <Lines>337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2025-11-26T12:18:00Z</dcterms:created>
  <dcterms:modified xsi:type="dcterms:W3CDTF">2025-11-26T12:18:00Z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A10-0229/2025</vt:lpwstr>
  </property>
  <property fmtid="{D5CDD505-2E9C-101B-9397-08002B2CF9AE}" pid="4" name="&lt;Type&gt;">
    <vt:lpwstr>RR</vt:lpwstr>
  </property>
</Properties>
</file>