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0ED9" w14:paraId="01D92FBF" w14:textId="77777777" w:rsidTr="0010095E">
        <w:trPr>
          <w:trHeight w:hRule="exact" w:val="1418"/>
        </w:trPr>
        <w:tc>
          <w:tcPr>
            <w:tcW w:w="6804" w:type="dxa"/>
            <w:shd w:val="clear" w:color="auto" w:fill="auto"/>
            <w:vAlign w:val="center"/>
          </w:tcPr>
          <w:p w14:paraId="2DF9AAC8" w14:textId="0F817479" w:rsidR="00751A4A" w:rsidRPr="00E10ED9" w:rsidRDefault="0034616B" w:rsidP="0010095E">
            <w:pPr>
              <w:pStyle w:val="EPName"/>
            </w:pPr>
            <w:r w:rsidRPr="00E10ED9">
              <w:t>Европейски</w:t>
            </w:r>
            <w:r w:rsidR="00B851D8" w:rsidRPr="00E10ED9">
              <w:t xml:space="preserve"> парламент</w:t>
            </w:r>
          </w:p>
          <w:p w14:paraId="5E1991A6" w14:textId="7F28FEF9" w:rsidR="00751A4A" w:rsidRPr="00E10ED9" w:rsidRDefault="005F1B17" w:rsidP="005F1B17">
            <w:pPr>
              <w:pStyle w:val="EPTerm"/>
              <w:rPr>
                <w:rStyle w:val="HideTWBExt"/>
                <w:noProof w:val="0"/>
                <w:vanish w:val="0"/>
                <w:color w:val="auto"/>
              </w:rPr>
            </w:pPr>
            <w:r w:rsidRPr="00E10ED9">
              <w:t>2024</w:t>
            </w:r>
            <w:r w:rsidR="0034616B">
              <w:t> – </w:t>
            </w:r>
            <w:r w:rsidR="00817416" w:rsidRPr="00E10ED9">
              <w:t>202</w:t>
            </w:r>
            <w:r w:rsidRPr="00E10ED9">
              <w:t>9</w:t>
            </w:r>
          </w:p>
        </w:tc>
        <w:tc>
          <w:tcPr>
            <w:tcW w:w="2268" w:type="dxa"/>
            <w:shd w:val="clear" w:color="auto" w:fill="auto"/>
          </w:tcPr>
          <w:p w14:paraId="15F562BA" w14:textId="77777777" w:rsidR="00751A4A" w:rsidRPr="00E10ED9" w:rsidRDefault="00187494" w:rsidP="0010095E">
            <w:pPr>
              <w:pStyle w:val="EPLogo"/>
            </w:pPr>
            <w:r w:rsidRPr="00E10ED9">
              <w:rPr>
                <w:noProof/>
                <w:lang w:eastAsia="ja-JP"/>
              </w:rPr>
              <w:drawing>
                <wp:inline distT="0" distB="0" distL="0" distR="0" wp14:anchorId="6254B9C0" wp14:editId="6766D4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097261" w14:textId="77777777" w:rsidR="00D058B8" w:rsidRPr="00E10ED9" w:rsidRDefault="00D058B8" w:rsidP="004C5D52">
      <w:pPr>
        <w:pStyle w:val="LineTop"/>
      </w:pPr>
    </w:p>
    <w:p w14:paraId="7975AB5C" w14:textId="77777777" w:rsidR="00680577" w:rsidRPr="00E10ED9" w:rsidRDefault="00B851D8" w:rsidP="00680577">
      <w:pPr>
        <w:pStyle w:val="EPBodyTA1"/>
      </w:pPr>
      <w:r w:rsidRPr="00E10ED9">
        <w:t>ПРИЕТИ ТЕКСТОВЕ</w:t>
      </w:r>
    </w:p>
    <w:p w14:paraId="323BDB21" w14:textId="77777777" w:rsidR="00D058B8" w:rsidRPr="00E10ED9" w:rsidRDefault="00D058B8" w:rsidP="00D058B8">
      <w:pPr>
        <w:pStyle w:val="LineBottom"/>
      </w:pPr>
    </w:p>
    <w:p w14:paraId="3D524F24" w14:textId="29DECB84" w:rsidR="00B851D8" w:rsidRPr="00E10ED9" w:rsidRDefault="00B851D8" w:rsidP="00B851D8">
      <w:pPr>
        <w:pStyle w:val="ATHeading1"/>
      </w:pPr>
      <w:bookmarkStart w:id="0" w:name="TANumber"/>
      <w:r w:rsidRPr="00E10ED9">
        <w:t>P10_TA(2025)0</w:t>
      </w:r>
      <w:r w:rsidR="005D429A">
        <w:t>3</w:t>
      </w:r>
      <w:r w:rsidRPr="00E10ED9">
        <w:t>00</w:t>
      </w:r>
      <w:bookmarkEnd w:id="0"/>
    </w:p>
    <w:p w14:paraId="19B2DCDD" w14:textId="77777777" w:rsidR="00B851D8" w:rsidRPr="00E10ED9" w:rsidRDefault="00B851D8" w:rsidP="00B851D8">
      <w:pPr>
        <w:pStyle w:val="ATHeading2"/>
      </w:pPr>
      <w:bookmarkStart w:id="1" w:name="title"/>
      <w:r w:rsidRPr="00E10ED9">
        <w:t>Достъп до финансиране за МСП и разрастващи се предприятия</w:t>
      </w:r>
      <w:bookmarkEnd w:id="1"/>
    </w:p>
    <w:p w14:paraId="7DCFDA61" w14:textId="77777777" w:rsidR="00B851D8" w:rsidRPr="00E10ED9" w:rsidRDefault="00B851D8" w:rsidP="00B851D8">
      <w:pPr>
        <w:rPr>
          <w:i/>
          <w:vanish/>
        </w:rPr>
      </w:pPr>
      <w:r w:rsidRPr="00E10ED9">
        <w:rPr>
          <w:i/>
        </w:rPr>
        <w:fldChar w:fldCharType="begin"/>
      </w:r>
      <w:r w:rsidRPr="00E10ED9">
        <w:rPr>
          <w:i/>
        </w:rPr>
        <w:instrText xml:space="preserve"> TC"(</w:instrText>
      </w:r>
      <w:bookmarkStart w:id="2" w:name="DocNumber"/>
      <w:r w:rsidRPr="00E10ED9">
        <w:rPr>
          <w:i/>
        </w:rPr>
        <w:instrText>A10-0185/2025</w:instrText>
      </w:r>
      <w:bookmarkEnd w:id="2"/>
      <w:r w:rsidRPr="00E10ED9">
        <w:rPr>
          <w:i/>
        </w:rPr>
        <w:instrText xml:space="preserve"> - Докладчик: Хорхе Мартин </w:instrText>
      </w:r>
      <w:proofErr w:type="spellStart"/>
      <w:r w:rsidRPr="00E10ED9">
        <w:rPr>
          <w:i/>
        </w:rPr>
        <w:instrText>Фриас</w:instrText>
      </w:r>
      <w:proofErr w:type="spellEnd"/>
      <w:r w:rsidRPr="00E10ED9">
        <w:rPr>
          <w:i/>
        </w:rPr>
        <w:instrText xml:space="preserve">)"\l3 \n&gt; \* MERGEFORMAT </w:instrText>
      </w:r>
      <w:r w:rsidRPr="00E10ED9">
        <w:rPr>
          <w:i/>
        </w:rPr>
        <w:fldChar w:fldCharType="end"/>
      </w:r>
    </w:p>
    <w:p w14:paraId="29F9C21C" w14:textId="77777777" w:rsidR="00B851D8" w:rsidRPr="00E10ED9" w:rsidRDefault="00B851D8" w:rsidP="00B851D8">
      <w:pPr>
        <w:rPr>
          <w:vanish/>
        </w:rPr>
      </w:pPr>
      <w:bookmarkStart w:id="3" w:name="Commission"/>
      <w:r w:rsidRPr="00E10ED9">
        <w:rPr>
          <w:vanish/>
        </w:rPr>
        <w:t>Комисия по икономически и парични въпроси</w:t>
      </w:r>
      <w:bookmarkEnd w:id="3"/>
    </w:p>
    <w:p w14:paraId="6D988436" w14:textId="77777777" w:rsidR="00B851D8" w:rsidRPr="00E10ED9" w:rsidRDefault="00B851D8" w:rsidP="00B851D8">
      <w:pPr>
        <w:rPr>
          <w:vanish/>
        </w:rPr>
      </w:pPr>
      <w:bookmarkStart w:id="4" w:name="PE"/>
      <w:r w:rsidRPr="00E10ED9">
        <w:rPr>
          <w:vanish/>
        </w:rPr>
        <w:t>PE772.123</w:t>
      </w:r>
      <w:bookmarkEnd w:id="4"/>
    </w:p>
    <w:p w14:paraId="0F14F5DE" w14:textId="65D2207E" w:rsidR="00B851D8" w:rsidRPr="00E10ED9" w:rsidRDefault="00B851D8" w:rsidP="00B851D8">
      <w:pPr>
        <w:pStyle w:val="ATHeading3"/>
      </w:pPr>
      <w:bookmarkStart w:id="5" w:name="Sujet"/>
      <w:r w:rsidRPr="00E10ED9">
        <w:t xml:space="preserve">Резолюция на Европейския парламент от </w:t>
      </w:r>
      <w:r w:rsidR="00D67F07">
        <w:t>26 ноември</w:t>
      </w:r>
      <w:r w:rsidR="00D67F07" w:rsidRPr="00E10ED9">
        <w:t xml:space="preserve"> </w:t>
      </w:r>
      <w:r w:rsidRPr="00E10ED9">
        <w:t>2025 г. относно достъпа до финансиране за МСП и разрастващи се предприятия</w:t>
      </w:r>
      <w:bookmarkEnd w:id="5"/>
      <w:r w:rsidRPr="00E10ED9">
        <w:t xml:space="preserve"> </w:t>
      </w:r>
      <w:bookmarkStart w:id="6" w:name="References"/>
      <w:r w:rsidRPr="00E10ED9">
        <w:t>(2025/2072(INI))</w:t>
      </w:r>
      <w:bookmarkEnd w:id="6"/>
    </w:p>
    <w:p w14:paraId="31B27B90" w14:textId="77777777" w:rsidR="001F73F4" w:rsidRPr="00E10ED9" w:rsidRDefault="001F73F4" w:rsidP="001F73F4">
      <w:pPr>
        <w:pStyle w:val="EPComma"/>
      </w:pPr>
      <w:r w:rsidRPr="00E10ED9">
        <w:rPr>
          <w:rStyle w:val="Italic"/>
        </w:rPr>
        <w:t>Европейският парламент</w:t>
      </w:r>
      <w:r w:rsidRPr="00E10ED9">
        <w:t>,</w:t>
      </w:r>
    </w:p>
    <w:p w14:paraId="273B14FC" w14:textId="5712E280" w:rsidR="001F73F4" w:rsidRPr="00E10ED9" w:rsidRDefault="0034616B" w:rsidP="001F73F4">
      <w:pPr>
        <w:pStyle w:val="NormalHanging12a"/>
      </w:pPr>
      <w:r>
        <w:t>–</w:t>
      </w:r>
      <w:r>
        <w:tab/>
      </w:r>
      <w:r w:rsidR="001F73F4" w:rsidRPr="00E10ED9">
        <w:t>като взе предвид съобщението на Комисията от 29 януари 2025 г., озаглавено „Компас за конкурентоспособността на ЕС“ (COM(2025)0030),</w:t>
      </w:r>
    </w:p>
    <w:p w14:paraId="20A0E0F0" w14:textId="27A226DA" w:rsidR="001F73F4" w:rsidRPr="00E10ED9" w:rsidRDefault="0034616B" w:rsidP="001F73F4">
      <w:pPr>
        <w:pStyle w:val="NormalHanging12a"/>
        <w:rPr>
          <w:snapToGrid/>
        </w:rPr>
      </w:pPr>
      <w:r>
        <w:t>–</w:t>
      </w:r>
      <w:r>
        <w:tab/>
      </w:r>
      <w:r w:rsidR="001F73F4" w:rsidRPr="00E10ED9">
        <w:t>като взе предвид съобщението на Комисията от 28 май 2025 г., озаглавено „Стратегия на ЕС за стартиращи и разрастващи се предприятия – Изберете Европа за стартиране и разрастване“ (COM(2025)0270),</w:t>
      </w:r>
    </w:p>
    <w:p w14:paraId="56E22569" w14:textId="67635817" w:rsidR="001F73F4" w:rsidRPr="00E10ED9" w:rsidRDefault="0034616B" w:rsidP="001F73F4">
      <w:pPr>
        <w:pStyle w:val="NormalHanging12a"/>
      </w:pPr>
      <w:r>
        <w:t>–</w:t>
      </w:r>
      <w:r>
        <w:tab/>
      </w:r>
      <w:r w:rsidR="001F73F4" w:rsidRPr="00E10ED9">
        <w:t>като взе предвид съобщението на Комисията от 21 май 2025 г., озаглавено „Единият пазар: нашият европейски вътрешен пазар в един несигурен свят – Стратегия за опростяване, безпрепятствено функциониране и укрепване на единния пазар“ (COM(2025)0500),</w:t>
      </w:r>
    </w:p>
    <w:p w14:paraId="3CC21F43" w14:textId="0C2576F7" w:rsidR="001F73F4" w:rsidRPr="00E10ED9" w:rsidRDefault="0034616B" w:rsidP="001F73F4">
      <w:pPr>
        <w:pStyle w:val="NormalHanging12a"/>
      </w:pPr>
      <w:r>
        <w:t>–</w:t>
      </w:r>
      <w:r>
        <w:tab/>
      </w:r>
      <w:r w:rsidR="001F73F4" w:rsidRPr="00E10ED9">
        <w:t>като взе предвид Декларацията от Будапеща, приета на неформалната среща на държавните и правителствените ръководители на 8 ноември 2024 г.,</w:t>
      </w:r>
    </w:p>
    <w:p w14:paraId="7E361950" w14:textId="172F56F1" w:rsidR="001F73F4" w:rsidRPr="00E10ED9" w:rsidRDefault="0034616B" w:rsidP="001F73F4">
      <w:pPr>
        <w:pStyle w:val="NormalHanging12a"/>
      </w:pPr>
      <w:r>
        <w:t>–</w:t>
      </w:r>
      <w:r>
        <w:tab/>
      </w:r>
      <w:r w:rsidR="001F73F4" w:rsidRPr="00E10ED9">
        <w:t xml:space="preserve">като взе предвид публикацията на председателя на Комисията фон </w:t>
      </w:r>
      <w:proofErr w:type="spellStart"/>
      <w:r w:rsidR="001F73F4" w:rsidRPr="00E10ED9">
        <w:t>дер</w:t>
      </w:r>
      <w:proofErr w:type="spellEnd"/>
      <w:r w:rsidR="001F73F4" w:rsidRPr="00E10ED9">
        <w:t xml:space="preserve"> </w:t>
      </w:r>
      <w:proofErr w:type="spellStart"/>
      <w:r w:rsidR="001F73F4" w:rsidRPr="00E10ED9">
        <w:t>Лайен</w:t>
      </w:r>
      <w:proofErr w:type="spellEnd"/>
      <w:r w:rsidR="001F73F4" w:rsidRPr="00E10ED9">
        <w:t xml:space="preserve"> от 18 юли 2024 г., озаглавена: „Изборът на Европа – Политически насоки за следващата Европейска комисия за периода 2024 – 2029 г.“,</w:t>
      </w:r>
    </w:p>
    <w:p w14:paraId="7C76194E" w14:textId="0A337FD5" w:rsidR="001F73F4" w:rsidRPr="00E10ED9" w:rsidRDefault="0034616B" w:rsidP="001F73F4">
      <w:pPr>
        <w:pStyle w:val="NormalHanging12a"/>
      </w:pPr>
      <w:r>
        <w:t>–</w:t>
      </w:r>
      <w:r>
        <w:tab/>
      </w:r>
      <w:r w:rsidR="001F73F4" w:rsidRPr="00E10ED9">
        <w:t>като взе предвид доклада на Европейската централна банка, озаглавен „</w:t>
      </w:r>
      <w:proofErr w:type="spellStart"/>
      <w:r w:rsidR="001F73F4" w:rsidRPr="00E10ED9">
        <w:t>Survey</w:t>
      </w:r>
      <w:proofErr w:type="spellEnd"/>
      <w:r w:rsidR="001F73F4" w:rsidRPr="00E10ED9">
        <w:t xml:space="preserve"> </w:t>
      </w:r>
      <w:proofErr w:type="spellStart"/>
      <w:r w:rsidR="001F73F4" w:rsidRPr="00E10ED9">
        <w:t>on</w:t>
      </w:r>
      <w:proofErr w:type="spellEnd"/>
      <w:r w:rsidR="001F73F4" w:rsidRPr="00E10ED9">
        <w:t xml:space="preserve"> </w:t>
      </w:r>
      <w:proofErr w:type="spellStart"/>
      <w:r w:rsidR="001F73F4" w:rsidRPr="00E10ED9">
        <w:t>the</w:t>
      </w:r>
      <w:proofErr w:type="spellEnd"/>
      <w:r w:rsidR="001F73F4" w:rsidRPr="00E10ED9">
        <w:t xml:space="preserve"> Access </w:t>
      </w:r>
      <w:proofErr w:type="spellStart"/>
      <w:r w:rsidR="001F73F4" w:rsidRPr="00E10ED9">
        <w:t>to</w:t>
      </w:r>
      <w:proofErr w:type="spellEnd"/>
      <w:r w:rsidR="001F73F4" w:rsidRPr="00E10ED9">
        <w:t xml:space="preserve"> </w:t>
      </w:r>
      <w:proofErr w:type="spellStart"/>
      <w:r w:rsidR="001F73F4" w:rsidRPr="00E10ED9">
        <w:t>Finance</w:t>
      </w:r>
      <w:proofErr w:type="spellEnd"/>
      <w:r w:rsidR="001F73F4" w:rsidRPr="00E10ED9">
        <w:t xml:space="preserve"> </w:t>
      </w:r>
      <w:proofErr w:type="spellStart"/>
      <w:r w:rsidR="001F73F4" w:rsidRPr="00E10ED9">
        <w:t>of</w:t>
      </w:r>
      <w:proofErr w:type="spellEnd"/>
      <w:r w:rsidR="001F73F4" w:rsidRPr="00E10ED9">
        <w:t xml:space="preserve"> Enterprises </w:t>
      </w:r>
      <w:proofErr w:type="spellStart"/>
      <w:r w:rsidR="001F73F4" w:rsidRPr="00E10ED9">
        <w:t>in</w:t>
      </w:r>
      <w:proofErr w:type="spellEnd"/>
      <w:r w:rsidR="001F73F4" w:rsidRPr="00E10ED9">
        <w:t xml:space="preserve"> </w:t>
      </w:r>
      <w:proofErr w:type="spellStart"/>
      <w:r w:rsidR="001F73F4" w:rsidRPr="00E10ED9">
        <w:t>the</w:t>
      </w:r>
      <w:proofErr w:type="spellEnd"/>
      <w:r w:rsidR="001F73F4" w:rsidRPr="00E10ED9">
        <w:t xml:space="preserve"> </w:t>
      </w:r>
      <w:proofErr w:type="spellStart"/>
      <w:r w:rsidR="001F73F4" w:rsidRPr="00E10ED9">
        <w:t>euro</w:t>
      </w:r>
      <w:proofErr w:type="spellEnd"/>
      <w:r w:rsidR="001F73F4" w:rsidRPr="00E10ED9">
        <w:t xml:space="preserve"> </w:t>
      </w:r>
      <w:proofErr w:type="spellStart"/>
      <w:r w:rsidR="001F73F4" w:rsidRPr="00E10ED9">
        <w:t>area</w:t>
      </w:r>
      <w:proofErr w:type="spellEnd"/>
      <w:r w:rsidR="001F73F4" w:rsidRPr="00E10ED9">
        <w:t xml:space="preserve"> – </w:t>
      </w:r>
      <w:proofErr w:type="spellStart"/>
      <w:r w:rsidR="001F73F4" w:rsidRPr="00E10ED9">
        <w:t>First</w:t>
      </w:r>
      <w:proofErr w:type="spellEnd"/>
      <w:r w:rsidR="001F73F4" w:rsidRPr="00E10ED9">
        <w:t xml:space="preserve"> </w:t>
      </w:r>
      <w:proofErr w:type="spellStart"/>
      <w:r w:rsidR="001F73F4" w:rsidRPr="00E10ED9">
        <w:t>Quarter</w:t>
      </w:r>
      <w:proofErr w:type="spellEnd"/>
      <w:r w:rsidR="001F73F4" w:rsidRPr="00E10ED9">
        <w:t xml:space="preserve"> </w:t>
      </w:r>
      <w:proofErr w:type="spellStart"/>
      <w:r w:rsidR="001F73F4" w:rsidRPr="00E10ED9">
        <w:t>of</w:t>
      </w:r>
      <w:proofErr w:type="spellEnd"/>
      <w:r w:rsidR="001F73F4" w:rsidRPr="00E10ED9">
        <w:t xml:space="preserve"> 2025“ (Проучване относно достъпа до финансиране на предприятията в еврозоната – първо тримесечие на 2025 г.), публикуван през април 2025 г.,</w:t>
      </w:r>
    </w:p>
    <w:p w14:paraId="59B5C04B" w14:textId="62C397D3" w:rsidR="001F73F4" w:rsidRPr="00E10ED9" w:rsidRDefault="0034616B" w:rsidP="001F73F4">
      <w:pPr>
        <w:pStyle w:val="NormalHanging12a"/>
      </w:pPr>
      <w:r>
        <w:t>–</w:t>
      </w:r>
      <w:r>
        <w:tab/>
      </w:r>
      <w:r w:rsidR="001F73F4" w:rsidRPr="00E10ED9">
        <w:t>като взе предвид съобщението на Комисията от 19 март 2025 г., озаглавено „Съюз на спестяванията и инвестициите – Стратегия за насърчаване на благосъстоянието на гражданите и икономическата конкурентоспособност в ЕС“ (COM(2025)0124),</w:t>
      </w:r>
    </w:p>
    <w:p w14:paraId="2C9ED9EF" w14:textId="2F2F59EE" w:rsidR="001F73F4" w:rsidRPr="00E10ED9" w:rsidRDefault="0034616B" w:rsidP="001F73F4">
      <w:pPr>
        <w:pStyle w:val="NormalHanging12a"/>
      </w:pPr>
      <w:r>
        <w:t>–</w:t>
      </w:r>
      <w:r>
        <w:tab/>
      </w:r>
      <w:r w:rsidR="001F73F4" w:rsidRPr="00E10ED9">
        <w:t>като взе предвид доклада на Комисията, озаглавен „</w:t>
      </w:r>
      <w:proofErr w:type="spellStart"/>
      <w:r w:rsidR="001F73F4" w:rsidRPr="00E10ED9">
        <w:t>Survey</w:t>
      </w:r>
      <w:proofErr w:type="spellEnd"/>
      <w:r w:rsidR="001F73F4" w:rsidRPr="00E10ED9">
        <w:t xml:space="preserve"> </w:t>
      </w:r>
      <w:proofErr w:type="spellStart"/>
      <w:r w:rsidR="001F73F4" w:rsidRPr="00E10ED9">
        <w:t>on</w:t>
      </w:r>
      <w:proofErr w:type="spellEnd"/>
      <w:r w:rsidR="001F73F4" w:rsidRPr="00E10ED9">
        <w:t xml:space="preserve"> </w:t>
      </w:r>
      <w:proofErr w:type="spellStart"/>
      <w:r w:rsidR="001F73F4" w:rsidRPr="00E10ED9">
        <w:t>the</w:t>
      </w:r>
      <w:proofErr w:type="spellEnd"/>
      <w:r w:rsidR="001F73F4" w:rsidRPr="00E10ED9">
        <w:t xml:space="preserve"> </w:t>
      </w:r>
      <w:proofErr w:type="spellStart"/>
      <w:r w:rsidR="001F73F4" w:rsidRPr="00E10ED9">
        <w:t>access</w:t>
      </w:r>
      <w:proofErr w:type="spellEnd"/>
      <w:r w:rsidR="001F73F4" w:rsidRPr="00E10ED9">
        <w:t xml:space="preserve"> </w:t>
      </w:r>
      <w:proofErr w:type="spellStart"/>
      <w:r w:rsidR="001F73F4" w:rsidRPr="00E10ED9">
        <w:t>to</w:t>
      </w:r>
      <w:proofErr w:type="spellEnd"/>
      <w:r w:rsidR="001F73F4" w:rsidRPr="00E10ED9">
        <w:t xml:space="preserve"> </w:t>
      </w:r>
      <w:proofErr w:type="spellStart"/>
      <w:r w:rsidR="001F73F4" w:rsidRPr="00E10ED9">
        <w:t>finance</w:t>
      </w:r>
      <w:proofErr w:type="spellEnd"/>
      <w:r w:rsidR="001F73F4" w:rsidRPr="00E10ED9">
        <w:t xml:space="preserve"> </w:t>
      </w:r>
      <w:proofErr w:type="spellStart"/>
      <w:r w:rsidR="001F73F4" w:rsidRPr="00E10ED9">
        <w:t>of</w:t>
      </w:r>
      <w:proofErr w:type="spellEnd"/>
      <w:r w:rsidR="001F73F4" w:rsidRPr="00E10ED9">
        <w:t xml:space="preserve"> </w:t>
      </w:r>
      <w:proofErr w:type="spellStart"/>
      <w:r w:rsidR="001F73F4" w:rsidRPr="00E10ED9">
        <w:t>enterprises</w:t>
      </w:r>
      <w:proofErr w:type="spellEnd"/>
      <w:r w:rsidR="001F73F4" w:rsidRPr="00E10ED9">
        <w:t xml:space="preserve"> (SAFE) – </w:t>
      </w:r>
      <w:proofErr w:type="spellStart"/>
      <w:r w:rsidR="001F73F4" w:rsidRPr="00E10ED9">
        <w:t>Analytical</w:t>
      </w:r>
      <w:proofErr w:type="spellEnd"/>
      <w:r w:rsidR="001F73F4" w:rsidRPr="00E10ED9">
        <w:t xml:space="preserve"> </w:t>
      </w:r>
      <w:proofErr w:type="spellStart"/>
      <w:r w:rsidR="001F73F4" w:rsidRPr="00E10ED9">
        <w:t>report</w:t>
      </w:r>
      <w:proofErr w:type="spellEnd"/>
      <w:r w:rsidR="001F73F4" w:rsidRPr="00E10ED9">
        <w:t xml:space="preserve"> 2024“ (Проучване относно достъпа до </w:t>
      </w:r>
      <w:r w:rsidR="001F73F4" w:rsidRPr="00E10ED9">
        <w:lastRenderedPageBreak/>
        <w:t>финансиране на предприятията (SAFE) – аналитичен доклад за 2024 г.), публикуван през януари 2025 г.,</w:t>
      </w:r>
    </w:p>
    <w:p w14:paraId="651B73BF" w14:textId="14A88DE0" w:rsidR="001F73F4" w:rsidRPr="00E10ED9" w:rsidRDefault="0034616B" w:rsidP="001F73F4">
      <w:pPr>
        <w:pStyle w:val="NormalHanging12a"/>
      </w:pPr>
      <w:r>
        <w:t>–</w:t>
      </w:r>
      <w:r>
        <w:tab/>
      </w:r>
      <w:r w:rsidR="001F73F4" w:rsidRPr="00E10ED9">
        <w:t>като взе предвид доклада на Марио Драги, озаглавен „</w:t>
      </w:r>
      <w:proofErr w:type="spellStart"/>
      <w:r w:rsidR="001F73F4" w:rsidRPr="00E10ED9">
        <w:t>The</w:t>
      </w:r>
      <w:proofErr w:type="spellEnd"/>
      <w:r w:rsidR="001F73F4" w:rsidRPr="00E10ED9">
        <w:t xml:space="preserve"> </w:t>
      </w:r>
      <w:proofErr w:type="spellStart"/>
      <w:r w:rsidR="001F73F4" w:rsidRPr="00E10ED9">
        <w:t>future</w:t>
      </w:r>
      <w:proofErr w:type="spellEnd"/>
      <w:r w:rsidR="001F73F4" w:rsidRPr="00E10ED9">
        <w:t xml:space="preserve"> </w:t>
      </w:r>
      <w:proofErr w:type="spellStart"/>
      <w:r w:rsidR="001F73F4" w:rsidRPr="00E10ED9">
        <w:t>of</w:t>
      </w:r>
      <w:proofErr w:type="spellEnd"/>
      <w:r w:rsidR="001F73F4" w:rsidRPr="00E10ED9">
        <w:t xml:space="preserve"> </w:t>
      </w:r>
      <w:proofErr w:type="spellStart"/>
      <w:r w:rsidR="001F73F4" w:rsidRPr="00E10ED9">
        <w:t>European</w:t>
      </w:r>
      <w:proofErr w:type="spellEnd"/>
      <w:r w:rsidR="001F73F4" w:rsidRPr="00E10ED9">
        <w:t xml:space="preserve"> </w:t>
      </w:r>
      <w:proofErr w:type="spellStart"/>
      <w:r w:rsidR="001F73F4" w:rsidRPr="00E10ED9">
        <w:t>competitiveness</w:t>
      </w:r>
      <w:proofErr w:type="spellEnd"/>
      <w:r w:rsidR="001F73F4" w:rsidRPr="00E10ED9">
        <w:t>“ (Бъдещето на европейската конкурентоспособност) (доклада Драги), публикуван през септември 2024 г.,</w:t>
      </w:r>
    </w:p>
    <w:p w14:paraId="693462FE" w14:textId="360AD448" w:rsidR="001F73F4" w:rsidRPr="00E10ED9" w:rsidRDefault="0034616B" w:rsidP="001F73F4">
      <w:pPr>
        <w:pStyle w:val="NormalHanging12a"/>
      </w:pPr>
      <w:r>
        <w:t>–</w:t>
      </w:r>
      <w:r>
        <w:tab/>
      </w:r>
      <w:r w:rsidR="001F73F4" w:rsidRPr="00E10ED9">
        <w:t>като взе предвид доклада на Комисията от 25 юли 2024 г., озаглавен „</w:t>
      </w:r>
      <w:proofErr w:type="spellStart"/>
      <w:r w:rsidR="001F73F4" w:rsidRPr="00E10ED9">
        <w:t>Annual</w:t>
      </w:r>
      <w:proofErr w:type="spellEnd"/>
      <w:r w:rsidR="001F73F4" w:rsidRPr="00E10ED9">
        <w:t xml:space="preserve"> </w:t>
      </w:r>
      <w:proofErr w:type="spellStart"/>
      <w:r w:rsidR="001F73F4" w:rsidRPr="00E10ED9">
        <w:t>Report</w:t>
      </w:r>
      <w:proofErr w:type="spellEnd"/>
      <w:r w:rsidR="001F73F4" w:rsidRPr="00E10ED9">
        <w:t xml:space="preserve"> </w:t>
      </w:r>
      <w:proofErr w:type="spellStart"/>
      <w:r w:rsidR="001F73F4" w:rsidRPr="00E10ED9">
        <w:t>on</w:t>
      </w:r>
      <w:proofErr w:type="spellEnd"/>
      <w:r w:rsidR="001F73F4" w:rsidRPr="00E10ED9">
        <w:t xml:space="preserve"> </w:t>
      </w:r>
      <w:proofErr w:type="spellStart"/>
      <w:r w:rsidR="001F73F4" w:rsidRPr="00E10ED9">
        <w:t>European</w:t>
      </w:r>
      <w:proofErr w:type="spellEnd"/>
      <w:r w:rsidR="001F73F4" w:rsidRPr="00E10ED9">
        <w:t xml:space="preserve"> </w:t>
      </w:r>
      <w:proofErr w:type="spellStart"/>
      <w:r w:rsidR="001F73F4" w:rsidRPr="00E10ED9">
        <w:t>SMEs</w:t>
      </w:r>
      <w:proofErr w:type="spellEnd"/>
      <w:r w:rsidR="001F73F4" w:rsidRPr="00E10ED9">
        <w:t xml:space="preserve"> 2023/2024“ (Годишен доклад относно европейските МСП за периода 2023 – 2024 г.),</w:t>
      </w:r>
    </w:p>
    <w:p w14:paraId="19C686BD" w14:textId="0A6D9C70" w:rsidR="001F73F4" w:rsidRPr="00E10ED9" w:rsidRDefault="0034616B" w:rsidP="001F73F4">
      <w:pPr>
        <w:pStyle w:val="NormalHanging12a"/>
      </w:pPr>
      <w:r>
        <w:t>–</w:t>
      </w:r>
      <w:r>
        <w:tab/>
      </w:r>
      <w:r w:rsidR="001F73F4" w:rsidRPr="00E10ED9">
        <w:t>като взе предвид доклада на Енрико Лета, озаглавен „</w:t>
      </w:r>
      <w:proofErr w:type="spellStart"/>
      <w:r w:rsidR="001F73F4" w:rsidRPr="00E10ED9">
        <w:t>Much</w:t>
      </w:r>
      <w:proofErr w:type="spellEnd"/>
      <w:r w:rsidR="001F73F4" w:rsidRPr="00E10ED9">
        <w:t xml:space="preserve"> </w:t>
      </w:r>
      <w:proofErr w:type="spellStart"/>
      <w:r w:rsidR="001F73F4" w:rsidRPr="00E10ED9">
        <w:t>more</w:t>
      </w:r>
      <w:proofErr w:type="spellEnd"/>
      <w:r w:rsidR="001F73F4" w:rsidRPr="00E10ED9">
        <w:t xml:space="preserve"> </w:t>
      </w:r>
      <w:proofErr w:type="spellStart"/>
      <w:r w:rsidR="001F73F4" w:rsidRPr="00E10ED9">
        <w:t>than</w:t>
      </w:r>
      <w:proofErr w:type="spellEnd"/>
      <w:r w:rsidR="001F73F4" w:rsidRPr="00E10ED9">
        <w:t xml:space="preserve"> a </w:t>
      </w:r>
      <w:proofErr w:type="spellStart"/>
      <w:r w:rsidR="001F73F4" w:rsidRPr="00E10ED9">
        <w:t>market</w:t>
      </w:r>
      <w:proofErr w:type="spellEnd"/>
      <w:r w:rsidR="001F73F4" w:rsidRPr="00E10ED9">
        <w:t>“ (Много повече от пазар) (доклада Лета), публикуван през април 2024 г.,</w:t>
      </w:r>
    </w:p>
    <w:p w14:paraId="702BB9AE" w14:textId="56471B1A" w:rsidR="001F73F4" w:rsidRPr="00E10ED9" w:rsidRDefault="0034616B" w:rsidP="001F73F4">
      <w:pPr>
        <w:pStyle w:val="NormalHanging12a"/>
      </w:pPr>
      <w:r>
        <w:t>–</w:t>
      </w:r>
      <w:r>
        <w:tab/>
      </w:r>
      <w:r w:rsidR="001F73F4" w:rsidRPr="00E10ED9">
        <w:t>като взе предвид заключенията от извънредното заседание на Европейския съвет от 17 и 18 април 2024 г.,</w:t>
      </w:r>
    </w:p>
    <w:p w14:paraId="587F2AD1" w14:textId="4D47A3D5" w:rsidR="001F73F4" w:rsidRPr="00E10ED9" w:rsidRDefault="0034616B" w:rsidP="001F73F4">
      <w:pPr>
        <w:pStyle w:val="NormalHanging12a"/>
      </w:pPr>
      <w:r>
        <w:t>–</w:t>
      </w:r>
      <w:r>
        <w:tab/>
      </w:r>
      <w:r w:rsidR="001F73F4" w:rsidRPr="00E10ED9">
        <w:t>като взе предвид своята резолюция от 14 декември 2023 г. относно увеличаване на иновациите и на промишлената и технологичната конкурентоспособност чрез благоприятна среда за стартиращите и разрастващите се предприятия</w:t>
      </w:r>
      <w:r w:rsidR="001F73F4" w:rsidRPr="00E10ED9">
        <w:rPr>
          <w:rStyle w:val="FootnoteReference"/>
        </w:rPr>
        <w:footnoteReference w:id="1"/>
      </w:r>
      <w:r w:rsidR="001F73F4" w:rsidRPr="00E10ED9">
        <w:t>,</w:t>
      </w:r>
    </w:p>
    <w:p w14:paraId="219A6F44" w14:textId="4B32E43E" w:rsidR="001F73F4" w:rsidRPr="00E10ED9" w:rsidRDefault="0034616B" w:rsidP="001F73F4">
      <w:pPr>
        <w:pStyle w:val="NormalHanging12a"/>
      </w:pPr>
      <w:r>
        <w:t>–</w:t>
      </w:r>
      <w:r>
        <w:tab/>
      </w:r>
      <w:r w:rsidR="001F73F4" w:rsidRPr="00E10ED9">
        <w:t>като взе предвид съобщението на Комисията от 12 септември 2023 г., озаглавено „Пакет от мерки за подпомагане на МСП“ (COM(2023)0535),</w:t>
      </w:r>
    </w:p>
    <w:p w14:paraId="3CAB474A" w14:textId="72F80E47" w:rsidR="001F73F4" w:rsidRPr="00E10ED9" w:rsidRDefault="0034616B" w:rsidP="001F73F4">
      <w:pPr>
        <w:pStyle w:val="NormalHanging12a"/>
      </w:pPr>
      <w:r>
        <w:t>–</w:t>
      </w:r>
      <w:r>
        <w:tab/>
      </w:r>
      <w:r w:rsidR="001F73F4" w:rsidRPr="00E10ED9">
        <w:t>като взе предвид член 55 от своя Правилник за дейността,</w:t>
      </w:r>
    </w:p>
    <w:p w14:paraId="11DAB595" w14:textId="49F82CB7" w:rsidR="001F73F4" w:rsidRPr="00E10ED9" w:rsidRDefault="0034616B" w:rsidP="001F73F4">
      <w:pPr>
        <w:pStyle w:val="NormalHanging12a"/>
        <w:rPr>
          <w:snapToGrid/>
        </w:rPr>
      </w:pPr>
      <w:r>
        <w:t>–</w:t>
      </w:r>
      <w:r>
        <w:tab/>
      </w:r>
      <w:r w:rsidR="001F73F4" w:rsidRPr="00E10ED9">
        <w:t>като взе предвид доклада на комисията по икономически и парични въпроси (A10-0185/2025),</w:t>
      </w:r>
    </w:p>
    <w:p w14:paraId="0E74C47D" w14:textId="77777777" w:rsidR="001F73F4" w:rsidRPr="00E10ED9" w:rsidRDefault="001F73F4" w:rsidP="001F73F4">
      <w:pPr>
        <w:pStyle w:val="NormalHanging12a"/>
      </w:pPr>
      <w:r w:rsidRPr="00E10ED9">
        <w:t>А.</w:t>
      </w:r>
      <w:r w:rsidRPr="00E10ED9">
        <w:tab/>
        <w:t>като има предвид, че микропредприятията и малките и средните предприятия (ММСП) представляват гръбнакът на европейския бизнес, като МСП съставляват 99,8% от всички предприятия, 65,2% от заетостта и 53,1% от добавената стойност в нефинансовия бизнес сектор в ЕС през 2023 г.</w:t>
      </w:r>
      <w:r w:rsidRPr="00E10ED9">
        <w:rPr>
          <w:rStyle w:val="FootnoteReference"/>
        </w:rPr>
        <w:footnoteReference w:id="2"/>
      </w:r>
      <w:r w:rsidRPr="00E10ED9">
        <w:t>;</w:t>
      </w:r>
    </w:p>
    <w:p w14:paraId="30A29B18" w14:textId="77777777" w:rsidR="001F73F4" w:rsidRPr="00E10ED9" w:rsidRDefault="001F73F4" w:rsidP="001F73F4">
      <w:pPr>
        <w:pStyle w:val="NormalHanging12a"/>
        <w:rPr>
          <w:snapToGrid/>
        </w:rPr>
      </w:pPr>
      <w:r w:rsidRPr="00E10ED9">
        <w:t>Б.</w:t>
      </w:r>
      <w:r w:rsidRPr="00E10ED9">
        <w:tab/>
        <w:t>като има предвид, че ЕС като цяло, и особено най-големите му икономики, в момента преживява бавен икономически растеж и проблеми, тъй като дружествата губят конкурентоспособност спрямо трети държави, което се утежнява от последиците от пандемията, енергийната криза и агресията на Русия срещу Украйна, които особено засегнаха МСП и икономиките на държавите по източната граница на ЕС;</w:t>
      </w:r>
    </w:p>
    <w:p w14:paraId="6924BD96" w14:textId="77777777" w:rsidR="001F73F4" w:rsidRPr="00E10ED9" w:rsidRDefault="001F73F4" w:rsidP="001F73F4">
      <w:pPr>
        <w:pStyle w:val="NormalHanging12a"/>
      </w:pPr>
      <w:r w:rsidRPr="00E10ED9">
        <w:t>В.</w:t>
      </w:r>
      <w:r w:rsidRPr="00E10ED9">
        <w:tab/>
        <w:t xml:space="preserve">като има предвид, че европейските МСП се различават по обхват, сектор, финансови нужди, местоположение, собственост, бизнес модел и капацитет за </w:t>
      </w:r>
      <w:r w:rsidRPr="00E10ED9">
        <w:lastRenderedPageBreak/>
        <w:t>иновации и следователно са изправени пред различни предизвикателства и нужди от финансиране, с ограничен капацитет за справяне с тях; като има предвид, че по-голямата част от европейските МСП извършват дейност предимно на национално равнище; като има предвид, че сравнително малък брой МСП участват в трансгранични дейности в рамките на ЕС, а онези, които изнасят извън Съюза, представляват малцинство;</w:t>
      </w:r>
    </w:p>
    <w:p w14:paraId="418A037A" w14:textId="77777777" w:rsidR="001F73F4" w:rsidRPr="00E10ED9" w:rsidRDefault="001F73F4" w:rsidP="001F73F4">
      <w:pPr>
        <w:pStyle w:val="NormalHanging12a"/>
      </w:pPr>
      <w:r w:rsidRPr="00E10ED9">
        <w:t>Г.</w:t>
      </w:r>
      <w:r w:rsidRPr="00E10ED9">
        <w:tab/>
        <w:t>като има предвид, че в доклада Драги се посочва, че регулаторните пречки и административната тежест са сред най-големите предизвикателства, които стоят пред МСП, като над 60% от дружествата в ЕС считат разпоредбите за докладване, най-вече по линия на Европейския зелен пакт, за пречка пред инвестициите, а 55% от МСП отбелязват регулаторните пречки и административната тежест като най-голямото си предизвикателство, като делът е още по-голям за стартиращите предприятия и микропредприятията, и препоръчва МСП да бъдат освободени от разпоредбите от съображения за пропорционалност, като една по-опростена, предвидима и конкурентоспособна регулаторна рамка и един преглед на Европейския зелен пакт са от ключово значение за техния просперитет;</w:t>
      </w:r>
    </w:p>
    <w:p w14:paraId="66B42CF2" w14:textId="77777777" w:rsidR="001F73F4" w:rsidRPr="00E10ED9" w:rsidRDefault="001F73F4" w:rsidP="001F73F4">
      <w:pPr>
        <w:pStyle w:val="NormalHanging12a"/>
      </w:pPr>
      <w:r w:rsidRPr="00E10ED9">
        <w:t>Д.</w:t>
      </w:r>
      <w:r w:rsidRPr="00E10ED9">
        <w:tab/>
        <w:t>като има предвид, че Комисията има за цел да подобри достъпа до финансиране за МСП, за да увеличи мащаба, да намали неефективността и да насърчи оперативната съвместимост, и че тя определи цел за намаляване на тежестта на докладването за МСП с най-малко 35% и обяви нова проверка във връзка с конкурентоспособността на МСП в оценките на въздействието; като има предвид, че тези инициативи трябва да бъдат придружени от една добре развита екосистема за рисков капитал, като се има предвид, че институционалните инвеститори, като например застрахователните дружества, имат важен принос за финансирането на МСП чрез прехвърлянето и трансформирането на рисковете, както и като се има предвид фактът, че за разлика от САЩ по-голямата част от финансирането в Европейския съюз идва от банки и че съществуват значителни различия между европейската инвестиционна култура и други региони на света, особено по отношение на рисковия капитал и инвестициите от бизнес ангели; като има предвид, че това положение прави МСП особено уязвими по отношение на затягането на банковото кредитиране;</w:t>
      </w:r>
    </w:p>
    <w:p w14:paraId="292D20A6" w14:textId="77777777" w:rsidR="001F73F4" w:rsidRPr="00E10ED9" w:rsidRDefault="001F73F4" w:rsidP="001F73F4">
      <w:pPr>
        <w:pStyle w:val="NormalHanging12a"/>
      </w:pPr>
      <w:r w:rsidRPr="00E10ED9">
        <w:t>Е.</w:t>
      </w:r>
      <w:r w:rsidRPr="00E10ED9">
        <w:tab/>
        <w:t>като има предвид, че Европа не разполага с по-динамична и благоприятна среда за разрастване на иновативните дружества и за допълнителни инвестиции и напредък в цифровата инфраструктура, в резултат на което близо 30% от предприятията „еднорози“ се преместват в чужбина</w:t>
      </w:r>
      <w:r w:rsidRPr="00E10ED9">
        <w:rPr>
          <w:rStyle w:val="FootnoteReference"/>
        </w:rPr>
        <w:footnoteReference w:id="3"/>
      </w:r>
      <w:r w:rsidRPr="00E10ED9">
        <w:t>;</w:t>
      </w:r>
    </w:p>
    <w:p w14:paraId="434A46E3" w14:textId="77777777" w:rsidR="001F73F4" w:rsidRPr="00E10ED9" w:rsidRDefault="001F73F4" w:rsidP="001F73F4">
      <w:pPr>
        <w:pStyle w:val="NormalHanging12a"/>
      </w:pPr>
      <w:r w:rsidRPr="00E10ED9">
        <w:t>Ж.</w:t>
      </w:r>
      <w:r w:rsidRPr="00E10ED9">
        <w:tab/>
        <w:t xml:space="preserve">като има предвид, че Комисията публикува стратегия за стартиращите и разрастващите се предприятия и че съществуват различни инициативи, насочени към насърчаване на предприемачеството, иновациите и цифровата трансформация в ЕС, като стратегията за стартиращите и разрастващите се предприятия, екоиновационния индекс, общностите на знание и иновации, Европейската платформа за сътрудничество между клъстери, цифровото десетилетие и </w:t>
      </w:r>
      <w:r w:rsidRPr="00E10ED9">
        <w:lastRenderedPageBreak/>
        <w:t>стратегията за цифров единен пазар, както и програми за финансиране, посветени на иновациите в други области на политиката;</w:t>
      </w:r>
    </w:p>
    <w:p w14:paraId="138E505A" w14:textId="77777777" w:rsidR="001F73F4" w:rsidRPr="00E10ED9" w:rsidRDefault="001F73F4" w:rsidP="001F73F4">
      <w:pPr>
        <w:pStyle w:val="Normal12a24b"/>
      </w:pPr>
      <w:r w:rsidRPr="00E10ED9">
        <w:rPr>
          <w:rStyle w:val="BoldItalic"/>
        </w:rPr>
        <w:t>Общи съображения</w:t>
      </w:r>
    </w:p>
    <w:p w14:paraId="55AD5706" w14:textId="77777777" w:rsidR="001F73F4" w:rsidRPr="00E10ED9" w:rsidRDefault="001F73F4" w:rsidP="001F73F4">
      <w:pPr>
        <w:pStyle w:val="NormalHanging12a"/>
      </w:pPr>
      <w:r w:rsidRPr="00E10ED9">
        <w:t>1.</w:t>
      </w:r>
      <w:r w:rsidRPr="00E10ED9">
        <w:tab/>
        <w:t xml:space="preserve">счита, че създаването на благоприятни пазарни условия за европейските дружества за иновации, стартиране, създаване, растеж и разрастване в Европа е от съществено значение, за да се отключи пълният потенциал на нашия пазар и за да се помогне на нашите икономики да станат по-конкурентоспособни; признава, че </w:t>
      </w:r>
      <w:proofErr w:type="spellStart"/>
      <w:r w:rsidRPr="00E10ED9">
        <w:t>регулторната</w:t>
      </w:r>
      <w:proofErr w:type="spellEnd"/>
      <w:r w:rsidRPr="00E10ED9">
        <w:t xml:space="preserve"> разпокъсаност е една от пречките, които пречат на разрастващите се предприятия да достигнат пълния потенциал на единния пазар; признава, че МСП са изправени пред неравни условия и изисквания за финансиране в отделните държави членки и региони поради фактори, специфични за всяко предприятие, географското местоположение – например в отдалечени, най-отдалечени и островни райони – и икономическата среда, и поради това се нуждаят от решения, съобразени с тези особености, както и с нуждите на по-малките икономики;</w:t>
      </w:r>
    </w:p>
    <w:p w14:paraId="75F06235" w14:textId="77777777" w:rsidR="001F73F4" w:rsidRPr="00E10ED9" w:rsidRDefault="001F73F4" w:rsidP="001F73F4">
      <w:pPr>
        <w:pStyle w:val="NormalHanging12a"/>
      </w:pPr>
      <w:r w:rsidRPr="00E10ED9">
        <w:t>2.</w:t>
      </w:r>
      <w:r w:rsidRPr="00E10ED9">
        <w:tab/>
        <w:t>приветства факта, че вследствие на докладите Драги и Лета беше призната необходимостта от по-конкурентоспособен, по-слабо фрагментиран и по-малко бюрократичен единен пазар; призовава Комисията да вземе предвид препоръките в тези доклади, в които се посочва, че са необходими незабавни и решителни действия както на регулаторно, така и на политическо равнище; във връзка с това изразява съжаление относно прекомерната тежест, на която са подложени МСП вследствие на изпълнението на различни задължения по линия на Европейския зелен пакт; изразява убеждението, че специалните определения за стартиращи и разрастващи се предприятия биха увеличили възможностите за подкрепа чрез мерки, които са съобразени с техните специфични нужди;</w:t>
      </w:r>
    </w:p>
    <w:p w14:paraId="21F49413" w14:textId="77777777" w:rsidR="001F73F4" w:rsidRPr="00E10ED9" w:rsidRDefault="001F73F4" w:rsidP="001F73F4">
      <w:pPr>
        <w:pStyle w:val="NormalHanging12a"/>
        <w:rPr>
          <w:bCs/>
          <w:iCs/>
        </w:rPr>
      </w:pPr>
      <w:r w:rsidRPr="00E10ED9">
        <w:t>3.</w:t>
      </w:r>
      <w:r w:rsidRPr="00E10ED9">
        <w:tab/>
        <w:t>признава, че банковото кредитиране продължава да бъде основният източник на външно финансиране за МСП в Съюза; подчертава жизненоважната роля на традиционните банкови модели, включително малките регионални банки, спестовните банки, кооперативните банки и публичните институции;</w:t>
      </w:r>
    </w:p>
    <w:p w14:paraId="3EE16A74" w14:textId="77777777" w:rsidR="001F73F4" w:rsidRPr="00E10ED9" w:rsidRDefault="001F73F4" w:rsidP="001F73F4">
      <w:pPr>
        <w:pStyle w:val="NormalHanging12a"/>
      </w:pPr>
      <w:r w:rsidRPr="00E10ED9">
        <w:t>4.</w:t>
      </w:r>
      <w:r w:rsidRPr="00E10ED9">
        <w:tab/>
        <w:t>подчертава, че ЕС следва да се стреми да направи бизнес средата по-лесна и привлекателна за мобилизирането както на европейски, така и на международен капитал и инвестиции; подчертава необходимостта да се насърчава екосистема за разрастващи се предприятия, която разчита предимно на частни инвестиции и публично-частни партньорства, което би помогнало да се мобилизира капитал и да се улесни достъпът до финансиране за предприятията; подчертава важната и добре развита роля на банките със специфични регионални и местни познания за предоставянето на финансиране за МСП, което произтича от дългосрочните им отношения с тези предприятия;</w:t>
      </w:r>
    </w:p>
    <w:p w14:paraId="68BDBDE7" w14:textId="77777777" w:rsidR="001F73F4" w:rsidRPr="00E10ED9" w:rsidRDefault="001F73F4" w:rsidP="001F73F4">
      <w:pPr>
        <w:pStyle w:val="NormalHanging12a"/>
      </w:pPr>
      <w:r w:rsidRPr="00E10ED9">
        <w:t>5.</w:t>
      </w:r>
      <w:r w:rsidRPr="00E10ED9">
        <w:tab/>
        <w:t xml:space="preserve">обръща внимание на особените предизвикателства, пред които са изправени европейските разрастващи се предприятия при получаването на финансиране за растеж на по-късен етап; отбелязва, че много дружества в ЕС с висок потенциал продължават да зависят от чуждестранен рисков капитал и инвеститори, като голям дял от последващите цикли на финансиране се ръководят от неевропейски инвеститори; подчертава, че е необходимо да се създадат по-привлекателни условия за инвестиции в рамките на Съюза; подчертава, че достъпът до финансиране следва да се ръководи от критерии за икономическа ефективност, </w:t>
      </w:r>
      <w:r w:rsidRPr="00E10ED9">
        <w:lastRenderedPageBreak/>
        <w:t>рентабилност и възможност за разрастване, независимо от произхода на капитала, и припомня, че откритата и глобална конкуренция за привличане на инвестиции е от полза за предприятията и иновациите; в тази връзка подчертава неотдавнашното приемане на Акта на ЕС за допускането до търговия</w:t>
      </w:r>
      <w:r w:rsidRPr="00E10ED9">
        <w:rPr>
          <w:rStyle w:val="FootnoteReference"/>
        </w:rPr>
        <w:footnoteReference w:id="4"/>
      </w:r>
      <w:r w:rsidRPr="00E10ED9">
        <w:t>, който улеснява регистрацията на дружества от всякакъв мащаб, включително МСП, на европейските фондови борси;</w:t>
      </w:r>
    </w:p>
    <w:p w14:paraId="522B37FC" w14:textId="77777777" w:rsidR="001F73F4" w:rsidRPr="00E10ED9" w:rsidRDefault="001F73F4" w:rsidP="001F73F4">
      <w:pPr>
        <w:pStyle w:val="NormalHanging12a"/>
      </w:pPr>
      <w:r w:rsidRPr="00E10ED9">
        <w:t>6.</w:t>
      </w:r>
      <w:r w:rsidRPr="00E10ED9">
        <w:tab/>
        <w:t>отбелязва публикуването от Комисията на европейската стратегия за стартиращите и разрастващите се предприятия, която следва да насърчава иновациите и да отговаря на предизвикателствата, пред които са изправени отделните иноватори, основатели, стартиращи и разрастващи се предприятия в ЕС; подчертава, че макар съдържащата се в стратегията диагноза да е до известна степен точна, предложените мерки трябва да бъдат по-амбициозни, като се постави акцент върху отмяната на всички регламенти на ЕС, които налагат ненужна бюрократична тежест, която възпрепятства създаването и разрастването на предприятия; изисква от Комисията да включи селското стопанство сред приоритетните сектори, определени в стратегията;</w:t>
      </w:r>
    </w:p>
    <w:p w14:paraId="5F0F9C0E" w14:textId="77777777" w:rsidR="001F73F4" w:rsidRPr="00E10ED9" w:rsidRDefault="001F73F4" w:rsidP="001F73F4">
      <w:pPr>
        <w:pStyle w:val="NormalHanging12a"/>
      </w:pPr>
      <w:r w:rsidRPr="00E10ED9">
        <w:t>7.</w:t>
      </w:r>
      <w:r w:rsidRPr="00E10ED9">
        <w:tab/>
        <w:t>счита, че улесняването на достъпа до финансиране за МСП и разрастващите се предприятия ще зависи от i) значително и непрекъснато намаляване на бюрократичната и регулаторната тежест, включително дългите процедури за издаване на разрешения, скъпоструващите изисквания за докладване и сложността и непредвидимостта на регулаторната среда, ii) повишен капацитет за отключване на частни инвестиции и спестявания, iii) преодоляване на недостига на финансиране за разрастващите се предприятия, и iv) укрепване на конкурентоспособна екосистема на капиталовите пазари в рамките на ЕС; подчертава, че за тези цели крайната цел на Комисията трябва да бъде завършването на съюз на спестяванията и инвестициите, който зачита правомощията на държавите членки и принципа на субсидиарност;</w:t>
      </w:r>
    </w:p>
    <w:p w14:paraId="74E2B94C" w14:textId="77777777" w:rsidR="001F73F4" w:rsidRPr="00E10ED9" w:rsidRDefault="001F73F4" w:rsidP="001F73F4">
      <w:pPr>
        <w:pStyle w:val="Normal12a24b"/>
      </w:pPr>
      <w:r w:rsidRPr="00E10ED9">
        <w:rPr>
          <w:rStyle w:val="BoldItalic"/>
        </w:rPr>
        <w:t>Намаляване на бюрократичната и регулаторната тежест</w:t>
      </w:r>
    </w:p>
    <w:p w14:paraId="38EB8E3F" w14:textId="77777777" w:rsidR="001F73F4" w:rsidRPr="00E10ED9" w:rsidRDefault="001F73F4" w:rsidP="001F73F4">
      <w:pPr>
        <w:pStyle w:val="NormalHanging12a"/>
      </w:pPr>
      <w:r w:rsidRPr="00E10ED9">
        <w:t>8.</w:t>
      </w:r>
      <w:r w:rsidRPr="00E10ED9">
        <w:tab/>
        <w:t xml:space="preserve">припомня, че много обещаващи европейски стартиращи и разрастващи се предприятия се преместват в държави извън ЕС заради обременяващата, бавна, </w:t>
      </w:r>
      <w:r w:rsidRPr="00E10ED9">
        <w:lastRenderedPageBreak/>
        <w:t>фрагментирана и непредвидима европейска регулаторна среда; подчертава, че ако тази тенденция не бъде обърната посредством значително опростяване, Европа ще продължи да губи дружества на най-стратегическия им етап на растеж, което ще доведе до създаването на по-малко работни места и по-бавен икономически растеж; изразява съжаление във връзка с факта, че данъчните и регулаторните прагове възпират растежа на предприятията, като налагат по-обременяващо третиране след надхвърляне на определени равнища на размер или оборот;</w:t>
      </w:r>
    </w:p>
    <w:p w14:paraId="3FBCE79F" w14:textId="77777777" w:rsidR="001F73F4" w:rsidRPr="00E10ED9" w:rsidRDefault="001F73F4" w:rsidP="001F73F4">
      <w:pPr>
        <w:pStyle w:val="NormalHanging12a"/>
      </w:pPr>
      <w:r w:rsidRPr="00E10ED9">
        <w:t>9.</w:t>
      </w:r>
      <w:r w:rsidRPr="00E10ED9">
        <w:tab/>
        <w:t>призовава за допълнителни усилия за опростяване и насърчава Комисията да представи последващи предложения, които излизат извън рамките на публикуваните ѝ пакети за опростяване „Омнибус“ и които създават благоприятни за стартиращите предприятия разпоредби и рамки, които улесняват растежа, възможността за разрастване и трансграничните операции на стартиращите и разрастващите се предприятия, като същевременно гарантират защитата на потребителите, неприкосновеността на личните данни и лоялната конкуренция; припомня ангажимента на Комисията за намаляване на бюрокрацията чрез хоризонтален подход във всички области и призовава за систематичен преглед на достиженията на правото на ЕС с цел установяване и премахване на регулаторните пречки пред МСП;</w:t>
      </w:r>
    </w:p>
    <w:p w14:paraId="4D0E8558" w14:textId="77777777" w:rsidR="001F73F4" w:rsidRPr="00E10ED9" w:rsidRDefault="001F73F4" w:rsidP="001F73F4">
      <w:pPr>
        <w:pStyle w:val="NormalHanging12a"/>
      </w:pPr>
      <w:r w:rsidRPr="00E10ED9">
        <w:t>10.</w:t>
      </w:r>
      <w:r w:rsidRPr="00E10ED9">
        <w:tab/>
        <w:t xml:space="preserve">подчертава, след приемането от Комисията на втория пакет „Омнибус“, необходимостта от рационализирани процеси при изпълнението на програмата </w:t>
      </w:r>
      <w:proofErr w:type="spellStart"/>
      <w:r w:rsidRPr="00E10ED9">
        <w:t>InvestEU</w:t>
      </w:r>
      <w:proofErr w:type="spellEnd"/>
      <w:r w:rsidRPr="00E10ED9">
        <w:t xml:space="preserve">, за да се гарантира, че МСП, включително най-малките, имат по-лесен достъп до финансовата подкрепа, от която се нуждаят, за да се разрастват и да въвеждат иновации; подчертава, че е важно да се гарантира, че регулаторните рамки и финансираните от ЕС инструменти са пропорционални на размера и административния капацитет на МСП и са подходящо адаптирани за МСП, а не възпроизведени от изискванията за по-големите дружества; </w:t>
      </w:r>
    </w:p>
    <w:p w14:paraId="411E5EDB" w14:textId="77777777" w:rsidR="001F73F4" w:rsidRPr="00E10ED9" w:rsidRDefault="001F73F4" w:rsidP="001F73F4">
      <w:pPr>
        <w:pStyle w:val="NormalHanging12a"/>
      </w:pPr>
      <w:r w:rsidRPr="00E10ED9">
        <w:t>11.</w:t>
      </w:r>
      <w:r w:rsidRPr="00E10ED9">
        <w:tab/>
        <w:t>отбелязва, че налагането на множество регулаторни изисквания на банките може да окаже отрицателно въздействие върху кредитирането на МСП; подчертава, че е важно да се избягват дублиращи се изисквания за докладване и множество канали за докладване, които налагат ненужна административна тежест, особено за по-малките банки; призовава Комисията, с помощта на Европейския банков орган и единния надзорен механизъм, да направи оценка на въздействието на настоящите регулаторни правила върху кредитирането на МСП; подчертава необходимостта от прилагане на принципа на пропорционалност в банковото регулиране;</w:t>
      </w:r>
    </w:p>
    <w:p w14:paraId="4529C1E3" w14:textId="77777777" w:rsidR="001F73F4" w:rsidRPr="00E10ED9" w:rsidRDefault="001F73F4" w:rsidP="001F73F4">
      <w:pPr>
        <w:pStyle w:val="NormalHanging12a"/>
      </w:pPr>
      <w:r w:rsidRPr="00E10ED9">
        <w:t>12.</w:t>
      </w:r>
      <w:r w:rsidRPr="00E10ED9">
        <w:tab/>
        <w:t>настоятелно призовава Комисията да направи оценка на съществуващите регулаторни задължения, които обременяват дружествата, като например рамката за устойчиво финансиране, която е непригодна за европейските МСП, и други задължения, произтичащи от Европейския зелен пакт, и да разработи прагове на пропорционалност, за да освободи МСП от прекомерни задължения; приветства предложената нова проверка във връзка с конкурентоспособността на МСП; призовава Комисията да гарантира, че всички стандарти за отчитане във връзка с устойчивостта са опростени и доброволни и да преразгледа изискванията за оповестяване на банкови данни по стълб 3, които могат косвено да наложат несъразмерни изисквания за данни на клиенти, които са МСП;</w:t>
      </w:r>
    </w:p>
    <w:p w14:paraId="6E00027F" w14:textId="77777777" w:rsidR="001F73F4" w:rsidRPr="00E10ED9" w:rsidRDefault="001F73F4" w:rsidP="001F73F4">
      <w:pPr>
        <w:pStyle w:val="NormalHanging12a"/>
      </w:pPr>
      <w:r w:rsidRPr="00E10ED9">
        <w:t>13.</w:t>
      </w:r>
      <w:r w:rsidRPr="00E10ED9">
        <w:tab/>
        <w:t xml:space="preserve">подчертава, че подходът на отмяна на предишни тежести при въвеждане на нови, който на практика не се прилага в достатъчна степен, не е достатъчен, и призовава </w:t>
      </w:r>
      <w:r w:rsidRPr="00E10ED9">
        <w:lastRenderedPageBreak/>
        <w:t>Комисията да предложи по-амбициозна стратегия за опростяване, която да осигури правна сигурност и предвидимост и също така да преразгледа законодателството от нива 2 и 3; подчертава, че целта на Комисията за намаляване на задълженията за докладване с 35% трябва да бъде измерима и резултатите трябва да бъдат проследими, с ясен график, ключови показатели за ефективност и подходяща за целта методология за проследяване;</w:t>
      </w:r>
    </w:p>
    <w:p w14:paraId="116CA498" w14:textId="77777777" w:rsidR="001F73F4" w:rsidRPr="00E10ED9" w:rsidRDefault="001F73F4" w:rsidP="001F73F4">
      <w:pPr>
        <w:pStyle w:val="Normal12a24b"/>
        <w:keepNext/>
        <w:widowControl/>
      </w:pPr>
      <w:r w:rsidRPr="00E10ED9">
        <w:rPr>
          <w:rStyle w:val="BoldItalic"/>
        </w:rPr>
        <w:t>Отключване на частен капитал и спестявания</w:t>
      </w:r>
    </w:p>
    <w:p w14:paraId="0FF328C6" w14:textId="77777777" w:rsidR="001F73F4" w:rsidRPr="00E10ED9" w:rsidRDefault="001F73F4" w:rsidP="001F73F4">
      <w:pPr>
        <w:pStyle w:val="NormalHanging12a"/>
      </w:pPr>
      <w:r w:rsidRPr="00E10ED9">
        <w:t>14.</w:t>
      </w:r>
      <w:r w:rsidRPr="00E10ED9">
        <w:tab/>
        <w:t>отбелязва, че Комисията има за цел да създаде съюз на спестяванията и инвестициите, който трябва да включва не само действия на равнище ЕС, но и разработването на инструменти, решения и най-добри практики, които зачитат и подкрепят действията на държавите членки на национално равнище и насърчават трансграничната съгласуваност и постепенното намаляване на критичните различия;</w:t>
      </w:r>
    </w:p>
    <w:p w14:paraId="7E6FE754" w14:textId="77777777" w:rsidR="001F73F4" w:rsidRPr="00E10ED9" w:rsidRDefault="001F73F4" w:rsidP="001F73F4">
      <w:pPr>
        <w:pStyle w:val="NormalHanging12a"/>
      </w:pPr>
      <w:r w:rsidRPr="00E10ED9">
        <w:t>15.</w:t>
      </w:r>
      <w:r w:rsidRPr="00E10ED9">
        <w:tab/>
        <w:t>призовава Комисията да подобри достъпа на инвеститорите до информация и защита, като същевременно използва потенциала на опростените продукти на дребно, за да спомогне за насочването на спестяванията на домакинствата към капиталовите пазари, и припомня важната роля, която пенсионните фондове и застрахователните дружества играят като посредници за това насочване; отбелязва лансирането на знака „Финансиране на Европа“, което следва да даде възможност на спестителите, които желаят да направят това, да инвестират спестяванията си в европейски дружества и по този начин да допринесат пряко за финансирането на икономиката на Съюза; подчертава, че този знак не следва да създава каквато и да било допълнителна административна тежест за дружествата;</w:t>
      </w:r>
    </w:p>
    <w:p w14:paraId="260A7296" w14:textId="77777777" w:rsidR="001F73F4" w:rsidRPr="00E10ED9" w:rsidRDefault="001F73F4" w:rsidP="001F73F4">
      <w:pPr>
        <w:pStyle w:val="NormalHanging12a"/>
      </w:pPr>
      <w:r w:rsidRPr="00E10ED9">
        <w:t>16.</w:t>
      </w:r>
      <w:r w:rsidRPr="00E10ED9">
        <w:tab/>
        <w:t>изразява съжаление относно факта, че Регламентът относно европейските фондове за рисков капитал (</w:t>
      </w:r>
      <w:proofErr w:type="spellStart"/>
      <w:r w:rsidRPr="00E10ED9">
        <w:t>EuVECA</w:t>
      </w:r>
      <w:proofErr w:type="spellEnd"/>
      <w:r w:rsidRPr="00E10ED9">
        <w:t>)</w:t>
      </w:r>
      <w:r w:rsidRPr="00E10ED9">
        <w:rPr>
          <w:rStyle w:val="FootnoteReference"/>
        </w:rPr>
        <w:footnoteReference w:id="5"/>
      </w:r>
      <w:r w:rsidRPr="00E10ED9">
        <w:t xml:space="preserve"> оказа слабо положително въздействие върху местните пазари на рисков капитал; приветства акцента, който се поставя върху рисковия капитал за млади и иновативни МСП в съобщението на Комисията относно съюза на спестяванията и инвестициите, но изразява съжаление във връзка с факта, че предложението на Комисията относно </w:t>
      </w:r>
      <w:proofErr w:type="spellStart"/>
      <w:r w:rsidRPr="00E10ED9">
        <w:t>EuVECA</w:t>
      </w:r>
      <w:proofErr w:type="spellEnd"/>
      <w:r w:rsidRPr="00E10ED9">
        <w:t xml:space="preserve"> беше отложено за третото тримесечие на 2026 г.; призовава Комисията да обмисли възможността за премахване на минималния праг за инвестиции в размер на 100 000 EUR, за да се позволи на частните спестители да инвестират в алтернативни фондове; настоятелно призовава Комисията да насърчи държавите членки да предоставят привлекателни и стабилни данъчни и регулаторни рамки за фондовете за рисков капитал, които инвестират в МСП;</w:t>
      </w:r>
    </w:p>
    <w:p w14:paraId="79DA9BB6" w14:textId="77777777" w:rsidR="001F73F4" w:rsidRPr="00E10ED9" w:rsidRDefault="001F73F4" w:rsidP="001F73F4">
      <w:pPr>
        <w:pStyle w:val="NormalHanging12a"/>
      </w:pPr>
      <w:r w:rsidRPr="00E10ED9">
        <w:t>17.</w:t>
      </w:r>
      <w:r w:rsidRPr="00E10ED9">
        <w:tab/>
        <w:t xml:space="preserve">категорично подчертава необходимостта да се подобри финансовата грамотност на гражданите и предприемачите от ЕС и да се насърчат по-добри условия за спестяванията и инвестициите, които дават възможност да се премине от спестяване към инвестиране по информиран и независим начин; призовава Комисията да включи предприемачеството в обхвата на предстоящата стратегия </w:t>
      </w:r>
      <w:r w:rsidRPr="00E10ED9">
        <w:lastRenderedPageBreak/>
        <w:t>за финансова грамотност и в набор от инструменти за държавите членки с цел подобряване на координацията в това отношение;</w:t>
      </w:r>
    </w:p>
    <w:p w14:paraId="5294904C" w14:textId="77777777" w:rsidR="001F73F4" w:rsidRPr="00E10ED9" w:rsidRDefault="001F73F4" w:rsidP="001F73F4">
      <w:pPr>
        <w:pStyle w:val="NormalHanging12a"/>
      </w:pPr>
      <w:r w:rsidRPr="00E10ED9">
        <w:t>18.</w:t>
      </w:r>
      <w:r w:rsidRPr="00E10ED9">
        <w:tab/>
        <w:t xml:space="preserve">призовава публичното финансиране да не се използва като субсидии, а по-скоро като катализатор за мобилизиране на частни инвестиции и предоставяне на повече частно финансиране на разположение на ММСП; </w:t>
      </w:r>
      <w:bookmarkStart w:id="8" w:name="_Hlk210313322"/>
      <w:r w:rsidRPr="00E10ED9">
        <w:t>припомня, че по-голямата част от тези инвестиции трябва да бъдат частни, и подчертава, че те трябва да бъдат стимулирани от привлекателни и стабилни данъчни и регулаторни рамки, които са привлекателни както за професионалните, така и за непрофесионалните инвеститори; припомня настоящите структурни предубеждения към заемите и счита, че е необходимо да се започне дебат относно необходимостта от данъчни стимули за собствения капитал, както и да се насърчава рисковият капитал като част от бизнес модела на традиционното банкиране, без да се излага на риск финансовата стабилност</w:t>
      </w:r>
      <w:bookmarkEnd w:id="8"/>
      <w:r w:rsidRPr="00E10ED9">
        <w:t>;</w:t>
      </w:r>
    </w:p>
    <w:p w14:paraId="2870A521" w14:textId="77777777" w:rsidR="001F73F4" w:rsidRPr="00E10ED9" w:rsidRDefault="001F73F4" w:rsidP="001F73F4">
      <w:pPr>
        <w:pStyle w:val="NormalHanging12a"/>
      </w:pPr>
      <w:r w:rsidRPr="00E10ED9">
        <w:t>19.</w:t>
      </w:r>
      <w:r w:rsidRPr="00E10ED9">
        <w:tab/>
        <w:t>подчертава, че публичният сектор може да играе ключова роля за мобилизирането на частен капитал, особено в секторите с висока информационна асиметрия или в регионите с недостатъчно развити финансови пазари; призовава публичните инструменти да бъдат разработени ефективно, с неутралност по отношение на конкуренцията и с акцент върху въздействието, като се увеличи максимално ефектът на привличането върху частните инвестиции; подчертава за тази цел, че потенциалът на групата на Европейската инвестиционна банка (ЕИБ) трябва да бъде изцяло използван за привличане на частни инвестиции и че тя трябва да отдели повече ресурси за иновационните проекти на МСП, стартиращите и разрастващите се предприятия; подчертава освен това ролята на Фонда за регионално развитие, особено в регионите с ограничена наличност на кредити и предвид факта, че цената на заемите варира в рамките на ЕС, което поставя в неблагоприятно положение МСП в някои държави членки;</w:t>
      </w:r>
    </w:p>
    <w:p w14:paraId="047B9D96" w14:textId="77777777" w:rsidR="001F73F4" w:rsidRPr="00E10ED9" w:rsidRDefault="001F73F4" w:rsidP="001F73F4">
      <w:pPr>
        <w:pStyle w:val="NormalHanging12a"/>
      </w:pPr>
      <w:r w:rsidRPr="00E10ED9">
        <w:t>20.</w:t>
      </w:r>
      <w:r w:rsidRPr="00E10ED9">
        <w:tab/>
        <w:t>отбелязва публикуването на прегледа на рамката за секюритизация и призовава Комисията да я направи по-гъвкава, за да позволи на кредитните институции да предоставят допълнително финансиране на дружествата, включително МСП, и да подкрепят техния растеж, без да се подкопават прозрачността и кредитното качество; подчертава за тази цел, че стабилността на рамката за прехвърляне на значителен риск трябва да бъде засилена чрез въвеждане на по-голяма чувствителност към риска и подобряване на надзора, допринасяйки по този начин за опростяването;</w:t>
      </w:r>
    </w:p>
    <w:p w14:paraId="1559389F" w14:textId="77777777" w:rsidR="001F73F4" w:rsidRPr="00E10ED9" w:rsidRDefault="001F73F4" w:rsidP="001F73F4">
      <w:pPr>
        <w:pStyle w:val="NormalHanging12a"/>
      </w:pPr>
      <w:r w:rsidRPr="00E10ED9">
        <w:t>21.</w:t>
      </w:r>
      <w:r w:rsidRPr="00E10ED9">
        <w:tab/>
        <w:t>признава целта на Комисията да разработи план за инвестиционна спестовна сметка на ЕС, който следва да включва i) опростена процедура за данъчна декларация, ii) съпътстващи данъчни стимули и iii) липса на ограничения по отношение на инвестиционната география, сектора, ограниченията на депозитите или минималните периоди на държане;</w:t>
      </w:r>
    </w:p>
    <w:p w14:paraId="1ADDD6EC" w14:textId="77777777" w:rsidR="001F73F4" w:rsidRPr="00E10ED9" w:rsidRDefault="001F73F4" w:rsidP="001F73F4">
      <w:pPr>
        <w:pStyle w:val="NormalHanging12a"/>
      </w:pPr>
      <w:r w:rsidRPr="00E10ED9">
        <w:t>22.</w:t>
      </w:r>
      <w:r w:rsidRPr="00E10ED9">
        <w:tab/>
        <w:t>признава централната роля на частния сектор за икономическия растеж и просперитета на ЕС; подчертава, че всеки напредък към интеграция на капиталовите пазари трябва да се основава на принципите на икономическа свобода, конкуренция и правна сигурност;</w:t>
      </w:r>
    </w:p>
    <w:p w14:paraId="4B8AE730" w14:textId="77777777" w:rsidR="001F73F4" w:rsidRPr="00E10ED9" w:rsidRDefault="001F73F4" w:rsidP="001F73F4">
      <w:pPr>
        <w:pStyle w:val="NormalHanging12a"/>
      </w:pPr>
      <w:r w:rsidRPr="00E10ED9">
        <w:t>23.</w:t>
      </w:r>
      <w:r w:rsidRPr="00E10ED9">
        <w:tab/>
        <w:t xml:space="preserve">подчертава, че един европейски пазар за преки вторични сделки, който би позволил търговията с акции на стартиращи предприятия на късен етап и на етапа </w:t>
      </w:r>
      <w:r w:rsidRPr="00E10ED9">
        <w:lastRenderedPageBreak/>
        <w:t>преди ППП (първоначално публично предлагане), би подобрил финансовата екосистема на Съюза, при условие че гарантира еднакви условия на конкуренция между държавите членки, възпрепятства концентрацията на финансовата дейност само в няколко юрисдикции и напълно зачита националните правомощия;</w:t>
      </w:r>
    </w:p>
    <w:p w14:paraId="2AD3F2E8" w14:textId="77777777" w:rsidR="001F73F4" w:rsidRPr="00E10ED9" w:rsidRDefault="001F73F4" w:rsidP="001F73F4">
      <w:pPr>
        <w:pStyle w:val="NormalHanging12a"/>
      </w:pPr>
      <w:r w:rsidRPr="00E10ED9">
        <w:t>24.</w:t>
      </w:r>
      <w:r w:rsidRPr="00E10ED9">
        <w:tab/>
        <w:t>отбелязва, че преработената Директива за пазарите на финансови инструменти</w:t>
      </w:r>
      <w:r w:rsidRPr="00E10ED9">
        <w:rPr>
          <w:rStyle w:val="FootnoteReference"/>
        </w:rPr>
        <w:footnoteReference w:id="6"/>
      </w:r>
      <w:r w:rsidRPr="00E10ED9">
        <w:t xml:space="preserve"> (ДПФИ II) предвижда специална категория пазари за растеж на МСП, които следва да отговарят на специфичните нужди на по-малките дружества; призовава Комисията да доразвие този инструмент, като осигури по-гъвкав регулаторен режим, който да отговаря на потребностите на малките дружества и дружествата със средна пазарна капитализация;</w:t>
      </w:r>
    </w:p>
    <w:p w14:paraId="201A7949" w14:textId="77777777" w:rsidR="001F73F4" w:rsidRPr="00E10ED9" w:rsidRDefault="001F73F4" w:rsidP="001F73F4">
      <w:pPr>
        <w:pStyle w:val="Normal12a24b"/>
      </w:pPr>
      <w:r w:rsidRPr="00E10ED9">
        <w:rPr>
          <w:rStyle w:val="BoldItalic"/>
        </w:rPr>
        <w:t>Преодоляване на недостига на финансиране за разрастващите се предприятия</w:t>
      </w:r>
    </w:p>
    <w:p w14:paraId="32ABB88B" w14:textId="77777777" w:rsidR="001F73F4" w:rsidRPr="00E10ED9" w:rsidRDefault="001F73F4" w:rsidP="001F73F4">
      <w:pPr>
        <w:pStyle w:val="NormalHanging12a"/>
      </w:pPr>
      <w:r w:rsidRPr="00E10ED9">
        <w:t>25.</w:t>
      </w:r>
      <w:r w:rsidRPr="00E10ED9">
        <w:tab/>
        <w:t>изразява съжаление, че вследствие на липсата на привлекателни възможности за финансиране за разрастващите се предприятия на нашия пазар и на конкурентна регулаторна среда много европейски предприятия в крайна сметка използват инвеститори в рисков капитал със седалище в държави извън ЕС и се установяват на пазарите на държави извън ЕС, за да разширят дейността си; изразява загриженост относно нарастващия брой фалити на МСП в ЕС</w:t>
      </w:r>
      <w:r w:rsidRPr="00E10ED9">
        <w:rPr>
          <w:rStyle w:val="FootnoteReference"/>
        </w:rPr>
        <w:footnoteReference w:id="7"/>
      </w:r>
      <w:r w:rsidRPr="00E10ED9">
        <w:t>; счита, че е от приоритетно значение да се преодолеят основните причини за това, като например липсата на дългосрочен капитал, данъчния натиск при разрастване на предприятията и непропорционалната административна тежест;</w:t>
      </w:r>
    </w:p>
    <w:p w14:paraId="00D369DE" w14:textId="77777777" w:rsidR="001F73F4" w:rsidRPr="00E10ED9" w:rsidRDefault="001F73F4" w:rsidP="001F73F4">
      <w:pPr>
        <w:pStyle w:val="NormalHanging12a"/>
      </w:pPr>
      <w:r w:rsidRPr="00E10ED9">
        <w:t>26.</w:t>
      </w:r>
      <w:r w:rsidRPr="00E10ED9">
        <w:tab/>
        <w:t>разбира, че мобилизирането на европейските институционални инвеститори, по-специално застрахователните дружества, банките и пенсионните фондове, е от ключово значение за намаляването на разликите при разрастването; отбелязва, че е необходимо да се увеличи делът на фондовете за рисков капитал в Европа, за да се осигури повече финансиране за разрастващите се предприятия, за което е необходима по-благоприятна рамка за финансиране с рисков капитал и сигурни преки чуждестранни инвестиции в ЕС; призовава Комисията да насърчи държавите членки със слабо развити пенсионни системи да разработят допълнителни (стълб 2) пенсионни сектори, които биха могли да спомогнат за изграждането на пазари за рисков капитал, и да създаде регулаторна среда, която да насърчава капиталовите инвестиции от страна на институционалните инвеститори; припомня ангажимента на Комисията да работи по мерки за поемане на риск с цел привличане на частно финансиране от търговски банки, инвеститори и рисков капитал;</w:t>
      </w:r>
    </w:p>
    <w:p w14:paraId="4991140F" w14:textId="77777777" w:rsidR="001F73F4" w:rsidRPr="00E10ED9" w:rsidRDefault="001F73F4" w:rsidP="001F73F4">
      <w:pPr>
        <w:pStyle w:val="NormalHanging12a"/>
      </w:pPr>
      <w:r w:rsidRPr="00E10ED9">
        <w:lastRenderedPageBreak/>
        <w:t>27.</w:t>
      </w:r>
      <w:r w:rsidRPr="00E10ED9">
        <w:tab/>
        <w:t xml:space="preserve">насърчава Комисията да укрепи платформите за съвместни инвестиции, включително регионалните инструменти и мрежите от бизнес ангели, за да привлече частен капитал и да преодолее постоянния недостиг на финансиране на ранен етап за МСП с висок растеж и насоченост към иновации; призовава за адекватна капитализация на предстоящата европейска инициатива „Европейски технологични шампиони 2.0“ и за специални схеми на ЕС за финансиране, които подкрепят набирането на средства и регистрацията на стартиращи и разрастващи се технологични дружества на борсата; подчертава мандата на групата на ЕИБ да подкрепя МСП, като настоятелно я призовава да приеме по-гъвкава рамка за оценка на риска и да гарантира, че новата платформа </w:t>
      </w:r>
      <w:proofErr w:type="spellStart"/>
      <w:r w:rsidRPr="00E10ED9">
        <w:t>TechEU</w:t>
      </w:r>
      <w:proofErr w:type="spellEnd"/>
      <w:r w:rsidRPr="00E10ED9">
        <w:t xml:space="preserve"> е широко достъпна във всички държави членки чрез рационализирани процедури; изразява съгласие със съобщението относно съюза на спестяванията и инвестициите по отношение на значението на публичните финанси на равнище ЕС и поради това се застъпва за преориентиране на фондовете на ЕС към по-малко на брой и по-гъвкави програми, които могат да прехвърлят ресурси между отделните приоритети във времето;</w:t>
      </w:r>
    </w:p>
    <w:p w14:paraId="5DBB55F2" w14:textId="77777777" w:rsidR="001F73F4" w:rsidRPr="00E10ED9" w:rsidRDefault="001F73F4" w:rsidP="001F73F4">
      <w:pPr>
        <w:pStyle w:val="NormalHanging12a"/>
      </w:pPr>
      <w:r w:rsidRPr="00E10ED9">
        <w:t>28.</w:t>
      </w:r>
      <w:r w:rsidRPr="00E10ED9">
        <w:tab/>
        <w:t>подчертава, че е важно да се създадат подходящи условия, за да могат спестяванията на гражданите да бъдат насочвани към продуктивни инвестиционни инструменти, които могат да облагодетелстват МСП и разрастващите се предприятия; насърчава Комисията да премахне регулаторните възпиращи фактори за инвестиционните продукти на дребно и да гарантира, че непрофесионалните инвеститори са защитени по подходящ начин при вземането на инвестиционни решения; признава, че колективното финансиране и технологиите, като например интелигентните договори и децентрализираното финансиране, могат да разширят достъпа на МСП до пряко финансиране, и настоятелно призовава Комисията да преразгледа своята регулаторна рамка с ориентиран към иновациите пропорционален подход към риска;</w:t>
      </w:r>
    </w:p>
    <w:p w14:paraId="76DD09B1" w14:textId="77777777" w:rsidR="001F73F4" w:rsidRPr="00E10ED9" w:rsidRDefault="001F73F4" w:rsidP="001F73F4">
      <w:pPr>
        <w:pStyle w:val="NormalHanging12a"/>
      </w:pPr>
      <w:r w:rsidRPr="00E10ED9">
        <w:t>29.</w:t>
      </w:r>
      <w:r w:rsidRPr="00E10ED9">
        <w:tab/>
        <w:t>подчертава, че една по-интегрирана иновационна екосистема, която обхваща мрежи от университети, стартиращи предприятия, големи предприятия и инвеститори в рисков капитал и е подкрепена с достъп до съоръжения за изпитване и технологична инфраструктура, е от основно значение за подпомагането на разрастването на предприятията; подчертава положителната роля, която форумите на предприемачите, частните ускорители и мрежите за наставничество могат да играят в подкрепа на растежа на стартиращите предприятия, и призовава Комисията и държавите членки да надграждат върху инициативи като мрежата на доверените инвеститори, която цели да мобилизира частен капитал в подкрепа на амбициите на Европа в областта на иновациите;</w:t>
      </w:r>
    </w:p>
    <w:p w14:paraId="18C9B0E8" w14:textId="77777777" w:rsidR="001F73F4" w:rsidRPr="00E10ED9" w:rsidRDefault="001F73F4" w:rsidP="001F73F4">
      <w:pPr>
        <w:pStyle w:val="Normal12a24b"/>
      </w:pPr>
      <w:r w:rsidRPr="00E10ED9">
        <w:rPr>
          <w:rStyle w:val="BoldItalic"/>
        </w:rPr>
        <w:t>Укрепване на конкурентоспособна екосистема в ЕС</w:t>
      </w:r>
    </w:p>
    <w:p w14:paraId="0C947373" w14:textId="77777777" w:rsidR="001F73F4" w:rsidRPr="00E10ED9" w:rsidRDefault="001F73F4" w:rsidP="001F73F4">
      <w:pPr>
        <w:pStyle w:val="NormalHanging12a"/>
      </w:pPr>
      <w:r w:rsidRPr="00E10ED9">
        <w:t>30.</w:t>
      </w:r>
      <w:r w:rsidRPr="00E10ED9">
        <w:tab/>
        <w:t xml:space="preserve">счита, че една конкурентоспособна екосистема в ЕС трябва да се състои както от силни национални пазари, така и от силен вътрешен пазар, и че здравословната конкуренция между държавите членки, особено по отношение на икономическите и регулаторните подходи, ги стимулира да поддържат икономиките си динамични и привлекателни, но припомня, че държавите членки не трябва да създават пречки за ефективното трансгранично разпределение на капитала или да определят приоритети единствено въз основа на географския произход на финансирането; </w:t>
      </w:r>
      <w:bookmarkStart w:id="9" w:name="_Hlk210313711"/>
      <w:r w:rsidRPr="00E10ED9">
        <w:lastRenderedPageBreak/>
        <w:t>призовава инициативите на Комисията да зачитат и надграждат най-добрите практики, които вече са били успешни в държавите членки;</w:t>
      </w:r>
    </w:p>
    <w:bookmarkEnd w:id="9"/>
    <w:p w14:paraId="361DBAF9" w14:textId="77777777" w:rsidR="001F73F4" w:rsidRPr="00E10ED9" w:rsidRDefault="001F73F4" w:rsidP="001F73F4">
      <w:pPr>
        <w:pStyle w:val="NormalHanging12a"/>
      </w:pPr>
      <w:r w:rsidRPr="00E10ED9">
        <w:t>31.</w:t>
      </w:r>
      <w:r w:rsidRPr="00E10ED9">
        <w:tab/>
        <w:t>настоятелно призовава Комисията да се фокусира върху благоприятстващите условия за пазарите, съответните общи знаменатели за държавите членки и доброволните и допълващи се рамки, насочени към постепенно намаляване на разпокъсаността на пазара;</w:t>
      </w:r>
    </w:p>
    <w:p w14:paraId="2D9AC524" w14:textId="77777777" w:rsidR="001F73F4" w:rsidRPr="00E10ED9" w:rsidRDefault="001F73F4" w:rsidP="001F73F4">
      <w:pPr>
        <w:pStyle w:val="NormalHanging12a"/>
      </w:pPr>
      <w:r w:rsidRPr="00E10ED9">
        <w:t>32.</w:t>
      </w:r>
      <w:r w:rsidRPr="00E10ED9">
        <w:tab/>
        <w:t>призовава Комисията да изясни в какво би се състоял 28-ият правен режим и припомня, че ако бъде въведен, той ще трябва да бъде доброволен, да зачита напълно режимите на държавите членки и да бъде разработен в тясно сътрудничество с частния сектор, за да предложи опростена рамка, която привлича частни инвеститори за европейските стартиращи предприятия, разрастващи се предприятия и МСП и помага на европейските стартиращи предприятия да се превърнат в световни технологични шампиони;</w:t>
      </w:r>
    </w:p>
    <w:p w14:paraId="2589B206" w14:textId="77777777" w:rsidR="001F73F4" w:rsidRPr="00E10ED9" w:rsidRDefault="001F73F4" w:rsidP="001F73F4">
      <w:pPr>
        <w:pStyle w:val="NormalHanging12a"/>
      </w:pPr>
      <w:r w:rsidRPr="00E10ED9">
        <w:t>33.</w:t>
      </w:r>
      <w:r w:rsidRPr="00E10ED9">
        <w:tab/>
        <w:t>призовава Комисията, с подкрепата на органите на държавите членки, да разработи опростени инструменти за ориентиране и единни звена за контакт за МСП и разрастващите се предприятия, за да им помогне да се ориентират в различните правни системи в целия ЕС по въпроси като дружественото право, трудовото право, правото в областта на несъстоятелността, данъчното право, правата върху интелектуалната собственост и възможностите за национално финансиране; освен това призовава Комисията да подобри инструментите за мониторинг на достъпа на МСП до финансиране, включително разработването на общоевропейски показатели и информационни табла, които могат да им помогнат да идентифицират възможностите в държавите членки, без да се създават нови задължения за докладване или да се увеличава административната тежест;</w:t>
      </w:r>
    </w:p>
    <w:p w14:paraId="3942EC86" w14:textId="77777777" w:rsidR="0034616B" w:rsidRDefault="0034616B" w:rsidP="0034616B">
      <w:pPr>
        <w:pStyle w:val="NormalHanging12a"/>
        <w:ind w:left="0" w:firstLine="0"/>
        <w:jc w:val="center"/>
      </w:pPr>
      <w:r>
        <w:t>°</w:t>
      </w:r>
    </w:p>
    <w:p w14:paraId="05641DFD" w14:textId="77777777" w:rsidR="0034616B" w:rsidRDefault="0034616B" w:rsidP="0034616B">
      <w:pPr>
        <w:pStyle w:val="NormalHanging12a"/>
        <w:ind w:left="0" w:firstLine="0"/>
        <w:jc w:val="center"/>
      </w:pPr>
      <w:r>
        <w:t>°     °</w:t>
      </w:r>
    </w:p>
    <w:p w14:paraId="3F1D8F13" w14:textId="69F757FA" w:rsidR="00E365E1" w:rsidRPr="00E10ED9" w:rsidRDefault="0034616B" w:rsidP="0034616B">
      <w:pPr>
        <w:pStyle w:val="NormalHanging12a"/>
        <w:jc w:val="both"/>
      </w:pPr>
      <w:r>
        <w:t>3</w:t>
      </w:r>
      <w:r w:rsidR="001F73F4" w:rsidRPr="00E10ED9">
        <w:t>4.</w:t>
      </w:r>
      <w:r w:rsidR="001F73F4" w:rsidRPr="00E10ED9">
        <w:tab/>
        <w:t>възлага на своя председател да предаде настоящата резолюция съответно на Съвета и на Комисията.</w:t>
      </w:r>
    </w:p>
    <w:sectPr w:rsidR="00E365E1" w:rsidRPr="00E10ED9" w:rsidSect="00E10E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FB271" w14:textId="77777777" w:rsidR="00B851D8" w:rsidRPr="00E10ED9" w:rsidRDefault="00B851D8">
      <w:r w:rsidRPr="00E10ED9">
        <w:separator/>
      </w:r>
    </w:p>
  </w:endnote>
  <w:endnote w:type="continuationSeparator" w:id="0">
    <w:p w14:paraId="1A7DB31F" w14:textId="77777777" w:rsidR="00B851D8" w:rsidRPr="00E10ED9" w:rsidRDefault="00B851D8">
      <w:r w:rsidRPr="00E10E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EEBA3" w14:textId="77777777" w:rsidR="00064002" w:rsidRPr="00E10E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3DFC" w14:textId="77777777" w:rsidR="00064002" w:rsidRPr="00E10E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6119A" w14:textId="77777777" w:rsidR="00064002" w:rsidRPr="00E10E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DF270" w14:textId="77777777" w:rsidR="00B851D8" w:rsidRPr="00E10ED9" w:rsidRDefault="00B851D8">
      <w:r w:rsidRPr="00E10ED9">
        <w:separator/>
      </w:r>
    </w:p>
  </w:footnote>
  <w:footnote w:type="continuationSeparator" w:id="0">
    <w:p w14:paraId="71337ED8" w14:textId="77777777" w:rsidR="00B851D8" w:rsidRPr="00E10ED9" w:rsidRDefault="00B851D8">
      <w:r w:rsidRPr="00E10ED9">
        <w:continuationSeparator/>
      </w:r>
    </w:p>
  </w:footnote>
  <w:footnote w:id="1">
    <w:p w14:paraId="77F9BDE4" w14:textId="3E3EE193" w:rsidR="001F73F4" w:rsidRPr="00E10ED9" w:rsidRDefault="001F73F4" w:rsidP="00E10ED9">
      <w:pPr>
        <w:pStyle w:val="FootnoteText"/>
        <w:ind w:left="567" w:hanging="567"/>
        <w:rPr>
          <w:sz w:val="24"/>
          <w:lang w:val="bg-BG"/>
        </w:rPr>
      </w:pPr>
      <w:r w:rsidRPr="00E10ED9">
        <w:rPr>
          <w:sz w:val="24"/>
          <w:vertAlign w:val="superscript"/>
          <w:lang w:val="bg-BG"/>
        </w:rPr>
        <w:footnoteRef/>
      </w:r>
      <w:r w:rsidR="00E10ED9" w:rsidRPr="00E10ED9">
        <w:rPr>
          <w:sz w:val="24"/>
          <w:lang w:val="bg-BG"/>
        </w:rPr>
        <w:t xml:space="preserve"> </w:t>
      </w:r>
      <w:r w:rsidR="00E10ED9" w:rsidRPr="00E10ED9">
        <w:rPr>
          <w:sz w:val="24"/>
          <w:lang w:val="bg-BG"/>
        </w:rPr>
        <w:tab/>
      </w:r>
      <w:r w:rsidRPr="00E10ED9">
        <w:rPr>
          <w:sz w:val="24"/>
          <w:lang w:val="bg-BG"/>
        </w:rPr>
        <w:t xml:space="preserve">ОВ C, C/2024/4182, 2.8.2024 г., ELI: </w:t>
      </w:r>
      <w:hyperlink r:id="rId1" w:history="1">
        <w:r w:rsidRPr="00E10ED9">
          <w:rPr>
            <w:rStyle w:val="Hyperlink"/>
            <w:sz w:val="24"/>
            <w:lang w:val="bg-BG"/>
          </w:rPr>
          <w:t>http://data.europa.eu/eli/C/2024/4182/oj</w:t>
        </w:r>
      </w:hyperlink>
      <w:r w:rsidRPr="00E10ED9">
        <w:rPr>
          <w:sz w:val="24"/>
          <w:lang w:val="bg-BG"/>
        </w:rPr>
        <w:t>.</w:t>
      </w:r>
    </w:p>
  </w:footnote>
  <w:footnote w:id="2">
    <w:p w14:paraId="42F6C891" w14:textId="4F305BDC" w:rsidR="001F73F4" w:rsidRPr="00E10ED9" w:rsidRDefault="001F73F4" w:rsidP="00E10ED9">
      <w:pPr>
        <w:pStyle w:val="FootnoteText"/>
        <w:ind w:left="567" w:hanging="567"/>
        <w:rPr>
          <w:sz w:val="24"/>
          <w:lang w:val="bg-BG"/>
        </w:rPr>
      </w:pPr>
      <w:r w:rsidRPr="00E10ED9">
        <w:rPr>
          <w:rStyle w:val="FootnoteReference"/>
          <w:sz w:val="24"/>
          <w:lang w:val="bg-BG"/>
        </w:rPr>
        <w:footnoteRef/>
      </w:r>
      <w:r w:rsidR="00E10ED9" w:rsidRPr="00E10ED9">
        <w:rPr>
          <w:sz w:val="24"/>
          <w:lang w:val="bg-BG"/>
        </w:rPr>
        <w:t xml:space="preserve"> </w:t>
      </w:r>
      <w:r w:rsidR="00E10ED9" w:rsidRPr="00E10ED9">
        <w:rPr>
          <w:sz w:val="24"/>
          <w:lang w:val="bg-BG"/>
        </w:rPr>
        <w:tab/>
      </w:r>
      <w:proofErr w:type="spellStart"/>
      <w:r w:rsidRPr="00E10ED9">
        <w:rPr>
          <w:sz w:val="24"/>
          <w:lang w:val="bg-BG"/>
        </w:rPr>
        <w:t>Katsinis</w:t>
      </w:r>
      <w:proofErr w:type="spellEnd"/>
      <w:r w:rsidRPr="00E10ED9">
        <w:rPr>
          <w:sz w:val="24"/>
          <w:lang w:val="bg-BG"/>
        </w:rPr>
        <w:t xml:space="preserve">, A., </w:t>
      </w:r>
      <w:proofErr w:type="spellStart"/>
      <w:r w:rsidRPr="00E10ED9">
        <w:rPr>
          <w:sz w:val="24"/>
          <w:lang w:val="bg-BG"/>
        </w:rPr>
        <w:t>Lagüera-González</w:t>
      </w:r>
      <w:proofErr w:type="spellEnd"/>
      <w:r w:rsidRPr="00E10ED9">
        <w:rPr>
          <w:sz w:val="24"/>
          <w:lang w:val="bg-BG"/>
        </w:rPr>
        <w:t xml:space="preserve">, J., Di </w:t>
      </w:r>
      <w:proofErr w:type="spellStart"/>
      <w:r w:rsidRPr="00E10ED9">
        <w:rPr>
          <w:sz w:val="24"/>
          <w:lang w:val="bg-BG"/>
        </w:rPr>
        <w:t>Bella</w:t>
      </w:r>
      <w:proofErr w:type="spellEnd"/>
      <w:r w:rsidRPr="00E10ED9">
        <w:rPr>
          <w:sz w:val="24"/>
          <w:lang w:val="bg-BG"/>
        </w:rPr>
        <w:t xml:space="preserve">, L., </w:t>
      </w:r>
      <w:proofErr w:type="spellStart"/>
      <w:r w:rsidRPr="00E10ED9">
        <w:rPr>
          <w:sz w:val="24"/>
          <w:lang w:val="bg-BG"/>
        </w:rPr>
        <w:t>Odenthal</w:t>
      </w:r>
      <w:proofErr w:type="spellEnd"/>
      <w:r w:rsidRPr="00E10ED9">
        <w:rPr>
          <w:sz w:val="24"/>
          <w:lang w:val="bg-BG"/>
        </w:rPr>
        <w:t xml:space="preserve">, L., </w:t>
      </w:r>
      <w:proofErr w:type="spellStart"/>
      <w:r w:rsidRPr="00E10ED9">
        <w:rPr>
          <w:sz w:val="24"/>
          <w:lang w:val="bg-BG"/>
        </w:rPr>
        <w:t>Hell</w:t>
      </w:r>
      <w:proofErr w:type="spellEnd"/>
      <w:r w:rsidRPr="00E10ED9">
        <w:rPr>
          <w:sz w:val="24"/>
          <w:lang w:val="bg-BG"/>
        </w:rPr>
        <w:t xml:space="preserve">, M., </w:t>
      </w:r>
      <w:proofErr w:type="spellStart"/>
      <w:r w:rsidRPr="00E10ED9">
        <w:rPr>
          <w:sz w:val="24"/>
          <w:lang w:val="bg-BG"/>
        </w:rPr>
        <w:t>et</w:t>
      </w:r>
      <w:proofErr w:type="spellEnd"/>
      <w:r w:rsidRPr="00E10ED9">
        <w:rPr>
          <w:sz w:val="24"/>
          <w:lang w:val="bg-BG"/>
        </w:rPr>
        <w:t xml:space="preserve"> </w:t>
      </w:r>
      <w:proofErr w:type="spellStart"/>
      <w:r w:rsidRPr="00E10ED9">
        <w:rPr>
          <w:sz w:val="24"/>
          <w:lang w:val="bg-BG"/>
        </w:rPr>
        <w:t>al</w:t>
      </w:r>
      <w:proofErr w:type="spellEnd"/>
      <w:r w:rsidRPr="00E10ED9">
        <w:rPr>
          <w:sz w:val="24"/>
          <w:lang w:val="bg-BG"/>
        </w:rPr>
        <w:t>., „</w:t>
      </w:r>
      <w:proofErr w:type="spellStart"/>
      <w:r w:rsidRPr="00E10ED9">
        <w:rPr>
          <w:sz w:val="24"/>
          <w:lang w:val="bg-BG"/>
        </w:rPr>
        <w:t>Annual</w:t>
      </w:r>
      <w:proofErr w:type="spellEnd"/>
      <w:r w:rsidRPr="00E10ED9">
        <w:rPr>
          <w:sz w:val="24"/>
          <w:lang w:val="bg-BG"/>
        </w:rPr>
        <w:t xml:space="preserve"> </w:t>
      </w:r>
      <w:proofErr w:type="spellStart"/>
      <w:r w:rsidRPr="00E10ED9">
        <w:rPr>
          <w:sz w:val="24"/>
          <w:lang w:val="bg-BG"/>
        </w:rPr>
        <w:t>Report</w:t>
      </w:r>
      <w:proofErr w:type="spellEnd"/>
      <w:r w:rsidRPr="00E10ED9">
        <w:rPr>
          <w:sz w:val="24"/>
          <w:lang w:val="bg-BG"/>
        </w:rPr>
        <w:t xml:space="preserve"> </w:t>
      </w:r>
      <w:proofErr w:type="spellStart"/>
      <w:r w:rsidRPr="00E10ED9">
        <w:rPr>
          <w:sz w:val="24"/>
          <w:lang w:val="bg-BG"/>
        </w:rPr>
        <w:t>on</w:t>
      </w:r>
      <w:proofErr w:type="spellEnd"/>
      <w:r w:rsidRPr="00E10ED9">
        <w:rPr>
          <w:sz w:val="24"/>
          <w:lang w:val="bg-BG"/>
        </w:rPr>
        <w:t xml:space="preserve"> </w:t>
      </w:r>
      <w:proofErr w:type="spellStart"/>
      <w:r w:rsidRPr="00E10ED9">
        <w:rPr>
          <w:sz w:val="24"/>
          <w:lang w:val="bg-BG"/>
        </w:rPr>
        <w:t>European</w:t>
      </w:r>
      <w:proofErr w:type="spellEnd"/>
      <w:r w:rsidRPr="00E10ED9">
        <w:rPr>
          <w:sz w:val="24"/>
          <w:lang w:val="bg-BG"/>
        </w:rPr>
        <w:t xml:space="preserve"> </w:t>
      </w:r>
      <w:proofErr w:type="spellStart"/>
      <w:r w:rsidRPr="00E10ED9">
        <w:rPr>
          <w:sz w:val="24"/>
          <w:lang w:val="bg-BG"/>
        </w:rPr>
        <w:t>SMEs</w:t>
      </w:r>
      <w:proofErr w:type="spellEnd"/>
      <w:r w:rsidRPr="00E10ED9">
        <w:rPr>
          <w:sz w:val="24"/>
          <w:lang w:val="bg-BG"/>
        </w:rPr>
        <w:t xml:space="preserve"> 2023/2024“ (Годишен доклад относно европейските МСП за периода 2023 – 2024 г.), Служба за публикации на Европейския съюз, 2024 г.,</w:t>
      </w:r>
      <w:r w:rsidRPr="00E10ED9">
        <w:rPr>
          <w:color w:val="0000FF"/>
          <w:sz w:val="24"/>
          <w:u w:val="single"/>
          <w:lang w:val="bg-BG"/>
        </w:rPr>
        <w:t xml:space="preserve"> </w:t>
      </w:r>
      <w:hyperlink r:id="rId2" w:history="1">
        <w:r w:rsidRPr="00E10ED9">
          <w:rPr>
            <w:rStyle w:val="Hyperlink"/>
            <w:sz w:val="24"/>
            <w:lang w:val="bg-BG"/>
          </w:rPr>
          <w:t>https://single-market-economy.ec.europa.eu/document/download/2bef0eda-2f75-497d-982e-c0d1cea57c0e_en?filename=Annual%20Report%20on%20European%20SMEs%202024.pdf</w:t>
        </w:r>
      </w:hyperlink>
      <w:r w:rsidRPr="00E10ED9">
        <w:rPr>
          <w:color w:val="0000FF"/>
          <w:sz w:val="24"/>
          <w:u w:val="single"/>
          <w:lang w:val="bg-BG"/>
        </w:rPr>
        <w:t>.</w:t>
      </w:r>
    </w:p>
  </w:footnote>
  <w:footnote w:id="3">
    <w:p w14:paraId="10793C85" w14:textId="0B661CC0" w:rsidR="001F73F4" w:rsidRPr="00E10ED9" w:rsidRDefault="001F73F4" w:rsidP="00E10ED9">
      <w:pPr>
        <w:ind w:left="567" w:hanging="567"/>
      </w:pPr>
      <w:r w:rsidRPr="00E10ED9">
        <w:rPr>
          <w:rStyle w:val="FootnoteReference"/>
        </w:rPr>
        <w:footnoteRef/>
      </w:r>
      <w:r w:rsidR="00E10ED9" w:rsidRPr="00E10ED9">
        <w:t xml:space="preserve"> </w:t>
      </w:r>
      <w:r w:rsidR="00E10ED9" w:rsidRPr="00E10ED9">
        <w:tab/>
      </w:r>
      <w:proofErr w:type="spellStart"/>
      <w:r w:rsidRPr="00E10ED9">
        <w:t>Draghi</w:t>
      </w:r>
      <w:proofErr w:type="spellEnd"/>
      <w:r w:rsidRPr="00E10ED9">
        <w:t>, Mario, „</w:t>
      </w:r>
      <w:proofErr w:type="spellStart"/>
      <w:r w:rsidRPr="00E10ED9">
        <w:t>The</w:t>
      </w:r>
      <w:proofErr w:type="spellEnd"/>
      <w:r w:rsidRPr="00E10ED9">
        <w:t xml:space="preserve"> </w:t>
      </w:r>
      <w:proofErr w:type="spellStart"/>
      <w:r w:rsidRPr="00E10ED9">
        <w:t>Future</w:t>
      </w:r>
      <w:proofErr w:type="spellEnd"/>
      <w:r w:rsidRPr="00E10ED9">
        <w:t xml:space="preserve"> </w:t>
      </w:r>
      <w:proofErr w:type="spellStart"/>
      <w:r w:rsidRPr="00E10ED9">
        <w:t>of</w:t>
      </w:r>
      <w:proofErr w:type="spellEnd"/>
      <w:r w:rsidRPr="00E10ED9">
        <w:t xml:space="preserve"> </w:t>
      </w:r>
      <w:proofErr w:type="spellStart"/>
      <w:r w:rsidRPr="00E10ED9">
        <w:t>European</w:t>
      </w:r>
      <w:proofErr w:type="spellEnd"/>
      <w:r w:rsidRPr="00E10ED9">
        <w:t xml:space="preserve"> </w:t>
      </w:r>
      <w:proofErr w:type="spellStart"/>
      <w:r w:rsidRPr="00E10ED9">
        <w:t>Competitiveness</w:t>
      </w:r>
      <w:proofErr w:type="spellEnd"/>
      <w:r w:rsidRPr="00E10ED9">
        <w:t xml:space="preserve"> – A </w:t>
      </w:r>
      <w:proofErr w:type="spellStart"/>
      <w:r w:rsidRPr="00E10ED9">
        <w:t>Competitiveness</w:t>
      </w:r>
      <w:proofErr w:type="spellEnd"/>
      <w:r w:rsidRPr="00E10ED9">
        <w:t xml:space="preserve"> </w:t>
      </w:r>
      <w:proofErr w:type="spellStart"/>
      <w:r w:rsidRPr="00E10ED9">
        <w:t>Strategy</w:t>
      </w:r>
      <w:proofErr w:type="spellEnd"/>
      <w:r w:rsidRPr="00E10ED9">
        <w:t xml:space="preserve"> </w:t>
      </w:r>
      <w:proofErr w:type="spellStart"/>
      <w:r w:rsidRPr="00E10ED9">
        <w:t>for</w:t>
      </w:r>
      <w:proofErr w:type="spellEnd"/>
      <w:r w:rsidRPr="00E10ED9">
        <w:t xml:space="preserve"> </w:t>
      </w:r>
      <w:proofErr w:type="spellStart"/>
      <w:r w:rsidRPr="00E10ED9">
        <w:t>Europe</w:t>
      </w:r>
      <w:proofErr w:type="spellEnd"/>
      <w:r w:rsidRPr="00E10ED9">
        <w:t>“ (Бъдещето на европейската конкурентоспособност – Стратегия за конкурентоспособност за Европа), 2024 г.,</w:t>
      </w:r>
      <w:r w:rsidRPr="00E10ED9">
        <w:rPr>
          <w:color w:val="0000FF"/>
          <w:u w:val="single" w:color="0000FF"/>
        </w:rPr>
        <w:t xml:space="preserve"> </w:t>
      </w:r>
      <w:hyperlink r:id="rId3" w:history="1">
        <w:r w:rsidRPr="00E10ED9">
          <w:rPr>
            <w:rStyle w:val="Hyperlink"/>
          </w:rPr>
          <w:t>https://commission.europa.eu/document/97e481fd-2dc3-412d-be4c-f152a8232961_en</w:t>
        </w:r>
      </w:hyperlink>
      <w:r w:rsidRPr="00E10ED9">
        <w:t>.</w:t>
      </w:r>
    </w:p>
  </w:footnote>
  <w:footnote w:id="4">
    <w:p w14:paraId="161365A1" w14:textId="5BBACAD1" w:rsidR="001F73F4" w:rsidRPr="00E10ED9" w:rsidRDefault="001F73F4" w:rsidP="00E10ED9">
      <w:pPr>
        <w:pStyle w:val="FootnoteText"/>
        <w:ind w:left="567" w:hanging="567"/>
        <w:rPr>
          <w:sz w:val="24"/>
          <w:lang w:val="bg-BG"/>
        </w:rPr>
      </w:pPr>
      <w:r w:rsidRPr="00E10ED9">
        <w:rPr>
          <w:rStyle w:val="FootnoteReference"/>
          <w:sz w:val="24"/>
          <w:lang w:val="bg-BG"/>
        </w:rPr>
        <w:footnoteRef/>
      </w:r>
      <w:bookmarkStart w:id="7" w:name="_Hlk210313079"/>
      <w:r w:rsidR="00E10ED9" w:rsidRPr="00E10ED9">
        <w:rPr>
          <w:sz w:val="24"/>
          <w:lang w:val="bg-BG"/>
        </w:rPr>
        <w:t xml:space="preserve"> </w:t>
      </w:r>
      <w:r w:rsidR="00E10ED9" w:rsidRPr="00E10ED9">
        <w:rPr>
          <w:sz w:val="24"/>
          <w:lang w:val="bg-BG"/>
        </w:rPr>
        <w:tab/>
      </w:r>
      <w:r w:rsidRPr="00E10ED9">
        <w:rPr>
          <w:sz w:val="24"/>
          <w:lang w:val="bg-BG"/>
        </w:rPr>
        <w:t xml:space="preserve">Актът за допускането до търговия се състои от Регламент (ЕС) 2024/2809 на Европейския парламент и на Съвета от 23 октомври 2024 г. за изменение на регламенти (ЕС) 2017/1129, (ЕС) № 596/2014 и (ЕС) № 600/2014 с цел повишаване на привлекателността на публичните капиталови пазари в Съюза за дружествата и улесняване на достъпа до капитал за малките и средните предприятия (ОВ L, 2024/2809, 14.11.2024 г., ELI: </w:t>
      </w:r>
      <w:hyperlink r:id="rId4" w:history="1">
        <w:r w:rsidRPr="00E10ED9">
          <w:rPr>
            <w:rStyle w:val="Hyperlink"/>
            <w:sz w:val="24"/>
            <w:lang w:val="bg-BG"/>
          </w:rPr>
          <w:t>http://data.europa.eu/eli/reg/2024/2809/oj</w:t>
        </w:r>
      </w:hyperlink>
      <w:r w:rsidRPr="00E10ED9">
        <w:rPr>
          <w:sz w:val="24"/>
          <w:lang w:val="bg-BG"/>
        </w:rPr>
        <w:t xml:space="preserve">), Директива (ЕС) 2024/2810 на Европейския парламент и на Съвета от 23 октомври 2024 г. относно структурите с акции с право на повече гласове в дружествата, които кандидатстват акциите им да бъдат допуснати до търговия на многостранна система за търговия (ОВ L, 2024/2810, 14.11.2024 г., ELI: </w:t>
      </w:r>
      <w:hyperlink r:id="rId5" w:history="1">
        <w:r w:rsidRPr="00E10ED9">
          <w:rPr>
            <w:rStyle w:val="Hyperlink"/>
            <w:sz w:val="24"/>
            <w:lang w:val="bg-BG"/>
          </w:rPr>
          <w:t>http://data.europa.eu/eli/dir/2024/2810/oj</w:t>
        </w:r>
      </w:hyperlink>
      <w:r w:rsidRPr="00E10ED9">
        <w:rPr>
          <w:sz w:val="24"/>
          <w:lang w:val="bg-BG"/>
        </w:rPr>
        <w:t xml:space="preserve">) и Директива (ЕС) 2024/2811 на Европейския парламент и на Съвета от 23 октомври 2024 г. за изменение на Директива 2014/65/ЕС с цел повишаване на привлекателността на публичните капиталови пазари в Съюза за дружествата и улесняване на достъпа до капитал за малките и средните предприятия и за отмяна на Директива 2001/34/ЕО (ОВ L, 2024/2811, 14.11.2024 г., ELI: </w:t>
      </w:r>
      <w:hyperlink r:id="rId6" w:history="1">
        <w:r w:rsidRPr="00E10ED9">
          <w:rPr>
            <w:rStyle w:val="Hyperlink"/>
            <w:sz w:val="24"/>
            <w:lang w:val="bg-BG"/>
          </w:rPr>
          <w:t>http://data.europa.eu/eli/dir/2024/2811/oj</w:t>
        </w:r>
      </w:hyperlink>
      <w:r w:rsidRPr="00E10ED9">
        <w:rPr>
          <w:sz w:val="24"/>
          <w:lang w:val="bg-BG"/>
        </w:rPr>
        <w:t>).</w:t>
      </w:r>
      <w:bookmarkEnd w:id="7"/>
    </w:p>
  </w:footnote>
  <w:footnote w:id="5">
    <w:p w14:paraId="012E8485" w14:textId="2EB263BA" w:rsidR="001F73F4" w:rsidRPr="00E10ED9" w:rsidRDefault="001F73F4" w:rsidP="00E10ED9">
      <w:pPr>
        <w:pStyle w:val="FootnoteText"/>
        <w:ind w:left="567" w:hanging="567"/>
        <w:rPr>
          <w:sz w:val="24"/>
          <w:lang w:val="bg-BG"/>
        </w:rPr>
      </w:pPr>
      <w:r w:rsidRPr="00E10ED9">
        <w:rPr>
          <w:rStyle w:val="FootnoteReference"/>
          <w:sz w:val="24"/>
          <w:lang w:val="bg-BG"/>
        </w:rPr>
        <w:footnoteRef/>
      </w:r>
      <w:r w:rsidR="00E10ED9" w:rsidRPr="00E10ED9">
        <w:rPr>
          <w:sz w:val="24"/>
          <w:lang w:val="bg-BG"/>
        </w:rPr>
        <w:t xml:space="preserve"> </w:t>
      </w:r>
      <w:r w:rsidR="00E10ED9" w:rsidRPr="00E10ED9">
        <w:rPr>
          <w:sz w:val="24"/>
          <w:lang w:val="bg-BG"/>
        </w:rPr>
        <w:tab/>
      </w:r>
      <w:r w:rsidRPr="00E10ED9">
        <w:rPr>
          <w:sz w:val="24"/>
          <w:lang w:val="bg-BG"/>
        </w:rPr>
        <w:t xml:space="preserve">Регламент (ЕС) № 345/2013 на Европейския парламент и на Съвета от 17 април 2013 г. относно европейските фондове за рисков капитал (ОВ L 115, 25.4.2013 г., стр. 1, ELI: </w:t>
      </w:r>
      <w:hyperlink r:id="rId7" w:history="1">
        <w:r w:rsidRPr="00E10ED9">
          <w:rPr>
            <w:rStyle w:val="Hyperlink"/>
            <w:sz w:val="24"/>
            <w:lang w:val="bg-BG"/>
          </w:rPr>
          <w:t>http://data.europa.eu/eli/reg/2013/345/oj</w:t>
        </w:r>
      </w:hyperlink>
      <w:r w:rsidRPr="00E10ED9">
        <w:rPr>
          <w:sz w:val="24"/>
          <w:lang w:val="bg-BG"/>
        </w:rPr>
        <w:t>).</w:t>
      </w:r>
    </w:p>
  </w:footnote>
  <w:footnote w:id="6">
    <w:p w14:paraId="709E8A2D" w14:textId="3A7C8C3F" w:rsidR="001F73F4" w:rsidRPr="00E10ED9" w:rsidRDefault="001F73F4" w:rsidP="00E10ED9">
      <w:pPr>
        <w:pStyle w:val="FootnoteText"/>
        <w:ind w:left="567" w:hanging="567"/>
        <w:rPr>
          <w:sz w:val="24"/>
          <w:lang w:val="bg-BG"/>
        </w:rPr>
      </w:pPr>
      <w:r w:rsidRPr="00E10ED9">
        <w:rPr>
          <w:rStyle w:val="FootnoteReference"/>
          <w:sz w:val="24"/>
          <w:lang w:val="bg-BG"/>
        </w:rPr>
        <w:footnoteRef/>
      </w:r>
      <w:r w:rsidR="00E10ED9" w:rsidRPr="00E10ED9">
        <w:rPr>
          <w:sz w:val="24"/>
          <w:lang w:val="bg-BG"/>
        </w:rPr>
        <w:t xml:space="preserve"> </w:t>
      </w:r>
      <w:r w:rsidR="00E10ED9" w:rsidRPr="00E10ED9">
        <w:rPr>
          <w:sz w:val="24"/>
          <w:lang w:val="bg-BG"/>
        </w:rPr>
        <w:tab/>
      </w:r>
      <w:r w:rsidRPr="00E10ED9">
        <w:rPr>
          <w:sz w:val="24"/>
          <w:lang w:val="bg-BG"/>
        </w:rPr>
        <w:t xml:space="preserve">Директива 2014/65/ЕС на Европейския парламент и на Съвета от 15 май 2014 г. относно пазарите на финансови инструменти и за изменение на Директива 2002/92/ЕО и на Директива 2011/61/ЕС (ОВ L 173, 12.6.2014 г., стр. 349, ELI: </w:t>
      </w:r>
      <w:hyperlink r:id="rId8" w:history="1">
        <w:r w:rsidRPr="00E10ED9">
          <w:rPr>
            <w:rStyle w:val="Hyperlink"/>
            <w:sz w:val="24"/>
            <w:lang w:val="bg-BG"/>
          </w:rPr>
          <w:t>http://data.europa.eu/eli/dir/2014/65/oj</w:t>
        </w:r>
      </w:hyperlink>
      <w:r w:rsidRPr="00E10ED9">
        <w:rPr>
          <w:sz w:val="24"/>
          <w:lang w:val="bg-BG"/>
        </w:rPr>
        <w:t>).</w:t>
      </w:r>
    </w:p>
  </w:footnote>
  <w:footnote w:id="7">
    <w:p w14:paraId="0D27D278" w14:textId="11D13CDC" w:rsidR="001F73F4" w:rsidRPr="00E10ED9" w:rsidRDefault="001F73F4" w:rsidP="00E10ED9">
      <w:pPr>
        <w:pStyle w:val="FootnoteText"/>
        <w:ind w:left="567" w:hanging="567"/>
        <w:rPr>
          <w:sz w:val="24"/>
          <w:lang w:val="bg-BG"/>
        </w:rPr>
      </w:pPr>
      <w:r w:rsidRPr="00E10ED9">
        <w:rPr>
          <w:rStyle w:val="FootnoteReference"/>
          <w:sz w:val="24"/>
          <w:lang w:val="bg-BG"/>
        </w:rPr>
        <w:footnoteRef/>
      </w:r>
      <w:r w:rsidR="00E10ED9" w:rsidRPr="00E10ED9">
        <w:rPr>
          <w:sz w:val="24"/>
          <w:lang w:val="bg-BG"/>
        </w:rPr>
        <w:t xml:space="preserve"> </w:t>
      </w:r>
      <w:r w:rsidR="00E10ED9" w:rsidRPr="00E10ED9">
        <w:rPr>
          <w:sz w:val="24"/>
          <w:lang w:val="bg-BG"/>
        </w:rPr>
        <w:tab/>
      </w:r>
      <w:proofErr w:type="spellStart"/>
      <w:r w:rsidRPr="00E10ED9">
        <w:rPr>
          <w:sz w:val="24"/>
          <w:lang w:val="bg-BG"/>
        </w:rPr>
        <w:t>Katsinis</w:t>
      </w:r>
      <w:proofErr w:type="spellEnd"/>
      <w:r w:rsidRPr="00E10ED9">
        <w:rPr>
          <w:sz w:val="24"/>
          <w:lang w:val="bg-BG"/>
        </w:rPr>
        <w:t xml:space="preserve">, A., </w:t>
      </w:r>
      <w:proofErr w:type="spellStart"/>
      <w:r w:rsidRPr="00E10ED9">
        <w:rPr>
          <w:sz w:val="24"/>
          <w:lang w:val="bg-BG"/>
        </w:rPr>
        <w:t>Lagüera-González</w:t>
      </w:r>
      <w:proofErr w:type="spellEnd"/>
      <w:r w:rsidRPr="00E10ED9">
        <w:rPr>
          <w:sz w:val="24"/>
          <w:lang w:val="bg-BG"/>
        </w:rPr>
        <w:t xml:space="preserve">, J., Di </w:t>
      </w:r>
      <w:proofErr w:type="spellStart"/>
      <w:r w:rsidRPr="00E10ED9">
        <w:rPr>
          <w:sz w:val="24"/>
          <w:lang w:val="bg-BG"/>
        </w:rPr>
        <w:t>Bella</w:t>
      </w:r>
      <w:proofErr w:type="spellEnd"/>
      <w:r w:rsidRPr="00E10ED9">
        <w:rPr>
          <w:sz w:val="24"/>
          <w:lang w:val="bg-BG"/>
        </w:rPr>
        <w:t xml:space="preserve">, L., </w:t>
      </w:r>
      <w:proofErr w:type="spellStart"/>
      <w:r w:rsidRPr="00E10ED9">
        <w:rPr>
          <w:sz w:val="24"/>
          <w:lang w:val="bg-BG"/>
        </w:rPr>
        <w:t>Odenthal</w:t>
      </w:r>
      <w:proofErr w:type="spellEnd"/>
      <w:r w:rsidRPr="00E10ED9">
        <w:rPr>
          <w:sz w:val="24"/>
          <w:lang w:val="bg-BG"/>
        </w:rPr>
        <w:t xml:space="preserve">, L., </w:t>
      </w:r>
      <w:proofErr w:type="spellStart"/>
      <w:r w:rsidRPr="00E10ED9">
        <w:rPr>
          <w:sz w:val="24"/>
          <w:lang w:val="bg-BG"/>
        </w:rPr>
        <w:t>Hell</w:t>
      </w:r>
      <w:proofErr w:type="spellEnd"/>
      <w:r w:rsidRPr="00E10ED9">
        <w:rPr>
          <w:sz w:val="24"/>
          <w:lang w:val="bg-BG"/>
        </w:rPr>
        <w:t xml:space="preserve">, M., </w:t>
      </w:r>
      <w:proofErr w:type="spellStart"/>
      <w:r w:rsidRPr="00E10ED9">
        <w:rPr>
          <w:sz w:val="24"/>
          <w:lang w:val="bg-BG"/>
        </w:rPr>
        <w:t>et</w:t>
      </w:r>
      <w:proofErr w:type="spellEnd"/>
      <w:r w:rsidRPr="00E10ED9">
        <w:rPr>
          <w:sz w:val="24"/>
          <w:lang w:val="bg-BG"/>
        </w:rPr>
        <w:t xml:space="preserve"> </w:t>
      </w:r>
      <w:proofErr w:type="spellStart"/>
      <w:r w:rsidRPr="00E10ED9">
        <w:rPr>
          <w:sz w:val="24"/>
          <w:lang w:val="bg-BG"/>
        </w:rPr>
        <w:t>al</w:t>
      </w:r>
      <w:proofErr w:type="spellEnd"/>
      <w:r w:rsidRPr="00E10ED9">
        <w:rPr>
          <w:sz w:val="24"/>
          <w:lang w:val="bg-BG"/>
        </w:rPr>
        <w:t>., „</w:t>
      </w:r>
      <w:proofErr w:type="spellStart"/>
      <w:r w:rsidRPr="00E10ED9">
        <w:rPr>
          <w:sz w:val="24"/>
          <w:lang w:val="bg-BG"/>
        </w:rPr>
        <w:t>Annual</w:t>
      </w:r>
      <w:proofErr w:type="spellEnd"/>
      <w:r w:rsidRPr="00E10ED9">
        <w:rPr>
          <w:sz w:val="24"/>
          <w:lang w:val="bg-BG"/>
        </w:rPr>
        <w:t xml:space="preserve"> </w:t>
      </w:r>
      <w:proofErr w:type="spellStart"/>
      <w:r w:rsidRPr="00E10ED9">
        <w:rPr>
          <w:sz w:val="24"/>
          <w:lang w:val="bg-BG"/>
        </w:rPr>
        <w:t>Report</w:t>
      </w:r>
      <w:proofErr w:type="spellEnd"/>
      <w:r w:rsidRPr="00E10ED9">
        <w:rPr>
          <w:sz w:val="24"/>
          <w:lang w:val="bg-BG"/>
        </w:rPr>
        <w:t xml:space="preserve"> </w:t>
      </w:r>
      <w:proofErr w:type="spellStart"/>
      <w:r w:rsidRPr="00E10ED9">
        <w:rPr>
          <w:sz w:val="24"/>
          <w:lang w:val="bg-BG"/>
        </w:rPr>
        <w:t>on</w:t>
      </w:r>
      <w:proofErr w:type="spellEnd"/>
      <w:r w:rsidRPr="00E10ED9">
        <w:rPr>
          <w:sz w:val="24"/>
          <w:lang w:val="bg-BG"/>
        </w:rPr>
        <w:t xml:space="preserve"> </w:t>
      </w:r>
      <w:proofErr w:type="spellStart"/>
      <w:r w:rsidRPr="00E10ED9">
        <w:rPr>
          <w:sz w:val="24"/>
          <w:lang w:val="bg-BG"/>
        </w:rPr>
        <w:t>European</w:t>
      </w:r>
      <w:proofErr w:type="spellEnd"/>
      <w:r w:rsidRPr="00E10ED9">
        <w:rPr>
          <w:sz w:val="24"/>
          <w:lang w:val="bg-BG"/>
        </w:rPr>
        <w:t xml:space="preserve"> </w:t>
      </w:r>
      <w:proofErr w:type="spellStart"/>
      <w:r w:rsidRPr="00E10ED9">
        <w:rPr>
          <w:sz w:val="24"/>
          <w:lang w:val="bg-BG"/>
        </w:rPr>
        <w:t>SMEs</w:t>
      </w:r>
      <w:proofErr w:type="spellEnd"/>
      <w:r w:rsidRPr="00E10ED9">
        <w:rPr>
          <w:sz w:val="24"/>
          <w:lang w:val="bg-BG"/>
        </w:rPr>
        <w:t xml:space="preserve"> 2023/2024“ (Годишен доклад относно европейските МСП за периода 2023 – 2024 г.), Служба за публикации на Европейския съюз, 2024 г.,</w:t>
      </w:r>
      <w:r w:rsidRPr="00E10ED9">
        <w:rPr>
          <w:color w:val="0000FF"/>
          <w:sz w:val="24"/>
          <w:u w:val="single"/>
          <w:lang w:val="bg-BG"/>
        </w:rPr>
        <w:t xml:space="preserve"> </w:t>
      </w:r>
      <w:hyperlink r:id="rId9" w:history="1">
        <w:r w:rsidRPr="00E10ED9">
          <w:rPr>
            <w:rStyle w:val="Hyperlink"/>
            <w:sz w:val="24"/>
            <w:lang w:val="bg-BG"/>
          </w:rPr>
          <w:t>https://single-market-economy.ec.europa.eu/document/download/2bef0eda-2f75-497d-982e-c0d1cea57c0e_en?filename=Annual%20Report%20on%20European%20SMEs%202024.pdf</w:t>
        </w:r>
      </w:hyperlink>
      <w:r w:rsidRPr="00E10ED9">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6841A" w14:textId="77777777" w:rsidR="00064002" w:rsidRPr="00E10E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6975C" w14:textId="77777777" w:rsidR="00064002" w:rsidRPr="00E10E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43D9" w14:textId="77777777" w:rsidR="00064002" w:rsidRPr="00E10E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9805752">
    <w:abstractNumId w:val="9"/>
  </w:num>
  <w:num w:numId="2" w16cid:durableId="1782141556">
    <w:abstractNumId w:val="9"/>
  </w:num>
  <w:num w:numId="3" w16cid:durableId="1267730168">
    <w:abstractNumId w:val="7"/>
  </w:num>
  <w:num w:numId="4" w16cid:durableId="1610358671">
    <w:abstractNumId w:val="7"/>
  </w:num>
  <w:num w:numId="5" w16cid:durableId="1511675246">
    <w:abstractNumId w:val="6"/>
  </w:num>
  <w:num w:numId="6" w16cid:durableId="1002463832">
    <w:abstractNumId w:val="6"/>
  </w:num>
  <w:num w:numId="7" w16cid:durableId="1139542134">
    <w:abstractNumId w:val="5"/>
  </w:num>
  <w:num w:numId="8" w16cid:durableId="2051492587">
    <w:abstractNumId w:val="5"/>
  </w:num>
  <w:num w:numId="9" w16cid:durableId="872159259">
    <w:abstractNumId w:val="4"/>
  </w:num>
  <w:num w:numId="10" w16cid:durableId="1536886930">
    <w:abstractNumId w:val="4"/>
  </w:num>
  <w:num w:numId="11" w16cid:durableId="441455809">
    <w:abstractNumId w:val="8"/>
  </w:num>
  <w:num w:numId="12" w16cid:durableId="412554798">
    <w:abstractNumId w:val="8"/>
  </w:num>
  <w:num w:numId="13" w16cid:durableId="651446944">
    <w:abstractNumId w:val="3"/>
  </w:num>
  <w:num w:numId="14" w16cid:durableId="1374963871">
    <w:abstractNumId w:val="3"/>
  </w:num>
  <w:num w:numId="15" w16cid:durableId="1600064823">
    <w:abstractNumId w:val="2"/>
  </w:num>
  <w:num w:numId="16" w16cid:durableId="1011488527">
    <w:abstractNumId w:val="2"/>
  </w:num>
  <w:num w:numId="17" w16cid:durableId="1423258052">
    <w:abstractNumId w:val="1"/>
  </w:num>
  <w:num w:numId="18" w16cid:durableId="246311649">
    <w:abstractNumId w:val="1"/>
  </w:num>
  <w:num w:numId="19" w16cid:durableId="1969163240">
    <w:abstractNumId w:val="0"/>
  </w:num>
  <w:num w:numId="20" w16cid:durableId="1930263677">
    <w:abstractNumId w:val="0"/>
  </w:num>
  <w:num w:numId="21" w16cid:durableId="946546053">
    <w:abstractNumId w:val="9"/>
  </w:num>
  <w:num w:numId="22" w16cid:durableId="868224458">
    <w:abstractNumId w:val="7"/>
  </w:num>
  <w:num w:numId="23" w16cid:durableId="999968094">
    <w:abstractNumId w:val="6"/>
  </w:num>
  <w:num w:numId="24" w16cid:durableId="964114887">
    <w:abstractNumId w:val="5"/>
  </w:num>
  <w:num w:numId="25" w16cid:durableId="1026129364">
    <w:abstractNumId w:val="4"/>
  </w:num>
  <w:num w:numId="26" w16cid:durableId="39134426">
    <w:abstractNumId w:val="8"/>
  </w:num>
  <w:num w:numId="27" w16cid:durableId="1478181574">
    <w:abstractNumId w:val="3"/>
  </w:num>
  <w:num w:numId="28" w16cid:durableId="764426245">
    <w:abstractNumId w:val="2"/>
  </w:num>
  <w:num w:numId="29" w16cid:durableId="1122262286">
    <w:abstractNumId w:val="1"/>
  </w:num>
  <w:num w:numId="30" w16cid:durableId="80029859">
    <w:abstractNumId w:val="0"/>
  </w:num>
  <w:num w:numId="31" w16cid:durableId="763258181">
    <w:abstractNumId w:val="9"/>
  </w:num>
  <w:num w:numId="32" w16cid:durableId="1807550105">
    <w:abstractNumId w:val="7"/>
  </w:num>
  <w:num w:numId="33" w16cid:durableId="1508136994">
    <w:abstractNumId w:val="6"/>
  </w:num>
  <w:num w:numId="34" w16cid:durableId="1517115365">
    <w:abstractNumId w:val="5"/>
  </w:num>
  <w:num w:numId="35" w16cid:durableId="384912396">
    <w:abstractNumId w:val="4"/>
  </w:num>
  <w:num w:numId="36" w16cid:durableId="1909531843">
    <w:abstractNumId w:val="8"/>
  </w:num>
  <w:num w:numId="37" w16cid:durableId="1538159067">
    <w:abstractNumId w:val="3"/>
  </w:num>
  <w:num w:numId="38" w16cid:durableId="473764128">
    <w:abstractNumId w:val="2"/>
  </w:num>
  <w:num w:numId="39" w16cid:durableId="2086486817">
    <w:abstractNumId w:val="1"/>
  </w:num>
  <w:num w:numId="40" w16cid:durableId="175850645">
    <w:abstractNumId w:val="0"/>
  </w:num>
  <w:num w:numId="41" w16cid:durableId="1340690819">
    <w:abstractNumId w:val="10"/>
  </w:num>
  <w:num w:numId="42" w16cid:durableId="1846558033">
    <w:abstractNumId w:val="10"/>
  </w:num>
  <w:num w:numId="43" w16cid:durableId="1465540518">
    <w:abstractNumId w:val="10"/>
  </w:num>
  <w:num w:numId="44" w16cid:durableId="9504746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BG"/>
    <w:docVar w:name="dvnumam" w:val="0"/>
    <w:docVar w:name="dvpe" w:val="772.123"/>
    <w:docVar w:name="dvrapporteur" w:val="Докладчик: "/>
    <w:docVar w:name="dvtitre" w:val="Резолюция на Европейския парламент от ... 2025 г. относно достъпа до финансиране за МСП и разрастващи се предприятия(2025/2072(INI))"/>
  </w:docVars>
  <w:rsids>
    <w:rsidRoot w:val="00B851D8"/>
    <w:rsid w:val="00002272"/>
    <w:rsid w:val="00064002"/>
    <w:rsid w:val="000677B9"/>
    <w:rsid w:val="000831BA"/>
    <w:rsid w:val="000A42CC"/>
    <w:rsid w:val="000E7DD9"/>
    <w:rsid w:val="0010095E"/>
    <w:rsid w:val="00125B37"/>
    <w:rsid w:val="00187494"/>
    <w:rsid w:val="001F32AE"/>
    <w:rsid w:val="001F73F4"/>
    <w:rsid w:val="002767FF"/>
    <w:rsid w:val="002B18FE"/>
    <w:rsid w:val="002B5493"/>
    <w:rsid w:val="00343214"/>
    <w:rsid w:val="0034616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429A"/>
    <w:rsid w:val="005F1B17"/>
    <w:rsid w:val="006037C0"/>
    <w:rsid w:val="006631B6"/>
    <w:rsid w:val="00680577"/>
    <w:rsid w:val="006F74FA"/>
    <w:rsid w:val="00731ADD"/>
    <w:rsid w:val="00734777"/>
    <w:rsid w:val="00747932"/>
    <w:rsid w:val="00751A4A"/>
    <w:rsid w:val="00756632"/>
    <w:rsid w:val="00762C74"/>
    <w:rsid w:val="00765A39"/>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51D8"/>
    <w:rsid w:val="00BD48FE"/>
    <w:rsid w:val="00BD7BD8"/>
    <w:rsid w:val="00BE6ADC"/>
    <w:rsid w:val="00C05BFE"/>
    <w:rsid w:val="00C23CD4"/>
    <w:rsid w:val="00C61C0C"/>
    <w:rsid w:val="00C941CB"/>
    <w:rsid w:val="00CC2357"/>
    <w:rsid w:val="00CF071A"/>
    <w:rsid w:val="00D058B8"/>
    <w:rsid w:val="00D56C11"/>
    <w:rsid w:val="00D67F07"/>
    <w:rsid w:val="00D834A0"/>
    <w:rsid w:val="00D872DF"/>
    <w:rsid w:val="00D91E21"/>
    <w:rsid w:val="00DA7FCD"/>
    <w:rsid w:val="00E10ED9"/>
    <w:rsid w:val="00E365E1"/>
    <w:rsid w:val="00E820A4"/>
    <w:rsid w:val="00EB006A"/>
    <w:rsid w:val="00EB4772"/>
    <w:rsid w:val="00ED169E"/>
    <w:rsid w:val="00ED4235"/>
    <w:rsid w:val="00EE293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936898"/>
  <w15:chartTrackingRefBased/>
  <w15:docId w15:val="{97D341A7-2713-49C6-9D2E-32030027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F73F4"/>
    <w:pPr>
      <w:spacing w:before="480" w:after="240"/>
    </w:pPr>
    <w:rPr>
      <w:snapToGrid w:val="0"/>
      <w:lang w:eastAsia="en-US"/>
    </w:rPr>
  </w:style>
  <w:style w:type="paragraph" w:customStyle="1" w:styleId="NormalHanging12a">
    <w:name w:val="NormalHanging12a"/>
    <w:basedOn w:val="Normal"/>
    <w:rsid w:val="001F73F4"/>
    <w:pPr>
      <w:widowControl/>
      <w:spacing w:after="240"/>
      <w:ind w:left="567" w:hanging="567"/>
    </w:pPr>
    <w:rPr>
      <w:snapToGrid w:val="0"/>
      <w:lang w:eastAsia="en-US"/>
    </w:rPr>
  </w:style>
  <w:style w:type="paragraph" w:customStyle="1" w:styleId="NormalCenter12a">
    <w:name w:val="NormalCenter12a"/>
    <w:basedOn w:val="Normal"/>
    <w:rsid w:val="001F73F4"/>
    <w:pPr>
      <w:spacing w:after="240"/>
      <w:jc w:val="center"/>
    </w:pPr>
  </w:style>
  <w:style w:type="character" w:customStyle="1" w:styleId="BoldItalic">
    <w:name w:val="BoldItalic"/>
    <w:uiPriority w:val="1"/>
    <w:rsid w:val="001F73F4"/>
    <w:rPr>
      <w:b/>
      <w:i/>
      <w:u w:val="none"/>
    </w:rPr>
  </w:style>
  <w:style w:type="character" w:customStyle="1" w:styleId="Italic">
    <w:name w:val="Italic"/>
    <w:uiPriority w:val="1"/>
    <w:rsid w:val="001F73F4"/>
    <w:rPr>
      <w:i/>
    </w:rPr>
  </w:style>
  <w:style w:type="paragraph" w:customStyle="1" w:styleId="Normal12a24b">
    <w:name w:val="Normal12a24b"/>
    <w:basedOn w:val="Normal"/>
    <w:rsid w:val="001F73F4"/>
    <w:pPr>
      <w:spacing w:before="360" w:after="240"/>
    </w:pPr>
    <w:rPr>
      <w:snapToGrid w:val="0"/>
      <w:lang w:eastAsia="en-US"/>
    </w:rPr>
  </w:style>
  <w:style w:type="character" w:styleId="Hyperlink">
    <w:name w:val="Hyperlink"/>
    <w:basedOn w:val="DefaultParagraphFont"/>
    <w:rsid w:val="001F73F4"/>
    <w:rPr>
      <w:color w:val="0000FF"/>
      <w:u w:val="single"/>
    </w:rPr>
  </w:style>
  <w:style w:type="paragraph" w:styleId="Revision">
    <w:name w:val="Revision"/>
    <w:hidden/>
    <w:uiPriority w:val="99"/>
    <w:semiHidden/>
    <w:rsid w:val="00D67F07"/>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4058</Words>
  <Characters>25044</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2025-11-26T11:50:00Z</dcterms:created>
  <dcterms:modified xsi:type="dcterms:W3CDTF">2025-11-26T11:50:00Z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A10-0185/2025</vt:lpwstr>
  </property>
  <property fmtid="{D5CDD505-2E9C-101B-9397-08002B2CF9AE}" pid="4" name="&lt;Type&gt;">
    <vt:lpwstr>RR</vt:lpwstr>
  </property>
</Properties>
</file>