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87B48" w14:paraId="73C1052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903B1C4" w14:textId="39AD79DF" w:rsidR="00751A4A" w:rsidRPr="00987B48" w:rsidRDefault="00F7625D" w:rsidP="0010095E">
            <w:pPr>
              <w:pStyle w:val="EPName"/>
            </w:pPr>
            <w:r w:rsidRPr="00987B48">
              <w:t>Evropský parlament</w:t>
            </w:r>
          </w:p>
          <w:p w14:paraId="4DC7A67C" w14:textId="77777777" w:rsidR="00751A4A" w:rsidRPr="00987B4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7B48">
              <w:t>2024</w:t>
            </w:r>
            <w:r w:rsidR="00817416" w:rsidRPr="00987B48">
              <w:t>-202</w:t>
            </w:r>
            <w:r w:rsidRPr="00987B48">
              <w:t>9</w:t>
            </w:r>
          </w:p>
        </w:tc>
        <w:tc>
          <w:tcPr>
            <w:tcW w:w="2268" w:type="dxa"/>
            <w:shd w:val="clear" w:color="auto" w:fill="auto"/>
          </w:tcPr>
          <w:p w14:paraId="7F4ACDAB" w14:textId="77777777" w:rsidR="00751A4A" w:rsidRPr="00987B48" w:rsidRDefault="00187494" w:rsidP="0010095E">
            <w:pPr>
              <w:pStyle w:val="EPLogo"/>
            </w:pPr>
            <w:r w:rsidRPr="00987B48">
              <w:rPr>
                <w:noProof/>
                <w:lang w:eastAsia="ja-JP"/>
              </w:rPr>
              <w:drawing>
                <wp:inline distT="0" distB="0" distL="0" distR="0" wp14:anchorId="7F369E57" wp14:editId="6D655A8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F019C3" w14:textId="77777777" w:rsidR="00D058B8" w:rsidRPr="00987B48" w:rsidRDefault="00D058B8" w:rsidP="004C5D52">
      <w:pPr>
        <w:pStyle w:val="LineTop"/>
      </w:pPr>
    </w:p>
    <w:p w14:paraId="6C193144" w14:textId="77D47D72" w:rsidR="00680577" w:rsidRPr="00987B48" w:rsidRDefault="00F7625D" w:rsidP="00680577">
      <w:pPr>
        <w:pStyle w:val="EPBodyTA1"/>
      </w:pPr>
      <w:r w:rsidRPr="00987B48">
        <w:t>PŘIJATÉ TEXTY</w:t>
      </w:r>
    </w:p>
    <w:p w14:paraId="1D83FF55" w14:textId="77777777" w:rsidR="00D058B8" w:rsidRPr="00987B48" w:rsidRDefault="00D058B8" w:rsidP="00D058B8">
      <w:pPr>
        <w:pStyle w:val="LineBottom"/>
      </w:pPr>
    </w:p>
    <w:p w14:paraId="32173E9F" w14:textId="72B744F2" w:rsidR="00F7625D" w:rsidRPr="00987B48" w:rsidRDefault="00F7625D" w:rsidP="00F7625D">
      <w:pPr>
        <w:pStyle w:val="ATHeading1"/>
      </w:pPr>
      <w:bookmarkStart w:id="0" w:name="TANumber"/>
      <w:r w:rsidRPr="00987B48">
        <w:t>P10_TA(2025)0</w:t>
      </w:r>
      <w:r w:rsidR="00CE6AD1">
        <w:t>300</w:t>
      </w:r>
      <w:bookmarkEnd w:id="0"/>
    </w:p>
    <w:p w14:paraId="1FE3D0BB" w14:textId="77777777" w:rsidR="00F7625D" w:rsidRPr="00987B48" w:rsidRDefault="00F7625D" w:rsidP="00F7625D">
      <w:pPr>
        <w:pStyle w:val="ATHeading2"/>
      </w:pPr>
      <w:bookmarkStart w:id="1" w:name="title"/>
      <w:r w:rsidRPr="00987B48">
        <w:t>Přístup k financování pro malé a střední podniky a scaleupy</w:t>
      </w:r>
      <w:bookmarkEnd w:id="1"/>
    </w:p>
    <w:p w14:paraId="4D632400" w14:textId="77777777" w:rsidR="00F7625D" w:rsidRPr="00987B48" w:rsidRDefault="00F7625D" w:rsidP="00F7625D">
      <w:pPr>
        <w:rPr>
          <w:i/>
          <w:vanish/>
        </w:rPr>
      </w:pPr>
      <w:r w:rsidRPr="00987B48">
        <w:rPr>
          <w:i/>
        </w:rPr>
        <w:fldChar w:fldCharType="begin"/>
      </w:r>
      <w:r w:rsidRPr="00987B48">
        <w:rPr>
          <w:i/>
        </w:rPr>
        <w:instrText xml:space="preserve"> TC"(</w:instrText>
      </w:r>
      <w:bookmarkStart w:id="2" w:name="DocNumber"/>
      <w:r w:rsidRPr="00987B48">
        <w:rPr>
          <w:i/>
        </w:rPr>
        <w:instrText>A10-0185/2025</w:instrText>
      </w:r>
      <w:bookmarkEnd w:id="2"/>
      <w:r w:rsidRPr="00987B48">
        <w:rPr>
          <w:i/>
        </w:rPr>
        <w:instrText xml:space="preserve"> - Zpravodaj: Jorge Martín Frías)"\l3 \n&gt; \* MERGEFORMAT </w:instrText>
      </w:r>
      <w:r w:rsidRPr="00987B48">
        <w:rPr>
          <w:i/>
        </w:rPr>
        <w:fldChar w:fldCharType="end"/>
      </w:r>
    </w:p>
    <w:p w14:paraId="730BCF0E" w14:textId="77777777" w:rsidR="00F7625D" w:rsidRPr="00987B48" w:rsidRDefault="00F7625D" w:rsidP="00F7625D">
      <w:pPr>
        <w:rPr>
          <w:vanish/>
        </w:rPr>
      </w:pPr>
      <w:bookmarkStart w:id="3" w:name="Commission"/>
      <w:r w:rsidRPr="00987B48">
        <w:rPr>
          <w:vanish/>
        </w:rPr>
        <w:t>Hospodářský a měnový výbor</w:t>
      </w:r>
      <w:bookmarkEnd w:id="3"/>
    </w:p>
    <w:p w14:paraId="7BC59639" w14:textId="77777777" w:rsidR="00F7625D" w:rsidRPr="00987B48" w:rsidRDefault="00F7625D" w:rsidP="00F7625D">
      <w:pPr>
        <w:rPr>
          <w:vanish/>
        </w:rPr>
      </w:pPr>
      <w:bookmarkStart w:id="4" w:name="PE"/>
      <w:r w:rsidRPr="00987B48">
        <w:rPr>
          <w:vanish/>
        </w:rPr>
        <w:t>PE772.123</w:t>
      </w:r>
      <w:bookmarkEnd w:id="4"/>
    </w:p>
    <w:p w14:paraId="42611649" w14:textId="67492BB0" w:rsidR="00F7625D" w:rsidRPr="00987B48" w:rsidRDefault="00F7625D" w:rsidP="00F7625D">
      <w:pPr>
        <w:pStyle w:val="ATHeading3"/>
      </w:pPr>
      <w:bookmarkStart w:id="5" w:name="Sujet"/>
      <w:r w:rsidRPr="0004144E">
        <w:t>Usnesení Evropského</w:t>
      </w:r>
      <w:r w:rsidRPr="00987B48">
        <w:t xml:space="preserve"> parlamentu ze dne</w:t>
      </w:r>
      <w:r w:rsidR="0004144E">
        <w:t xml:space="preserve"> </w:t>
      </w:r>
      <w:r w:rsidR="00CE6AD1">
        <w:t>26</w:t>
      </w:r>
      <w:r w:rsidR="0004144E">
        <w:t>. listopadu</w:t>
      </w:r>
      <w:r w:rsidRPr="00987B48">
        <w:t xml:space="preserve"> </w:t>
      </w:r>
      <w:r w:rsidRPr="001C01AC">
        <w:t xml:space="preserve">2025 </w:t>
      </w:r>
      <w:r w:rsidR="0004144E" w:rsidRPr="001C01AC">
        <w:t>o p</w:t>
      </w:r>
      <w:r w:rsidRPr="001C01AC">
        <w:t>řístup</w:t>
      </w:r>
      <w:r w:rsidR="0004144E" w:rsidRPr="001C01AC">
        <w:t>u</w:t>
      </w:r>
      <w:r w:rsidRPr="001C01AC">
        <w:t xml:space="preserve"> k</w:t>
      </w:r>
      <w:r w:rsidRPr="00987B48">
        <w:t> financování pro malé a střední podniky a scaleupy</w:t>
      </w:r>
      <w:bookmarkEnd w:id="5"/>
      <w:r w:rsidRPr="00987B48">
        <w:t xml:space="preserve"> </w:t>
      </w:r>
      <w:bookmarkStart w:id="6" w:name="References"/>
      <w:r w:rsidRPr="00987B48">
        <w:t>(2025/2072(INI))</w:t>
      </w:r>
      <w:bookmarkEnd w:id="6"/>
    </w:p>
    <w:p w14:paraId="21EEDAC4" w14:textId="77777777" w:rsidR="006D1A13" w:rsidRPr="00987B48" w:rsidRDefault="006D1A13" w:rsidP="006D1A13">
      <w:pPr>
        <w:pStyle w:val="EPComma"/>
      </w:pPr>
      <w:r w:rsidRPr="00987B48">
        <w:rPr>
          <w:rStyle w:val="Italic"/>
        </w:rPr>
        <w:t>Evropský parlament</w:t>
      </w:r>
      <w:r w:rsidRPr="00987B48">
        <w:t>,</w:t>
      </w:r>
    </w:p>
    <w:p w14:paraId="634B595B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sdělení Komise ze dne 29. ledna 2025 nazvané „Kompas konkurenceschopnosti pro EU“ (COM(2025)0030),</w:t>
      </w:r>
    </w:p>
    <w:p w14:paraId="5CAFF530" w14:textId="77777777" w:rsidR="006D1A13" w:rsidRPr="00987B48" w:rsidRDefault="006D1A13" w:rsidP="006D1A13">
      <w:pPr>
        <w:pStyle w:val="NormalHanging12a"/>
        <w:rPr>
          <w:snapToGrid/>
        </w:rPr>
      </w:pPr>
      <w:r w:rsidRPr="00987B48">
        <w:t>–</w:t>
      </w:r>
      <w:r w:rsidRPr="00987B48">
        <w:tab/>
        <w:t>s ohledem na sdělení Komise ze dne 28. května 2025 nazvané „Strategie EU pro startupy a scaleupy – Pro rozjezd a růst podnikání si zvolte Evropu“ (COM(2025)0270),</w:t>
      </w:r>
    </w:p>
    <w:p w14:paraId="655E1950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 ohledem na sdělení Komise ze dne 21. května 2025 nazvané „Jednotný trh: náš evropský domácí trh v nejistém světě – Strategie pro jednoduchý, hladce fungující a silný jednotný trh“ (COM(2025)0500),</w:t>
      </w:r>
    </w:p>
    <w:p w14:paraId="65FDFAF6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Budapešťské prohlášení přijaté dne 8. listopadu 2024 na neformálním setkání hlav států a předsedů vlád,</w:t>
      </w:r>
    </w:p>
    <w:p w14:paraId="5B919498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dokument ze dne 18. července 2024 s názvem „Volba Evropy – politické směry pro příští Evropskou komisi 2024–2029“, který zveřejnila předsedkyně Komise von der Leyenová,</w:t>
      </w:r>
    </w:p>
    <w:p w14:paraId="7AFE7444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zprávu Evropské centrální banky nazvanou „Survey on the Access to Finance of Enterprises in the euro area – First Quarter of 2025“ (Průzkum přístupu podniků v eurozóně k financování – první čtvrtletí roku 2025), která byla zveřejněna v dubnu 2025,</w:t>
      </w:r>
    </w:p>
    <w:p w14:paraId="0EBF47DF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sdělení Komise ze dne 19. března 2025 nazvané „Unie úspor a investic – strategie na podporu bohatství občanů a hospodářské konkurenceschopnosti v EU“ (COM(2025)0124),</w:t>
      </w:r>
    </w:p>
    <w:p w14:paraId="5B34F088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zprávu Komise nazvanou „Survey on the access to finance of enterprises (SAFE) – Analytical report 2024“ (Průzkum přístupu podniků k financování – analytická zpráva za rok 2024), která byla zveřejněna v lednu 2025,</w:t>
      </w:r>
    </w:p>
    <w:p w14:paraId="18FC65EE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zprávu Maria Draghiho s názvem „Budoucnost evropské konkurenceschopnosti“ (Draghiho zpráva), která byla zveřejněna v září 2024,</w:t>
      </w:r>
    </w:p>
    <w:p w14:paraId="25DF0ABE" w14:textId="77777777" w:rsidR="006D1A13" w:rsidRPr="00987B48" w:rsidRDefault="006D1A13" w:rsidP="006D1A13">
      <w:pPr>
        <w:pStyle w:val="NormalHanging12a"/>
      </w:pPr>
      <w:r w:rsidRPr="00987B48">
        <w:lastRenderedPageBreak/>
        <w:t>–</w:t>
      </w:r>
      <w:r w:rsidRPr="00987B48">
        <w:tab/>
        <w:t>s ohledem na zprávu Komise ze dne 25. července 2024 nazvanou „Výroční zpráva o evropských malých a středních podnicích 2023/2024“,</w:t>
      </w:r>
    </w:p>
    <w:p w14:paraId="78ABE619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zprávu Enrica Letty nazvanou „Mnohem více než jen trh“ (Lettova zpráva), která byla zveřejněna v dubnu 2024,</w:t>
      </w:r>
    </w:p>
    <w:p w14:paraId="75A74D6E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závěry mimořádného zasedání Evropské rady ve dnech 17. a 18. dubna 2024,</w:t>
      </w:r>
    </w:p>
    <w:p w14:paraId="2E527B02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své usnesení ze dne 14. prosince 2023 o posílení inovací a průmyslové a technologické konkurenceschopnosti díky příznivému prostředí pro začínající a rychle se rozvíjející podniky</w:t>
      </w:r>
      <w:r w:rsidRPr="00987B48">
        <w:rPr>
          <w:rStyle w:val="FootnoteReference"/>
        </w:rPr>
        <w:footnoteReference w:id="1"/>
      </w:r>
      <w:r w:rsidRPr="00987B48">
        <w:t>,</w:t>
      </w:r>
    </w:p>
    <w:p w14:paraId="2D45D3EB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sdělení Komise ze dne 12. září 2023 s názvem „Balíček opatření na pomoc malým a středním podnikům“ (COM(2023)0535),</w:t>
      </w:r>
    </w:p>
    <w:p w14:paraId="6ADFB031" w14:textId="77777777" w:rsidR="006D1A13" w:rsidRPr="00987B48" w:rsidRDefault="006D1A13" w:rsidP="006D1A13">
      <w:pPr>
        <w:pStyle w:val="NormalHanging12a"/>
      </w:pPr>
      <w:r w:rsidRPr="00987B48">
        <w:t>–</w:t>
      </w:r>
      <w:r w:rsidRPr="00987B48">
        <w:tab/>
        <w:t>s ohledem na článek 55 jednacího řádu,</w:t>
      </w:r>
    </w:p>
    <w:p w14:paraId="22772F21" w14:textId="77777777" w:rsidR="006D1A13" w:rsidRPr="00987B48" w:rsidRDefault="006D1A13" w:rsidP="006D1A13">
      <w:pPr>
        <w:pStyle w:val="NormalHanging12a"/>
        <w:rPr>
          <w:snapToGrid/>
        </w:rPr>
      </w:pPr>
      <w:r w:rsidRPr="00987B48">
        <w:t>–</w:t>
      </w:r>
      <w:r w:rsidRPr="00987B48">
        <w:tab/>
        <w:t>s ohledem na zprávu Hospodářského a měnového výboru (A10-0185/2025),</w:t>
      </w:r>
    </w:p>
    <w:p w14:paraId="5157CB0C" w14:textId="77777777" w:rsidR="006D1A13" w:rsidRPr="00987B48" w:rsidRDefault="006D1A13" w:rsidP="006D1A13">
      <w:pPr>
        <w:pStyle w:val="NormalHanging12a"/>
      </w:pPr>
      <w:r w:rsidRPr="00987B48">
        <w:t>A.</w:t>
      </w:r>
      <w:r w:rsidRPr="00987B48">
        <w:tab/>
        <w:t>vzhledem k tomu, že mikropodniky a malé a střední podniky představují páteř evropského podnikání, přičemž v roce 2023 představovaly v EU malé a střední podniky 99,8 % všech podniků, 65,2 % pracovních míst a 53,1 % přidané hodnoty v nefinančním podnikatelském sektoru</w:t>
      </w:r>
      <w:r w:rsidRPr="00987B48">
        <w:rPr>
          <w:rStyle w:val="FootnoteReference"/>
        </w:rPr>
        <w:footnoteReference w:id="2"/>
      </w:r>
      <w:r w:rsidRPr="00987B48">
        <w:t>;</w:t>
      </w:r>
    </w:p>
    <w:p w14:paraId="30155ED5" w14:textId="77777777" w:rsidR="006D1A13" w:rsidRPr="00987B48" w:rsidRDefault="006D1A13" w:rsidP="006D1A13">
      <w:pPr>
        <w:pStyle w:val="NormalHanging12a"/>
        <w:rPr>
          <w:snapToGrid/>
        </w:rPr>
      </w:pPr>
      <w:r w:rsidRPr="00987B48">
        <w:t>B.</w:t>
      </w:r>
      <w:r w:rsidRPr="00987B48">
        <w:tab/>
        <w:t>vzhledem k tomu, že EU jako celek – a zejména její největší ekonomiky – se v současné době potýká s pomalým hospodářským růstem a problémy, neboť společnosti ztrácejí konkurenceschopnost ve prospěch třetích zemí, což ještě zhoršily důsledky pandemie, energetická krize a agrese Ruska vůči Ukrajině, které postihly zejména malé a střední podniky a ekonomiky zemí podél východní hranice EU;</w:t>
      </w:r>
    </w:p>
    <w:p w14:paraId="3EE3D231" w14:textId="77777777" w:rsidR="006D1A13" w:rsidRPr="00987B48" w:rsidRDefault="006D1A13" w:rsidP="006D1A13">
      <w:pPr>
        <w:pStyle w:val="NormalHanging12a"/>
      </w:pPr>
      <w:r w:rsidRPr="00987B48">
        <w:t>C.</w:t>
      </w:r>
      <w:r w:rsidRPr="00987B48">
        <w:tab/>
        <w:t>vzhledem k tomu, že evropské malé a střední podniky se vzájemně liší co do rozsahu, odvětví působnosti, finančních potřeb, umístění, vlastnictví, obchodního modelu a inovační kapacity, a řeší proto rozdílné výzvy a potřeby financování, přičemž mají jen omezenou kapacitu se s nimi vypořádat; vzhledem k tomu, že většina evropských malých a středních podniků působí hlavně na vnitrostátní úrovni; vzhledem k tomu, že je poměrně málo malých a středních podniků, které vyvíjejí přeshraniční činnost v rámci EU, a těch, které vyvážejí za hranice Unie, je menšina;</w:t>
      </w:r>
    </w:p>
    <w:p w14:paraId="45038036" w14:textId="77777777" w:rsidR="006D1A13" w:rsidRPr="00987B48" w:rsidRDefault="006D1A13" w:rsidP="006D1A13">
      <w:pPr>
        <w:pStyle w:val="NormalHanging12a"/>
      </w:pPr>
      <w:r w:rsidRPr="00987B48">
        <w:t>D.</w:t>
      </w:r>
      <w:r w:rsidRPr="00987B48">
        <w:tab/>
        <w:t xml:space="preserve">vzhledem k tomu, že Draghiho zpráva uvádí, že regulační překážky a administrativní zátěž patří k největším výzvám, s nimiž se malé a střední podniky potýkají, přičemž předpisy týkající se podávání zpráv, většinou v rámci Zelené dohody pro Evropu, považuje více než 60 % podniků v EU za překážku pro investice a 55 % malých </w:t>
      </w:r>
      <w:r w:rsidRPr="00987B48">
        <w:lastRenderedPageBreak/>
        <w:t>a středních podniků uvedlo, že regulační překážky a administrativní zátěž jsou jejich největším problémem, zatímco jejich podíl je ještě vyšší u startupů a mikropodniků, a doporučuje, aby byly malé a střední podniky vyňaty z působnosti nařízení z důvodu proporcionality, kdy klíčem k jejich prosperitě jsou jednodušší, předvídatelnější a konkurenceschopnější regulační rámec a přezkum Zelené dohody pro Evropu;</w:t>
      </w:r>
    </w:p>
    <w:p w14:paraId="325A6C5D" w14:textId="77777777" w:rsidR="006D1A13" w:rsidRPr="00987B48" w:rsidRDefault="006D1A13" w:rsidP="006D1A13">
      <w:pPr>
        <w:pStyle w:val="NormalHanging12a"/>
      </w:pPr>
      <w:r w:rsidRPr="00987B48">
        <w:t>E.</w:t>
      </w:r>
      <w:r w:rsidRPr="00987B48">
        <w:tab/>
        <w:t>vzhledem k tomu, že Komise usiluje o zlepšení přístupu malých a středních podniků k financování s cílem zvýšit rozsah, snížit neefektivnost a podpořit interoperabilitu, stanovila cíl snížit alespoň o 35 % zátěž malých a středních podniků spojenou s podáváním zpráv a oznámila novou kontrolu konkurenceschopnosti malých a středních podniků při posuzování dopadů; vzhledem k tomu, že tyto iniciativy musí doprovázet dobře rozvinutý ekosystém rizikového kapitálu, přičemž je třeba mít na paměti, že institucionální investoři, jako jsou pojišťovny, významně přispívají k financování malých a středních podniků přenosem a přeměnou rizik, a také s ohledem na skutečnost, že na rozdíl od Spojených států pochází většina finančních prostředků v Evropské unii od bank a že mezi evropskou investiční kulturou a ostatními regiony světa, zejména pokud jde o rizikový kapitál a andělské investice, existují značné rozdíly; vzhledem k tomu, že tato situace činí malé a střední podniky obzvláště zranitelnými vůči zpřísnění bankovních úvěrů;</w:t>
      </w:r>
    </w:p>
    <w:p w14:paraId="51FBEFF8" w14:textId="77777777" w:rsidR="006D1A13" w:rsidRPr="00987B48" w:rsidRDefault="006D1A13" w:rsidP="006D1A13">
      <w:pPr>
        <w:pStyle w:val="NormalHanging12a"/>
      </w:pPr>
      <w:r w:rsidRPr="00987B48">
        <w:t>F.</w:t>
      </w:r>
      <w:r w:rsidRPr="00987B48">
        <w:tab/>
        <w:t>vzhledem k tomu, že Evropě chybí dynamičtější a příznivější prostředí pro rozšiřování inovativních společností a pro další investice a pokrok v oblasti digitální infrastruktury, což vede k tomu, že téměř 30 % „jednorožců“ se přemisťuje do zahraničí</w:t>
      </w:r>
      <w:r w:rsidRPr="00987B48">
        <w:rPr>
          <w:rStyle w:val="FootnoteReference"/>
        </w:rPr>
        <w:footnoteReference w:id="3"/>
      </w:r>
      <w:r w:rsidRPr="00987B48">
        <w:t>;</w:t>
      </w:r>
    </w:p>
    <w:p w14:paraId="4931E22C" w14:textId="77777777" w:rsidR="006D1A13" w:rsidRPr="00987B48" w:rsidRDefault="006D1A13" w:rsidP="006D1A13">
      <w:pPr>
        <w:pStyle w:val="NormalHanging12a"/>
      </w:pPr>
      <w:r w:rsidRPr="00987B48">
        <w:t>G.</w:t>
      </w:r>
      <w:r w:rsidRPr="00987B48">
        <w:tab/>
        <w:t>vzhledem k tomu, že Komise zveřejnila strategii pro startupy a scaleupy a zavedla různé iniciativy zaměřené na podporu podnikání, inovací a digitální transformace v EU, jako je právě strategie pro začínající a rozvíjející se podniky, ale i srovnávací přehled ekologických inovací, znalostní a inovační společenství, Evropská platforma spolupráce mezi klastry, program Digitální dekáda a strategie pro jednotný digitální trh, a rovněž programy financování zaměřené na inovace v dalších oblastech politiky;</w:t>
      </w:r>
    </w:p>
    <w:p w14:paraId="19BE8D1A" w14:textId="77777777" w:rsidR="006D1A13" w:rsidRPr="00987B48" w:rsidRDefault="006D1A13" w:rsidP="006D1A13">
      <w:pPr>
        <w:pStyle w:val="Normal12a24b"/>
      </w:pPr>
      <w:r w:rsidRPr="00987B48">
        <w:rPr>
          <w:rStyle w:val="BoldItalic"/>
        </w:rPr>
        <w:t>Obecné připomínky</w:t>
      </w:r>
    </w:p>
    <w:p w14:paraId="3E37CD20" w14:textId="77777777" w:rsidR="006D1A13" w:rsidRPr="00987B48" w:rsidRDefault="006D1A13" w:rsidP="006D1A13">
      <w:pPr>
        <w:pStyle w:val="NormalHanging12a"/>
      </w:pPr>
      <w:r w:rsidRPr="00987B48">
        <w:t>1.</w:t>
      </w:r>
      <w:r w:rsidRPr="00987B48">
        <w:tab/>
        <w:t>domnívá se, že vytvoření příznivých tržních podmínek pro to, aby evropské společnosti mohly inovovat, začínat podnikání, vytvářet hodnoty, růst a rozvíjet se v Evropě, má zásadní význam pro uvolnění plného potenciálu našeho trhu a pro zvýšení konkurenceschopnosti našich ekonomik; uznává, že roztříštěnost právních předpisů je jednou z překážek, které rozvíjejícím se podnikům brání v plném využití potenciálu jednotného trhu; uznává, že malé a střední podniky se v členských státech a regionech potýkají s nerovnými podmínkami financování a požadavky na ně, a to v důsledku faktorů, které jsou specifické pro každý podnik, zeměpisnou polohu – například umístění v odlehlých, nejvzdálenějších a ostrovních oblastech – a ekonomické prostředí, a proto potřebují řešení přizpůsobená těmto zvláštnostem, jakož i potřebám menších ekonomik;</w:t>
      </w:r>
    </w:p>
    <w:p w14:paraId="7DC524AE" w14:textId="77777777" w:rsidR="006D1A13" w:rsidRPr="00987B48" w:rsidRDefault="006D1A13" w:rsidP="006D1A13">
      <w:pPr>
        <w:pStyle w:val="NormalHanging12a"/>
      </w:pPr>
      <w:r w:rsidRPr="00987B48">
        <w:lastRenderedPageBreak/>
        <w:t>2.</w:t>
      </w:r>
      <w:r w:rsidRPr="00987B48">
        <w:tab/>
        <w:t>vítá skutečnost, že v návaznosti na Draghiho a Lettovu zprávu byla uznána potřeba konkurenceschopnějšího, méně roztříštěného a méně byrokratického jednotného trhu; vyzývá Komisi, aby vzala v úvahu doporučení obsažená v těchto zprávách, v nichž se uvádí, že je třeba přijmout okamžitá a rozhodná opatření jak na regulační, tak na politické úrovni; vyjadřuje v tomto ohledu politování nad nadměrnou zátěží, s níž se potýkají malé a střední podniky v důsledku provádění různých povinností vyplývajících ze Zelené dohody pro Evropu; je přesvědčen, že specializované definice startupů a scaleupů by zvýšily příležitosti k jejich podpoře prostřednictvím opatření, která budou přizpůsobena jejich specifickým potřebám;</w:t>
      </w:r>
    </w:p>
    <w:p w14:paraId="0F1D222C" w14:textId="77777777" w:rsidR="006D1A13" w:rsidRPr="00987B48" w:rsidRDefault="006D1A13" w:rsidP="006D1A13">
      <w:pPr>
        <w:pStyle w:val="NormalHanging12a"/>
        <w:rPr>
          <w:bCs/>
          <w:iCs/>
        </w:rPr>
      </w:pPr>
      <w:r w:rsidRPr="00987B48">
        <w:t>3.</w:t>
      </w:r>
      <w:r w:rsidRPr="00987B48">
        <w:tab/>
        <w:t>je si vědom toho, že bankovní úvěry zůstávají hlavním zdrojem vnějšího financování malých a středních podniků v Unii; podtrhuje klíčovou úlohu tradičních modelů bankovnictví včetně malých regionálních bank, spořitelen, družstevních záložen a veřejnoprávních institucí;</w:t>
      </w:r>
    </w:p>
    <w:p w14:paraId="6BB4A84E" w14:textId="77777777" w:rsidR="006D1A13" w:rsidRPr="00987B48" w:rsidRDefault="006D1A13" w:rsidP="006D1A13">
      <w:pPr>
        <w:pStyle w:val="NormalHanging12a"/>
      </w:pPr>
      <w:r w:rsidRPr="00987B48">
        <w:t>4.</w:t>
      </w:r>
      <w:r w:rsidRPr="00987B48">
        <w:tab/>
        <w:t>zdůrazňuje, že EU by měla usilovat o to, aby bylo podnikatelské prostředí jednodušší a atraktivnější pro mobilizaci evropského i mezinárodního kapitálu a investic; zdůrazňuje, že je zapotřebí podporovat takový ekosystém scaleupů, který se spoléhá především na soukromé investice a partnerství mezi veřejným a soukromým sektorem, což by pomohlo mobilizovat kapitál a podnikům by to usnadnilo přístup k financování; zdůrazňuje významnou a dobře rozvinutou úlohu bank, jež znají konkrétní regionální a místní podmínky, při poskytování financování malým a středním podnikům, která plyne z jejich dlouhodobých vztahů s těmito podniky;</w:t>
      </w:r>
    </w:p>
    <w:p w14:paraId="0CA9ACA1" w14:textId="77777777" w:rsidR="006D1A13" w:rsidRPr="00987B48" w:rsidRDefault="006D1A13" w:rsidP="006D1A13">
      <w:pPr>
        <w:pStyle w:val="NormalHanging12a"/>
      </w:pPr>
      <w:r w:rsidRPr="00987B48">
        <w:t>5.</w:t>
      </w:r>
      <w:r w:rsidRPr="00987B48">
        <w:tab/>
        <w:t>upozorňuje na zvláštní problémy, s nimiž se evropské scaleupy potýkají při získávání financování v pozdní fázi svého růstu; konstatuje, že mnohé firmy z EU s vysokým potenciálem jsou i nadále závislé na zahraničním rizikovém kapitálu a investorech, přičemž značná část pozdějších kol financování je vedena mimoevropskými investory; zdůrazňuje, že je třeba vytvořit atraktivnější podmínky pro investice v rámci Unie; zdůrazňuje, že přístup k financování by se měl řídit kritérii hospodářské účinnosti, ziskovosti a rozšiřitelnosti bez ohledu na původ kapitálu, a připomíná, že otevřená a celosvětová hospodářská soutěž ve snaze přilákat investice je přínosná pro podniky a inovace; zdůrazňuje v této souvislosti nedávné přijetí aktu EU o kotování</w:t>
      </w:r>
      <w:r w:rsidRPr="00987B48">
        <w:rPr>
          <w:rStyle w:val="FootnoteReference"/>
        </w:rPr>
        <w:footnoteReference w:id="4"/>
      </w:r>
      <w:r w:rsidRPr="00987B48">
        <w:t>, který pro podniky všech velikostí, včetně malých a středních podniků, zjednodušuje kotování na evropských burzách;</w:t>
      </w:r>
    </w:p>
    <w:p w14:paraId="64504C5E" w14:textId="77777777" w:rsidR="006D1A13" w:rsidRPr="00987B48" w:rsidRDefault="006D1A13" w:rsidP="006D1A13">
      <w:pPr>
        <w:pStyle w:val="NormalHanging12a"/>
      </w:pPr>
      <w:r w:rsidRPr="00987B48">
        <w:lastRenderedPageBreak/>
        <w:t>6.</w:t>
      </w:r>
      <w:r w:rsidRPr="00987B48">
        <w:tab/>
        <w:t>bere na vědomí, že Komise zveřejnila evropskou strategii pro startupy a scaleupy, která by měla podpořit inovace a řešit výzvy, jimž čelí jednotliví inovátoři, zakladatelé a startupy a scaleupy v EU; zdůrazňuje, že ačkoli je diagnóza obsažená ve strategii do určité míry přesná, navrhovaná opatření musí být ambicióznější a musí být kladen důraz na zrušení všech předpisů EU, které vytvářejí zbytečnou byrokratickou zátěž, jež brání zakládání a rozšiřování podniků; žádá Komisi, aby mezi prioritní odvětví uvedená ve strategii zařadila zemědělství;</w:t>
      </w:r>
    </w:p>
    <w:p w14:paraId="778E8E9B" w14:textId="77777777" w:rsidR="006D1A13" w:rsidRPr="00987B48" w:rsidRDefault="006D1A13" w:rsidP="006D1A13">
      <w:pPr>
        <w:pStyle w:val="NormalHanging12a"/>
      </w:pPr>
      <w:r w:rsidRPr="00987B48">
        <w:t>7.</w:t>
      </w:r>
      <w:r w:rsidRPr="00987B48">
        <w:tab/>
        <w:t>domnívá se, že usnadnění přístupu malých a středních podniků a scaleupů k financování bude záviset na i) výrazném a soustavném snižování byrokratické a regulační zátěže, včetně zdlouhavých povolovacích postupů, nákladných požadavků na podávání zpráv a složitosti a nepředvídatelnosti regulačního prostředí, ii) větší kapacitě pro uvolňování soukromých investic a úspor, iii) překlenutí mezery ve financování scaleupů a iv) posílení konkurenceschopného ekosystému kapitálových trhů v rámci EU; zdůrazňuje, že pro tyto účely musí být konečným cílem Komise dokončení unie úspor a investic, která bude respektovat pravomoci členských států a zásadu subsidiarity;</w:t>
      </w:r>
    </w:p>
    <w:p w14:paraId="3301D60F" w14:textId="77777777" w:rsidR="006D1A13" w:rsidRPr="00987B48" w:rsidRDefault="006D1A13" w:rsidP="006D1A13">
      <w:pPr>
        <w:pStyle w:val="Normal12a24b"/>
      </w:pPr>
      <w:r w:rsidRPr="00987B48">
        <w:rPr>
          <w:rStyle w:val="BoldItalic"/>
        </w:rPr>
        <w:t>Snižování byrokratické a regulační zátěže</w:t>
      </w:r>
    </w:p>
    <w:p w14:paraId="687DB9C4" w14:textId="77777777" w:rsidR="006D1A13" w:rsidRPr="00987B48" w:rsidRDefault="006D1A13" w:rsidP="006D1A13">
      <w:pPr>
        <w:pStyle w:val="NormalHanging12a"/>
      </w:pPr>
      <w:r w:rsidRPr="00987B48">
        <w:t>8.</w:t>
      </w:r>
      <w:r w:rsidRPr="00987B48">
        <w:tab/>
        <w:t>připomíná, že kvůli zatěžujícímu, pomalému, roztříštěnému a nepředvídatelnému evropskému regulačnímu prostředí se mnoho slibných evropských startupů a scaleupů přemisťuje do zemí mimo EU; zdůrazňuje, že pokud se tento trend nezvrátí podstatným zjednodušením regulace, bude Evropa podniky v nejstrategičtější fázi růstu i nadále ztrácet, takže bude vznikat méně pracovních míst a hospodářský růst bude rovněž pomalejší; vyjadřuje politování nad tím, že daňové a regulační prahové hodnoty odrazují od růstu podniků, protože po překročení určitých úrovní velikosti nebo obratu jsou ukládány další zatěžující postupy;</w:t>
      </w:r>
    </w:p>
    <w:p w14:paraId="3A4C7682" w14:textId="77777777" w:rsidR="006D1A13" w:rsidRPr="00987B48" w:rsidRDefault="006D1A13" w:rsidP="006D1A13">
      <w:pPr>
        <w:pStyle w:val="NormalHanging12a"/>
      </w:pPr>
      <w:r w:rsidRPr="00987B48">
        <w:t>9.</w:t>
      </w:r>
      <w:r w:rsidRPr="00987B48">
        <w:tab/>
        <w:t>vyzývá k dalšímu úsilí o zjednodušení regulace a vybízí Komisi, aby předložila následné návrhy, které půjdou nad rámec jejích souhrnných balíčků zjednodušujících opatření a zavedou předpisy a rámce, které budou příznivé pro startupy a umožní startupům a scaleupům, aby se dále rozvíjely, rozšiřovaly a vyvíjely přeshraniční činnost, a zároveň zajistí ochranu spotřebitele, ochranu osobních údajů a spravedlivou hospodářskou soutěž; připomíná závazek Komise snížit byrokracii prostřednictvím horizontálního přístupu ve všech oblastech a vyzývá k systematickému prověřování acquis EU s cílem určit a odstranit regulační překážky pro malé a střední podniky;</w:t>
      </w:r>
    </w:p>
    <w:p w14:paraId="226B3F0E" w14:textId="77777777" w:rsidR="006D1A13" w:rsidRPr="00987B48" w:rsidRDefault="006D1A13" w:rsidP="006D1A13">
      <w:pPr>
        <w:pStyle w:val="NormalHanging12a"/>
      </w:pPr>
      <w:r w:rsidRPr="00987B48">
        <w:t>10.</w:t>
      </w:r>
      <w:r w:rsidRPr="00987B48">
        <w:tab/>
        <w:t xml:space="preserve">v návaznosti na přijetí druhého souhrnného balíčku Komisí zdůrazňuje, že je třeba zjednodušit postupy při provádění programu InvestEU, aby se zajistilo, že malé a střední podniky, včetně těch nejmenších, budou mít snazší přístup k finanční podpoře, kterou potřebují k růstu a inovacím; zdůrazňuje, že je důležité zajistit, aby regulační rámce a nástroje financované EU byly úměrné velikosti a správní kapacitě malých a středních podniků a aby jim byly vhodně přizpůsobeny, a nikoli převzaty z požadavků pro větší společnosti; </w:t>
      </w:r>
    </w:p>
    <w:p w14:paraId="075ED029" w14:textId="77777777" w:rsidR="006D1A13" w:rsidRPr="00987B48" w:rsidRDefault="006D1A13" w:rsidP="006D1A13">
      <w:pPr>
        <w:pStyle w:val="NormalHanging12a"/>
      </w:pPr>
      <w:r w:rsidRPr="00987B48">
        <w:t>11.</w:t>
      </w:r>
      <w:r w:rsidRPr="00987B48">
        <w:tab/>
        <w:t xml:space="preserve">konstatuje, že uvalení řady regulačních požadavků na banky může mít negativní dopad na poskytování úvěrů malým a středním podnikům; zdůrazňuje, že je důležité vyhnout se duplicitním požadavkům na podávání zpráv a vícečetným kanálům pro jejich podávání, neboť to představuje zbytečnou administrativní zátěž, zejména pro menší banky; vyzývá Komisi, aby za pomoci Evropského orgánu pro bankovnictví a jednotného mechanismu dohledu posoudila dopady stávajících regulačních pravidel na </w:t>
      </w:r>
      <w:r w:rsidRPr="00987B48">
        <w:lastRenderedPageBreak/>
        <w:t>poskytování úvěrů malým a středním podnikům; zdůrazňuje, že v bankovní regulaci je nezbytné uplatňovat zásadu proporcionality;</w:t>
      </w:r>
    </w:p>
    <w:p w14:paraId="5B6460BA" w14:textId="77777777" w:rsidR="006D1A13" w:rsidRPr="00987B48" w:rsidRDefault="006D1A13" w:rsidP="006D1A13">
      <w:pPr>
        <w:pStyle w:val="NormalHanging12a"/>
      </w:pPr>
      <w:r w:rsidRPr="00987B48">
        <w:t>12.</w:t>
      </w:r>
      <w:r w:rsidRPr="00987B48">
        <w:tab/>
        <w:t>naléhavě vyzývá Komisi, aby posoudila stávající regulační povinnosti, které společnosti zatěžují, jako je rámec pro udržitelné financování, který není pro evropské malé a střední podniky vhodný, a další povinnosti plynoucí ze Zelené dohody pro Evropu, a aby vypracovala prahové hodnoty proporcionality s cílem osvobodit malé a střední podniky od nadměrných povinností; vítá nově navrhovanou kontrolu konkurenceschopnosti pro malé a střední podniky; vyzývá Komisi, aby zajistila, že standardy pro podávání zpráv o udržitelnosti budou jednoduché a dobrovolné, a aby přezkoumala požadavky na zveřejňování bankovních informací v rámci pilíře 3, které mohou klientům z řad malých a středních podniků nepřímo ukládat požadavky na údaje, jež jsou nepřiměřené;</w:t>
      </w:r>
    </w:p>
    <w:p w14:paraId="34DFA360" w14:textId="77777777" w:rsidR="006D1A13" w:rsidRPr="00987B48" w:rsidRDefault="006D1A13" w:rsidP="006D1A13">
      <w:pPr>
        <w:pStyle w:val="NormalHanging12a"/>
      </w:pPr>
      <w:r w:rsidRPr="00987B48">
        <w:t>13.</w:t>
      </w:r>
      <w:r w:rsidRPr="00987B48">
        <w:tab/>
        <w:t>zdůrazňuje, že přístup „jeden přijmout – jeden zrušit“ není v praxi dostatečně prováděn, a proto nestačí, a vyzývá Komisi, aby navrhla ambicióznější strategii zjednodušení, která zajistí právní jistotu a předvídatelnost a která rovněž přezkoumá právní předpisy úrovně 2 a 3; zdůrazňuje, že cíl Komise týkající se snížení oznamovacích povinností o 35 % musí být měřitelný a výsledky musí být sledovatelné, s jasným harmonogramem, klíčovými ukazateli výkonnosti a metodikou sledování, která je vhodná pro daný účel;</w:t>
      </w:r>
    </w:p>
    <w:p w14:paraId="028B719F" w14:textId="77777777" w:rsidR="006D1A13" w:rsidRPr="00987B48" w:rsidRDefault="006D1A13" w:rsidP="006D1A13">
      <w:pPr>
        <w:pStyle w:val="Normal12a24b"/>
      </w:pPr>
      <w:r w:rsidRPr="00987B48">
        <w:rPr>
          <w:rStyle w:val="BoldItalic"/>
        </w:rPr>
        <w:t>Uvolnění soukromého kapitálu a úspor</w:t>
      </w:r>
    </w:p>
    <w:p w14:paraId="3A9288C6" w14:textId="77777777" w:rsidR="006D1A13" w:rsidRPr="00987B48" w:rsidRDefault="006D1A13" w:rsidP="006D1A13">
      <w:pPr>
        <w:pStyle w:val="NormalHanging12a"/>
      </w:pPr>
      <w:r w:rsidRPr="00987B48">
        <w:t>14.</w:t>
      </w:r>
      <w:r w:rsidRPr="00987B48">
        <w:tab/>
        <w:t>konstatuje, že cílem Komise je zavést unii úspor a investic, která musí zahrnovat nejen opatření na úrovni EU, ale také rozvoj nástrojů, řešení a osvědčených postupů, které respektují a podporují opatření členských států na vnitrostátní úrovni a podporují přeshraniční soudržnost a postupné snižování kritických rozdílů;</w:t>
      </w:r>
    </w:p>
    <w:p w14:paraId="2295EDA0" w14:textId="77777777" w:rsidR="006D1A13" w:rsidRPr="00987B48" w:rsidRDefault="006D1A13" w:rsidP="006D1A13">
      <w:pPr>
        <w:pStyle w:val="NormalHanging12a"/>
      </w:pPr>
      <w:r w:rsidRPr="00987B48">
        <w:t>15.</w:t>
      </w:r>
      <w:r w:rsidRPr="00987B48">
        <w:tab/>
        <w:t>vyzývá Komisi, aby zlepšila přístup investorů k informacím a ochraně a zároveň využila potenciál zjednodušených retailových produktů k tomu, aby pomohla směrovat úspory domácností na kapitálové trhy, a připomíná důležitou úlohu penzijních fondů a pojišťoven jako zprostředkovatelů tohoto směrování; bere na vědomí, že bylo zavedeno označení „Finance Europe“, které má zajistit, aby střadatelé, kteří chtějí investovat své úspory do evropských společností, tak mohli učinit a přímo přispívat k financování hospodářství Unie; zdůrazňuje, že toto označení by nemělo pro společnosti znamenat žádnou další administrativní zátěž;</w:t>
      </w:r>
    </w:p>
    <w:p w14:paraId="6CC9C77F" w14:textId="77777777" w:rsidR="006D1A13" w:rsidRPr="00987B48" w:rsidRDefault="006D1A13" w:rsidP="006D1A13">
      <w:pPr>
        <w:pStyle w:val="NormalHanging12a"/>
      </w:pPr>
      <w:r w:rsidRPr="00987B48">
        <w:t>16.</w:t>
      </w:r>
      <w:r w:rsidRPr="00987B48">
        <w:tab/>
        <w:t>vyjadřuje politování nad tím, že nařízení o evropských fondech rizikového kapitálu (EuVECA)</w:t>
      </w:r>
      <w:r w:rsidRPr="00987B48">
        <w:rPr>
          <w:rStyle w:val="FootnoteReference"/>
        </w:rPr>
        <w:footnoteReference w:id="5"/>
      </w:r>
      <w:r w:rsidRPr="00987B48">
        <w:t xml:space="preserve"> mělo jen malý pozitivní dopad na místní trhy rizikového kapitálu; vítá zaměření na rizikový kapitál pro mladé inovativní malé a střední podniky ve sdělení Komise o unii úspor a investic, vyjadřuje však politování nad tím, že návrh Komise o EuVECA byl odložen na 3. čtvrtletí 2026; vyzývá Komisi, aby zvážila zrušení minimální hodnoty investice ve výši 100 000 EUR s cílem umožnit soukromým střadatelům investovat do alternativních fondů; naléhavě vyzývá Komisi, aby vybízela </w:t>
      </w:r>
      <w:r w:rsidRPr="00987B48">
        <w:lastRenderedPageBreak/>
        <w:t>členské státy k tomu, aby poskytovaly atraktivní a stabilní daňové a regulační rámce pro fondy rizikového kapitálu investující do malých a středních podniků;</w:t>
      </w:r>
    </w:p>
    <w:p w14:paraId="13F75211" w14:textId="77777777" w:rsidR="006D1A13" w:rsidRPr="00987B48" w:rsidRDefault="006D1A13" w:rsidP="006D1A13">
      <w:pPr>
        <w:pStyle w:val="NormalHanging12a"/>
      </w:pPr>
      <w:r w:rsidRPr="00987B48">
        <w:t>17.</w:t>
      </w:r>
      <w:r w:rsidRPr="00987B48">
        <w:tab/>
        <w:t>rozhodně zdůrazňuje, že je třeba zlepšit finanční gramotnost občanů a podnikatelů v EU a podporovat lepší podmínky v oblasti úspor a investic, které umožní informovaně a nezávisle přejít od úspor k investicím; vyzývá Komisi, aby zahrnula podnikání do oblasti působnosti nové strategie finanční gramotnosti a do souboru nástrojů pro členské státy, aby byla posílena koordinace v tomto ohledu;</w:t>
      </w:r>
    </w:p>
    <w:p w14:paraId="121424A1" w14:textId="77777777" w:rsidR="006D1A13" w:rsidRPr="00987B48" w:rsidRDefault="006D1A13" w:rsidP="006D1A13">
      <w:pPr>
        <w:pStyle w:val="NormalHanging12a"/>
      </w:pPr>
      <w:r w:rsidRPr="00987B48">
        <w:t>18.</w:t>
      </w:r>
      <w:r w:rsidRPr="00987B48">
        <w:tab/>
        <w:t xml:space="preserve">vyzývá k tomu, aby veřejné financování nebylo využíváno jako dotace, ale spíše jako katalyzátor pro mobilizaci soukromých investic a zpřístupnění většího množství soukromých finančních prostředků mikropodnikům a malým a středním podnikům; </w:t>
      </w:r>
      <w:bookmarkStart w:id="8" w:name="_Hlk210313322"/>
      <w:r w:rsidRPr="00987B48">
        <w:t>připomíná, že většina těchto investic musí být soukromá, a zdůrazňuje, že je nezbytné je stimulovat atraktivními a stabilními daňovými a regulačními rámci, které jsou přitažlivé pro profesionální i retailové investory; připomíná stávající strukturální zvýhodnění úvěrů a považuje za nezbytné zahájit diskusi o potřebě kapitálových daňových pobídek a podporovat rizikový kapitál jako součást obchodního modelu tradičního bankovnictví, aniž by byla ohrožena finanční stabilita</w:t>
      </w:r>
      <w:bookmarkEnd w:id="8"/>
      <w:r w:rsidRPr="00987B48">
        <w:t>;</w:t>
      </w:r>
    </w:p>
    <w:p w14:paraId="29CDEEC9" w14:textId="77777777" w:rsidR="006D1A13" w:rsidRPr="00987B48" w:rsidRDefault="006D1A13" w:rsidP="006D1A13">
      <w:pPr>
        <w:pStyle w:val="NormalHanging12a"/>
      </w:pPr>
      <w:r w:rsidRPr="00987B48">
        <w:t>19.</w:t>
      </w:r>
      <w:r w:rsidRPr="00987B48">
        <w:tab/>
        <w:t>zdůrazňuje, že veřejný sektor může hrát v otázce mobilizace soukromého kapitálu klíčovou úlohu, a to zejména v informačně asymetrických odvětvích nebo v regionech s nedostatečně rozvinutými finančními trhy; vyzývá k tomu, aby veřejné prostředky byly koncipovány účinně, byly z hlediska hospodářské soutěže neutrální a zaměřovaly se na dopad, čímž se maximalizuje jejich efekt vtahování soukromých investic; za tímto účelem zdůrazňuje, že je třeba plně využít potenciál skupiny Evropské investiční banky (EIB) k tomu, aby přilákala soukromé investice a že musí vyčlenit více zdrojů na inovační projekty malých a středních podniků, startupy a scaleupy; dále zdůrazňuje úlohu Evropského fondu pro regionální rozvoj, zejména v regionech s omezeným přístupem k úvěrům, a vzhledem k tomu, že náklady na úvěry se v EU liší, což v některých členských státech znevýhodňuje malé a střední podniky;</w:t>
      </w:r>
    </w:p>
    <w:p w14:paraId="5C4E54A2" w14:textId="77777777" w:rsidR="006D1A13" w:rsidRPr="00987B48" w:rsidRDefault="006D1A13" w:rsidP="006D1A13">
      <w:pPr>
        <w:pStyle w:val="NormalHanging12a"/>
      </w:pPr>
      <w:r w:rsidRPr="00987B48">
        <w:t>20.</w:t>
      </w:r>
      <w:r w:rsidRPr="00987B48">
        <w:tab/>
        <w:t>bere na vědomí zveřejnění výsledků přezkumu rámce pro sekuritizaci a vyzývá Komisi, aby zvýšila jeho flexibilitu a umožnila tak úvěrovým institucím poskytovat společnostem, včetně malých a středních podniků, další finanční prostředky a podporovat jejich růst, aniž by došlo k narušení transparentnosti a úvěrové kvality; za tímto účelem zdůrazňuje, že je nutné posílit spolehlivost rámce pro přenos významných rizik zvýšením citlivosti vůči rizikům a zlepšením dohledu, což přispěje ke zjednodušení;</w:t>
      </w:r>
    </w:p>
    <w:p w14:paraId="4411ACDC" w14:textId="77777777" w:rsidR="006D1A13" w:rsidRPr="00987B48" w:rsidRDefault="006D1A13" w:rsidP="006D1A13">
      <w:pPr>
        <w:pStyle w:val="NormalHanging12a"/>
      </w:pPr>
      <w:r w:rsidRPr="00987B48">
        <w:t>21.</w:t>
      </w:r>
      <w:r w:rsidRPr="00987B48">
        <w:tab/>
        <w:t>bere na vědomí cíl Komise vypracovat plán investičního spořicího účtu EU, který by měl zahrnovat i) zjednodušený postup podávání daňových přiznání, ii) doprovodné daňové pobídky a iii) neexistenci omezení zeměpisné polohy investic, odvětví, limitů vkladů a minimálních dob držení;</w:t>
      </w:r>
    </w:p>
    <w:p w14:paraId="75213DE0" w14:textId="77777777" w:rsidR="006D1A13" w:rsidRPr="00987B48" w:rsidRDefault="006D1A13" w:rsidP="006D1A13">
      <w:pPr>
        <w:pStyle w:val="NormalHanging12a"/>
      </w:pPr>
      <w:r w:rsidRPr="00987B48">
        <w:t>22.</w:t>
      </w:r>
      <w:r w:rsidRPr="00987B48">
        <w:tab/>
        <w:t>uznává ústřední úlohu soukromého sektoru v hospodářském růstu a prosperitě EU; zdůrazňuje, že jakýkoli pokrok směrem k integraci kapitálových trhů musí být založen na zásadách hospodářské svobody, hospodářské soutěže a právní jistoty;</w:t>
      </w:r>
    </w:p>
    <w:p w14:paraId="174F9EEE" w14:textId="77777777" w:rsidR="006D1A13" w:rsidRPr="00987B48" w:rsidRDefault="006D1A13" w:rsidP="006D1A13">
      <w:pPr>
        <w:pStyle w:val="NormalHanging12a"/>
      </w:pPr>
      <w:r w:rsidRPr="00987B48">
        <w:t>23.</w:t>
      </w:r>
      <w:r w:rsidRPr="00987B48">
        <w:tab/>
        <w:t xml:space="preserve">zdůrazňuje, že evropský trh pro přímé sekundární transakce, na němž by bylo možné obchodovat s akciemi startupů v pozdější fázi rozvoje a před zahájením IPO (počáteční veřejná nabídka akcií), by posílil finanční ekosystém Unie, pokud by zajišťoval rovné </w:t>
      </w:r>
      <w:r w:rsidRPr="00987B48">
        <w:lastRenderedPageBreak/>
        <w:t>podmínky mezi členskými státy, bránil koncentraci finanční činnosti jen v několika málo jurisdikcích, a plně respektoval vnitrostátní pravomoci;</w:t>
      </w:r>
    </w:p>
    <w:p w14:paraId="6490E14F" w14:textId="77777777" w:rsidR="006D1A13" w:rsidRPr="00987B48" w:rsidRDefault="006D1A13" w:rsidP="006D1A13">
      <w:pPr>
        <w:pStyle w:val="NormalHanging12a"/>
      </w:pPr>
      <w:r w:rsidRPr="00987B48">
        <w:t>24.</w:t>
      </w:r>
      <w:r w:rsidRPr="00987B48">
        <w:tab/>
        <w:t>konstatuje, že přepracované znění směrnice o trzích finančních nástrojů</w:t>
      </w:r>
      <w:r w:rsidRPr="00987B48">
        <w:rPr>
          <w:rStyle w:val="FootnoteReference"/>
        </w:rPr>
        <w:footnoteReference w:id="6"/>
      </w:r>
      <w:r w:rsidRPr="00987B48">
        <w:t xml:space="preserve"> (MiFID II) stanoví zvláštní kategorii trhů pro růst malých a středních podniků, které mají sloužit specifickým potřebám menších společností; vyzývá Komisi, aby tento nástroj dále rozvíjela tím, že zajistí flexibilnější regulační režim, který bude odpovídat potřebám společností s malou a střední tržní kapitalizací;</w:t>
      </w:r>
    </w:p>
    <w:p w14:paraId="25206D2A" w14:textId="77777777" w:rsidR="006D1A13" w:rsidRPr="00987B48" w:rsidRDefault="006D1A13" w:rsidP="006D1A13">
      <w:pPr>
        <w:pStyle w:val="Normal12a24b"/>
      </w:pPr>
      <w:r w:rsidRPr="00987B48">
        <w:rPr>
          <w:rStyle w:val="BoldItalic"/>
        </w:rPr>
        <w:t>Překlenutí mezery ve financování scaleupů</w:t>
      </w:r>
    </w:p>
    <w:p w14:paraId="6808B973" w14:textId="77777777" w:rsidR="006D1A13" w:rsidRPr="00987B48" w:rsidRDefault="006D1A13" w:rsidP="006D1A13">
      <w:pPr>
        <w:pStyle w:val="NormalHanging12a"/>
      </w:pPr>
      <w:r w:rsidRPr="00987B48">
        <w:t>25.</w:t>
      </w:r>
      <w:r w:rsidRPr="00987B48">
        <w:tab/>
        <w:t>vyjadřuje politování nad tím, že vzhledem k nedostatku atraktivních možností financování pro rozvíjející se podniky na trhu Unie a chybějícímu konkurenčnímu regulačnímu prostředí se mnoho evropských podniků nakonec obrací na poskytovatele rizikového kapitálu se sídly v zemích mimo EU a usazují se a rozšiřují své podniky na trzích třetích zemí; vyjadřuje znepokojení nad rostoucím počtem selhání malých a středních podniků v EU</w:t>
      </w:r>
      <w:r w:rsidRPr="00987B48">
        <w:rPr>
          <w:rStyle w:val="FootnoteReference"/>
        </w:rPr>
        <w:footnoteReference w:id="7"/>
      </w:r>
      <w:r w:rsidRPr="00987B48">
        <w:t>; považuje za prioritu řešit základní příčiny, jako je nedostatek dlouhodobého kapitálu, daňový tlak na podniky během jejich expanze a nepřiměřená administrativní zátěž;</w:t>
      </w:r>
    </w:p>
    <w:p w14:paraId="31BF5EC6" w14:textId="77777777" w:rsidR="006D1A13" w:rsidRPr="00987B48" w:rsidRDefault="006D1A13" w:rsidP="006D1A13">
      <w:pPr>
        <w:pStyle w:val="NormalHanging12a"/>
      </w:pPr>
      <w:r w:rsidRPr="00987B48">
        <w:t>26.</w:t>
      </w:r>
      <w:r w:rsidRPr="00987B48">
        <w:tab/>
        <w:t>chápe, že klíčem ke snížení rozdílů v tempu rozvoje podniků je mobilizace evropských institucionálních investorů, zejména pojišťoven, bank a penzijních fondů; konstatuje, že je třeba v Evropě zvýšit podíl fondů rizikového kapitálu, aby bylo možné poskytovat více finančních prostředků rozvíjejícím se podnikům, které v EU potřebují příznivější rámec pro financování rizikového kapitálu a bezpečné přímé zahraniční investice; vyzývá Komisi, aby vybízela členské státy s nedostatečně rozvinutými důchodovými systémy k rozvoji doplňkových důchodových odvětví (pilíř 2), což by mohlo pomoci vybudovat trhy rizikového kapitálu, a aby vytvořila regulační prostředí, které bude podporovat kapitálové investice institucionálních investorů; připomíná závazek Komise pracovat na opatřeních k absorpci rizik s cílem přilákat soukromé financování ze strany komerčních bank, investorů a rizikového kapitálu;</w:t>
      </w:r>
    </w:p>
    <w:p w14:paraId="15A39E49" w14:textId="77777777" w:rsidR="006D1A13" w:rsidRPr="00987B48" w:rsidRDefault="006D1A13" w:rsidP="006D1A13">
      <w:pPr>
        <w:pStyle w:val="NormalHanging12a"/>
      </w:pPr>
      <w:r w:rsidRPr="00987B48">
        <w:t>27.</w:t>
      </w:r>
      <w:r w:rsidRPr="00987B48">
        <w:tab/>
        <w:t xml:space="preserve">vybízí Komisi, aby posílila platformy pro společné investice, včetně regionálně ukotvených nástrojů a sítí andělských investorů („business-angel networks“), s cílem přilákat soukromý kapitál a odstranit přetrvávající nedostatky v počáteční fázi financování rychle rostoucích malých a středních podniků orientovaných na inovace; vyzývá k dostatečnému využití připravované iniciativy Evropští technologičtí lídři 2.0 (European Tech-Champions 2.0) a k zavedení zvláštních režimů financování EU, které budou podporovat získávání finančních prostředků a kótování startupů a rozvíjejících se technologických společností; zdůrazňuje mandát skupiny EIB podporovat malé a střední </w:t>
      </w:r>
      <w:r w:rsidRPr="00987B48">
        <w:lastRenderedPageBreak/>
        <w:t>podniky a naléhavě ji vyzývá, aby přijala flexibilnější rámec pro posuzování rizik a zajistila, aby nová platforma TechEU byla prostřednictvím zjednodušených postupů široce přístupná ve všech členských státech; souhlasí se sdělením o unii úspor a investic, které se zabývá významem veřejných financí na úrovni EU, a proto se zasazuje o přesměrování finančních prostředků EU do menšího počtu flexibilnějších programů, v rámci nichž mohou být zdroje v průběhu času přerozdělovány z jedné priority na druhou;</w:t>
      </w:r>
    </w:p>
    <w:p w14:paraId="40FC0D84" w14:textId="77777777" w:rsidR="006D1A13" w:rsidRPr="00987B48" w:rsidRDefault="006D1A13" w:rsidP="006D1A13">
      <w:pPr>
        <w:pStyle w:val="NormalHanging12a"/>
      </w:pPr>
      <w:r w:rsidRPr="00987B48">
        <w:t>28.</w:t>
      </w:r>
      <w:r w:rsidRPr="00987B48">
        <w:tab/>
        <w:t>zdůrazňuje, že je důležité vytvářet správné podmínky pro to, aby občané směrovali své úspory do produktivních investičních nástrojů, které mohou být přínosem pro malé a střední podniky a rozvíjející se podniky; vybízí Komisi, aby odstranila regulační překážky, které odrazují od retailových investičních produktů, a zajistila, aby retailoví investoři byli při přijímání investičních rozhodnutí náležitě chráněni; uznává, že skupinové financování a technologie, jako jsou inteligentní smlouvy a decentralizované financování, mohou rozšířit přístup malých a středních podniků k přímému financování, a naléhavě vyzývá Komisi, aby přezkoumala svůj regulační rámec na základě přístupu zaměřeného na inovace a přístupu přiměřeného rizika;</w:t>
      </w:r>
    </w:p>
    <w:p w14:paraId="209F673C" w14:textId="77777777" w:rsidR="006D1A13" w:rsidRPr="00987B48" w:rsidRDefault="006D1A13" w:rsidP="006D1A13">
      <w:pPr>
        <w:pStyle w:val="NormalHanging12a"/>
      </w:pPr>
      <w:r w:rsidRPr="00987B48">
        <w:t>29.</w:t>
      </w:r>
      <w:r w:rsidRPr="00987B48">
        <w:tab/>
        <w:t>zdůrazňuje, že pro pomoc rozvoji podniků má zásadní význam více integrovaný inovační ekosystém se sítěmi univerzit, začínajících podniků, velkých podniků a investorů rizikového kapitálu, který se opírá o přístup k testovacím zařízením a technologické infrastruktuře; zdůrazňuje pozitivní úlohu, kterou při podpoře růstu startupů mohou hrát podnikatelská fóra, soukromí akcelerátoři a mentorské sítě, a vyzývá Komisi a členské státy, aby navázaly na iniciativy, jako je síť důvěryhodných investorů, jejímž cílem je mobilizovat soukromý kapitál na podporu evropských ambicí v oblasti inovací;</w:t>
      </w:r>
    </w:p>
    <w:p w14:paraId="1E4819F4" w14:textId="77777777" w:rsidR="006D1A13" w:rsidRPr="00987B48" w:rsidRDefault="006D1A13" w:rsidP="006D1A13">
      <w:pPr>
        <w:pStyle w:val="Normal12a24b"/>
      </w:pPr>
      <w:r w:rsidRPr="00987B48">
        <w:rPr>
          <w:rStyle w:val="BoldItalic"/>
        </w:rPr>
        <w:t>Posílení konkurenceschopného ekosystému v EU</w:t>
      </w:r>
    </w:p>
    <w:p w14:paraId="4F185F1C" w14:textId="77777777" w:rsidR="006D1A13" w:rsidRPr="00987B48" w:rsidRDefault="006D1A13" w:rsidP="006D1A13">
      <w:pPr>
        <w:pStyle w:val="NormalHanging12a"/>
      </w:pPr>
      <w:r w:rsidRPr="00987B48">
        <w:t>30.</w:t>
      </w:r>
      <w:r w:rsidRPr="00987B48">
        <w:tab/>
        <w:t xml:space="preserve">domnívá se, že konkurenceschopný ekosystém v EU musí tvořit jak silné vnitrostátní trhy, tak silný vnitřní trh, a že zdravá hospodářská soutěž mezi členskými státy, zejména pokud jde o ekonomické a regulační přístupy, je motivuje k tomu, aby zachovaly dynamiku a atraktivitu svých ekonomik, ale připomíná, že členské státy nesmí vytvářet překážky pro účinné přeshraniční přidělování kapitálu ani stanovovat priority pouze na základě zeměpisného původu finančních prostředků; </w:t>
      </w:r>
      <w:bookmarkStart w:id="9" w:name="_Hlk210313711"/>
      <w:r w:rsidRPr="00987B48">
        <w:t>žádá, aby iniciativy Komise respektovaly osvědčené postupy, které již byly v členských státech úspěšné, a aby na nich stavěly;</w:t>
      </w:r>
    </w:p>
    <w:bookmarkEnd w:id="9"/>
    <w:p w14:paraId="75059B39" w14:textId="77777777" w:rsidR="006D1A13" w:rsidRPr="00987B48" w:rsidRDefault="006D1A13" w:rsidP="006D1A13">
      <w:pPr>
        <w:pStyle w:val="NormalHanging12a"/>
      </w:pPr>
      <w:r w:rsidRPr="00987B48">
        <w:t>31.</w:t>
      </w:r>
      <w:r w:rsidRPr="00987B48">
        <w:tab/>
        <w:t>naléhavě vyzývá Komisi, aby se zaměřila na podporu příznivých podmínek pro trhy, relevantní společné jmenovatele pro členské státy a dobrovolné a doplňkové rámce zaměřené na postupné snižování roztříštěnosti trhu;</w:t>
      </w:r>
    </w:p>
    <w:p w14:paraId="7320C2AE" w14:textId="77777777" w:rsidR="006D1A13" w:rsidRPr="00987B48" w:rsidRDefault="006D1A13" w:rsidP="006D1A13">
      <w:pPr>
        <w:pStyle w:val="NormalHanging12a"/>
      </w:pPr>
      <w:r w:rsidRPr="00987B48">
        <w:t>32.</w:t>
      </w:r>
      <w:r w:rsidRPr="00987B48">
        <w:tab/>
        <w:t>vyzývá Komisi, aby objasnila, z čeho by se skládal 28. právní režim, a připomíná, že pokud by byl zaveden, musel by být dobrovolný, plně respektovat režimy členských států a být rozvíjen v úzké spolupráci se soukromým sektorem s cílem nabídnout zjednodušený rámec, který přiláká soukromé investory do evropských startupů, scaleupů a malých a středních podniků a pomůže evropským startupům stát se globálními technologickými špičkami;</w:t>
      </w:r>
    </w:p>
    <w:p w14:paraId="4AD9797B" w14:textId="77777777" w:rsidR="006D1A13" w:rsidRPr="00987B48" w:rsidRDefault="006D1A13" w:rsidP="006D1A13">
      <w:pPr>
        <w:pStyle w:val="NormalHanging12a"/>
      </w:pPr>
      <w:r w:rsidRPr="00987B48">
        <w:t>33.</w:t>
      </w:r>
      <w:r w:rsidRPr="00987B48">
        <w:tab/>
        <w:t xml:space="preserve">vyzývá Komisi, aby s podporou orgánů členských států vypracovala zjednodušené poradenské nástroje a jednotná kontaktní místa pro malé a střední podniky a scaleupy </w:t>
      </w:r>
      <w:r w:rsidRPr="00987B48">
        <w:lastRenderedPageBreak/>
        <w:t>s cílem pomoci jim orientovat se v různých právních systémech v celé EU s ohledem na záležitosti, jako je právo obchodních společností, pracovní právo, insolvenční právo, daňové právo, práva duševního vlastnictví a možnosti vnitrostátního financování; dále vyzývá Komisi, aby zlepšila nástroje pro monitorování přístupu malých a středních podniků k financování, včetně vypracování celounijních ukazatelů a přehledů, které jim mohou pomoci identifikovat příležitosti ve všech členských státech, aniž by se vytvářely nové oznamovací povinnosti nebo zvyšovala administrativní zátěž;</w:t>
      </w:r>
    </w:p>
    <w:p w14:paraId="14164FA9" w14:textId="77777777" w:rsidR="006D1A13" w:rsidRPr="00987B48" w:rsidRDefault="006D1A13" w:rsidP="006D1A13">
      <w:pPr>
        <w:pStyle w:val="NormalCenter12a"/>
      </w:pPr>
      <w:r w:rsidRPr="00987B48">
        <w:t>°</w:t>
      </w:r>
    </w:p>
    <w:p w14:paraId="36FAB00E" w14:textId="77777777" w:rsidR="006D1A13" w:rsidRPr="00987B48" w:rsidRDefault="006D1A13" w:rsidP="006D1A13">
      <w:pPr>
        <w:pStyle w:val="NormalCenter12a"/>
      </w:pPr>
      <w:r w:rsidRPr="00987B48">
        <w:t>°</w:t>
      </w:r>
      <w:r w:rsidRPr="00987B48">
        <w:tab/>
        <w:t>°</w:t>
      </w:r>
    </w:p>
    <w:p w14:paraId="4A40E2A0" w14:textId="60B9CEBA" w:rsidR="00987B48" w:rsidRPr="00987B48" w:rsidRDefault="006D1A13" w:rsidP="00987B48">
      <w:pPr>
        <w:pStyle w:val="NormalHanging12a"/>
      </w:pPr>
      <w:r w:rsidRPr="00987B48">
        <w:t>34.</w:t>
      </w:r>
      <w:r w:rsidRPr="00987B48">
        <w:tab/>
        <w:t>pověřuje svou předsedkyni, aby předala toto usnesení Radě a Komisi.</w:t>
      </w:r>
    </w:p>
    <w:p w14:paraId="76F69C11" w14:textId="69FB8EB9" w:rsidR="00E365E1" w:rsidRPr="00987B48" w:rsidRDefault="00E365E1" w:rsidP="00F7625D"/>
    <w:sectPr w:rsidR="00E365E1" w:rsidRPr="00987B48" w:rsidSect="00987B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011DF" w14:textId="77777777" w:rsidR="00F7625D" w:rsidRPr="00987B48" w:rsidRDefault="00F7625D">
      <w:r w:rsidRPr="00987B48">
        <w:separator/>
      </w:r>
    </w:p>
  </w:endnote>
  <w:endnote w:type="continuationSeparator" w:id="0">
    <w:p w14:paraId="00393C1B" w14:textId="77777777" w:rsidR="00F7625D" w:rsidRPr="00987B48" w:rsidRDefault="00F7625D">
      <w:r w:rsidRPr="00987B4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A92EE" w14:textId="77777777" w:rsidR="00064002" w:rsidRPr="00987B4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3B67" w14:textId="77777777" w:rsidR="00064002" w:rsidRPr="00987B4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6BA4F" w14:textId="77777777" w:rsidR="00064002" w:rsidRPr="00987B4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B9066" w14:textId="77777777" w:rsidR="00F7625D" w:rsidRPr="00987B48" w:rsidRDefault="00F7625D">
      <w:r w:rsidRPr="00987B48">
        <w:separator/>
      </w:r>
    </w:p>
  </w:footnote>
  <w:footnote w:type="continuationSeparator" w:id="0">
    <w:p w14:paraId="20A4ACFF" w14:textId="77777777" w:rsidR="00F7625D" w:rsidRPr="00987B48" w:rsidRDefault="00F7625D">
      <w:r w:rsidRPr="00987B48">
        <w:continuationSeparator/>
      </w:r>
    </w:p>
  </w:footnote>
  <w:footnote w:id="1">
    <w:p w14:paraId="41090A65" w14:textId="4F5F9992" w:rsidR="006D1A13" w:rsidRPr="00987B48" w:rsidRDefault="006D1A13" w:rsidP="00987B48">
      <w:pPr>
        <w:pStyle w:val="FootnoteText"/>
        <w:ind w:left="567" w:hanging="567"/>
        <w:rPr>
          <w:sz w:val="24"/>
          <w:lang w:val="cs-CZ"/>
        </w:rPr>
      </w:pPr>
      <w:r w:rsidRPr="00987B48">
        <w:rPr>
          <w:sz w:val="24"/>
          <w:vertAlign w:val="superscript"/>
          <w:lang w:val="cs-CZ"/>
        </w:rPr>
        <w:footnoteRef/>
      </w:r>
      <w:r w:rsidR="00987B48" w:rsidRPr="00987B48">
        <w:rPr>
          <w:sz w:val="24"/>
          <w:lang w:val="cs-CZ"/>
        </w:rPr>
        <w:t xml:space="preserve"> </w:t>
      </w:r>
      <w:r w:rsidR="00987B48" w:rsidRPr="00987B48">
        <w:rPr>
          <w:sz w:val="24"/>
          <w:lang w:val="cs-CZ"/>
        </w:rPr>
        <w:tab/>
      </w:r>
      <w:r w:rsidRPr="00987B48">
        <w:rPr>
          <w:sz w:val="24"/>
          <w:lang w:val="cs-CZ"/>
        </w:rPr>
        <w:t xml:space="preserve">Úř. věst. </w:t>
      </w:r>
      <w:r w:rsidR="004B382D">
        <w:rPr>
          <w:sz w:val="24"/>
          <w:lang w:val="cs-CZ"/>
        </w:rPr>
        <w:t xml:space="preserve">C, </w:t>
      </w:r>
      <w:r w:rsidRPr="00987B48">
        <w:rPr>
          <w:sz w:val="24"/>
          <w:lang w:val="cs-CZ"/>
        </w:rPr>
        <w:t xml:space="preserve">C/2024/4182, 2.8.2024, ELI: </w:t>
      </w:r>
      <w:hyperlink r:id="rId1" w:history="1">
        <w:r w:rsidRPr="00987B48">
          <w:rPr>
            <w:rStyle w:val="Hyperlink"/>
            <w:sz w:val="24"/>
            <w:lang w:val="cs-CZ"/>
          </w:rPr>
          <w:t>http://data.europa.eu/eli/C/2024/4182/oj</w:t>
        </w:r>
      </w:hyperlink>
      <w:r w:rsidRPr="00987B48">
        <w:rPr>
          <w:sz w:val="24"/>
          <w:lang w:val="cs-CZ"/>
        </w:rPr>
        <w:t>.</w:t>
      </w:r>
    </w:p>
  </w:footnote>
  <w:footnote w:id="2">
    <w:p w14:paraId="12E0916C" w14:textId="161A7DDE" w:rsidR="006D1A13" w:rsidRPr="00987B48" w:rsidRDefault="006D1A13" w:rsidP="00987B48">
      <w:pPr>
        <w:pStyle w:val="FootnoteText"/>
        <w:ind w:left="567" w:hanging="567"/>
        <w:rPr>
          <w:sz w:val="24"/>
          <w:lang w:val="cs-CZ"/>
        </w:rPr>
      </w:pPr>
      <w:r w:rsidRPr="00987B48">
        <w:rPr>
          <w:rStyle w:val="FootnoteReference"/>
          <w:sz w:val="24"/>
          <w:lang w:val="cs-CZ"/>
        </w:rPr>
        <w:footnoteRef/>
      </w:r>
      <w:r w:rsidR="00987B48" w:rsidRPr="00987B48">
        <w:rPr>
          <w:sz w:val="24"/>
          <w:lang w:val="cs-CZ"/>
        </w:rPr>
        <w:t xml:space="preserve"> </w:t>
      </w:r>
      <w:r w:rsidR="00987B48" w:rsidRPr="00987B48">
        <w:rPr>
          <w:sz w:val="24"/>
          <w:lang w:val="cs-CZ"/>
        </w:rPr>
        <w:tab/>
      </w:r>
      <w:r w:rsidRPr="00987B48">
        <w:rPr>
          <w:sz w:val="24"/>
          <w:lang w:val="cs-CZ"/>
        </w:rPr>
        <w:t>Katsinis, A., Lagüera-González, J., Di Bella, L., Odenthal, L., Hell, M., Lozar, B., „Annual Report on European SMEs 2023/2024“ (Výroční zpráva o evropských malých a středních podnicích 2023/2024), Úřad pro publikace Evropské unie, 2024.</w:t>
      </w:r>
      <w:r w:rsidRPr="00987B48">
        <w:rPr>
          <w:color w:val="0000FF"/>
          <w:sz w:val="24"/>
          <w:u w:val="single"/>
          <w:lang w:val="cs-CZ"/>
        </w:rPr>
        <w:t xml:space="preserve"> </w:t>
      </w:r>
      <w:hyperlink r:id="rId2" w:history="1">
        <w:r w:rsidRPr="00987B48">
          <w:rPr>
            <w:rStyle w:val="Hyperlink"/>
            <w:sz w:val="24"/>
            <w:lang w:val="cs-CZ"/>
          </w:rPr>
          <w:t>https://single-market-economy.ec.europa.eu/document/download/2bef0eda-2f75-497d-982e-c0d1cea57c0e_en?filename=Annual%20Report%20on%20European%20SMEs%202024.pdf</w:t>
        </w:r>
      </w:hyperlink>
      <w:r w:rsidRPr="00987B48">
        <w:rPr>
          <w:color w:val="0000FF"/>
          <w:sz w:val="24"/>
          <w:u w:val="single"/>
          <w:lang w:val="cs-CZ"/>
        </w:rPr>
        <w:t>.</w:t>
      </w:r>
    </w:p>
  </w:footnote>
  <w:footnote w:id="3">
    <w:p w14:paraId="4C378FB6" w14:textId="7DD44A50" w:rsidR="006D1A13" w:rsidRPr="00987B48" w:rsidRDefault="006D1A13" w:rsidP="00987B48">
      <w:pPr>
        <w:ind w:left="567" w:hanging="567"/>
      </w:pPr>
      <w:r w:rsidRPr="00987B48">
        <w:rPr>
          <w:rStyle w:val="FootnoteReference"/>
        </w:rPr>
        <w:footnoteRef/>
      </w:r>
      <w:r w:rsidR="00987B48" w:rsidRPr="00987B48">
        <w:t xml:space="preserve"> </w:t>
      </w:r>
      <w:r w:rsidR="00987B48" w:rsidRPr="00987B48">
        <w:tab/>
      </w:r>
      <w:r w:rsidRPr="00987B48">
        <w:t>Draghi, Mario, „The Future of European Competitiveness – A Competitiveness Strategy for Europe“ (Budoucnost evropské konkurenceschopnosti – Strategie konkurenceschopnosti pro Evropu), 2024,</w:t>
      </w:r>
      <w:r w:rsidRPr="00987B48">
        <w:rPr>
          <w:color w:val="0000FF"/>
          <w:u w:val="single" w:color="0000FF"/>
        </w:rPr>
        <w:t xml:space="preserve"> </w:t>
      </w:r>
      <w:hyperlink r:id="rId3" w:history="1">
        <w:r w:rsidRPr="00987B48">
          <w:rPr>
            <w:rStyle w:val="Hyperlink"/>
          </w:rPr>
          <w:t>https://commission.europa.eu/document/97e481fd-2dc3-412d-be4c-f152a8232961_en</w:t>
        </w:r>
      </w:hyperlink>
      <w:r w:rsidRPr="00987B48">
        <w:t>.</w:t>
      </w:r>
    </w:p>
  </w:footnote>
  <w:footnote w:id="4">
    <w:p w14:paraId="0A910ACB" w14:textId="65CF5C73" w:rsidR="006D1A13" w:rsidRPr="00987B48" w:rsidRDefault="006D1A13" w:rsidP="00987B48">
      <w:pPr>
        <w:pStyle w:val="FootnoteText"/>
        <w:ind w:left="567" w:hanging="567"/>
        <w:rPr>
          <w:sz w:val="24"/>
          <w:lang w:val="cs-CZ"/>
        </w:rPr>
      </w:pPr>
      <w:r w:rsidRPr="00987B48">
        <w:rPr>
          <w:rStyle w:val="FootnoteReference"/>
          <w:sz w:val="24"/>
          <w:lang w:val="cs-CZ"/>
        </w:rPr>
        <w:footnoteRef/>
      </w:r>
      <w:bookmarkStart w:id="7" w:name="_Hlk210313079"/>
      <w:r w:rsidR="00987B48" w:rsidRPr="00987B48">
        <w:rPr>
          <w:sz w:val="24"/>
          <w:lang w:val="cs-CZ"/>
        </w:rPr>
        <w:t xml:space="preserve"> </w:t>
      </w:r>
      <w:r w:rsidR="00987B48" w:rsidRPr="00987B48">
        <w:rPr>
          <w:sz w:val="24"/>
          <w:lang w:val="cs-CZ"/>
        </w:rPr>
        <w:tab/>
      </w:r>
      <w:r w:rsidRPr="00987B48">
        <w:rPr>
          <w:sz w:val="24"/>
          <w:lang w:val="cs-CZ"/>
        </w:rPr>
        <w:t xml:space="preserve">Akt o kotování se skládá z nařízení Evropského parlamentu a Rady (EU) 2024/2809 ze dne 23. října 2024, kterým se mění nařízení (EU) 2017/1129, (EU) č. 596/2014 a (EU) č. 600/2014 za účelem zvýšení atraktivity veřejných kapitálových trhů v Unii pro společnosti a usnadnění přístupu malých a středních podniků ke kapitálu (Úř. věst. L, 2024/2809, 14.11.2024, ELI: </w:t>
      </w:r>
      <w:hyperlink r:id="rId4" w:history="1">
        <w:r w:rsidRPr="00987B48">
          <w:rPr>
            <w:rStyle w:val="Hyperlink"/>
            <w:sz w:val="24"/>
            <w:lang w:val="cs-CZ"/>
          </w:rPr>
          <w:t>http://data.europa.eu/eli/reg/2024/2809/oj</w:t>
        </w:r>
      </w:hyperlink>
      <w:r w:rsidRPr="00987B48">
        <w:rPr>
          <w:sz w:val="24"/>
          <w:lang w:val="cs-CZ"/>
        </w:rPr>
        <w:t xml:space="preserve">), směrnice Evropského parlamentu a Rady (EU) 2024/2810 ze dne 23. října 2024 o strukturách zahrnujících akcie s násobným hlasovacím právem ve společnostech, které žádají o přijetí svých akcií k obchodování v mnohostranném obchodním systému (Úř. věst. L, 2024/2810, 14.11.2024, ELI: </w:t>
      </w:r>
      <w:hyperlink r:id="rId5" w:history="1">
        <w:r w:rsidRPr="00987B48">
          <w:rPr>
            <w:rStyle w:val="Hyperlink"/>
            <w:sz w:val="24"/>
            <w:lang w:val="cs-CZ"/>
          </w:rPr>
          <w:t>http://data.europa.eu/eli/dir/2024/2810/oj</w:t>
        </w:r>
      </w:hyperlink>
      <w:r w:rsidRPr="00987B48">
        <w:rPr>
          <w:sz w:val="24"/>
          <w:lang w:val="cs-CZ"/>
        </w:rPr>
        <w:t xml:space="preserve">) a směrnice Evropského parlamentu a Rady (EU) 2024/2811 ze dne 23. října 2024, kterou se mění směrnice 2014/65/EU za účelem zatraktivnění veřejných kapitálových trhů v Unii pro společnosti a usnadnění přístupu malých a středních podniků ke kapitálu a kterou se zrušuje směrnice 2001/34/ES (Úř. věst. L, 2024/2811, 14.11.2024, ELI: </w:t>
      </w:r>
      <w:hyperlink r:id="rId6" w:history="1">
        <w:r w:rsidRPr="00987B48">
          <w:rPr>
            <w:rStyle w:val="Hyperlink"/>
            <w:sz w:val="24"/>
            <w:lang w:val="cs-CZ"/>
          </w:rPr>
          <w:t>http://data.europa.eu/eli/dir/2024/2811/oj</w:t>
        </w:r>
      </w:hyperlink>
      <w:r w:rsidRPr="00987B48">
        <w:rPr>
          <w:sz w:val="24"/>
          <w:lang w:val="cs-CZ"/>
        </w:rPr>
        <w:t>).</w:t>
      </w:r>
      <w:bookmarkEnd w:id="7"/>
    </w:p>
  </w:footnote>
  <w:footnote w:id="5">
    <w:p w14:paraId="7957C0C5" w14:textId="1A3B55EC" w:rsidR="006D1A13" w:rsidRPr="00987B48" w:rsidRDefault="006D1A13" w:rsidP="00987B48">
      <w:pPr>
        <w:pStyle w:val="FootnoteText"/>
        <w:ind w:left="567" w:hanging="567"/>
        <w:rPr>
          <w:sz w:val="24"/>
          <w:lang w:val="cs-CZ"/>
        </w:rPr>
      </w:pPr>
      <w:r w:rsidRPr="00987B48">
        <w:rPr>
          <w:rStyle w:val="FootnoteReference"/>
          <w:sz w:val="24"/>
          <w:lang w:val="cs-CZ"/>
        </w:rPr>
        <w:footnoteRef/>
      </w:r>
      <w:r w:rsidR="00987B48" w:rsidRPr="00987B48">
        <w:rPr>
          <w:sz w:val="24"/>
          <w:lang w:val="cs-CZ"/>
        </w:rPr>
        <w:t xml:space="preserve"> </w:t>
      </w:r>
      <w:r w:rsidR="00987B48" w:rsidRPr="00987B48">
        <w:rPr>
          <w:sz w:val="24"/>
          <w:lang w:val="cs-CZ"/>
        </w:rPr>
        <w:tab/>
      </w:r>
      <w:r w:rsidRPr="00987B48">
        <w:rPr>
          <w:sz w:val="24"/>
          <w:lang w:val="cs-CZ"/>
        </w:rPr>
        <w:t xml:space="preserve">Nařízení Evropského parlamentu a Rady (EU) č. 345/2013 ze dne 17. dubna 2013 o evropských fondech rizikového kapitálu (Úř. věst. L 115, 25.4.2013, s. 1, ELI: </w:t>
      </w:r>
      <w:hyperlink r:id="rId7" w:history="1">
        <w:r w:rsidRPr="00987B48">
          <w:rPr>
            <w:rStyle w:val="Hyperlink"/>
            <w:sz w:val="24"/>
            <w:lang w:val="cs-CZ"/>
          </w:rPr>
          <w:t>http://data.europa.eu/eli/reg/2013/345/oj</w:t>
        </w:r>
      </w:hyperlink>
      <w:r w:rsidRPr="00987B48">
        <w:rPr>
          <w:sz w:val="24"/>
          <w:lang w:val="cs-CZ"/>
        </w:rPr>
        <w:t>).</w:t>
      </w:r>
    </w:p>
  </w:footnote>
  <w:footnote w:id="6">
    <w:p w14:paraId="368B3A28" w14:textId="07A59E5B" w:rsidR="006D1A13" w:rsidRPr="00987B48" w:rsidRDefault="006D1A13" w:rsidP="00987B48">
      <w:pPr>
        <w:pStyle w:val="FootnoteText"/>
        <w:ind w:left="567" w:hanging="567"/>
        <w:rPr>
          <w:sz w:val="24"/>
          <w:lang w:val="cs-CZ"/>
        </w:rPr>
      </w:pPr>
      <w:r w:rsidRPr="00987B48">
        <w:rPr>
          <w:rStyle w:val="FootnoteReference"/>
          <w:sz w:val="24"/>
          <w:lang w:val="cs-CZ"/>
        </w:rPr>
        <w:footnoteRef/>
      </w:r>
      <w:r w:rsidR="00987B48" w:rsidRPr="00987B48">
        <w:rPr>
          <w:sz w:val="24"/>
          <w:lang w:val="cs-CZ"/>
        </w:rPr>
        <w:t xml:space="preserve"> </w:t>
      </w:r>
      <w:r w:rsidR="00987B48" w:rsidRPr="00987B48">
        <w:rPr>
          <w:sz w:val="24"/>
          <w:lang w:val="cs-CZ"/>
        </w:rPr>
        <w:tab/>
      </w:r>
      <w:r w:rsidRPr="00987B48">
        <w:rPr>
          <w:sz w:val="24"/>
          <w:lang w:val="cs-CZ"/>
        </w:rPr>
        <w:t xml:space="preserve">Směrnice Evropského parlamentu a Rady 2014/65/EU ze dne 15. května 2014 o trzích finančních nástrojů a o změně směrnic 2002/92/ES a 2011/61/EU (Úř. věst. L 173, 12.6.2014, s. 349, ELI: </w:t>
      </w:r>
      <w:hyperlink r:id="rId8" w:history="1">
        <w:r w:rsidR="00C823BD" w:rsidRPr="00B76A04">
          <w:rPr>
            <w:rStyle w:val="Hyperlink"/>
            <w:sz w:val="24"/>
            <w:lang w:val="cs-CZ"/>
          </w:rPr>
          <w:t>http://data.europa.eu/eli/dir/2014/65/oj</w:t>
        </w:r>
      </w:hyperlink>
      <w:r w:rsidRPr="00987B48">
        <w:rPr>
          <w:sz w:val="24"/>
          <w:lang w:val="cs-CZ"/>
        </w:rPr>
        <w:t>).</w:t>
      </w:r>
    </w:p>
  </w:footnote>
  <w:footnote w:id="7">
    <w:p w14:paraId="1642DC49" w14:textId="0553F5A1" w:rsidR="006D1A13" w:rsidRPr="00987B48" w:rsidRDefault="006D1A13" w:rsidP="00987B48">
      <w:pPr>
        <w:pStyle w:val="FootnoteText"/>
        <w:ind w:left="567" w:hanging="567"/>
        <w:rPr>
          <w:sz w:val="24"/>
          <w:lang w:val="cs-CZ"/>
        </w:rPr>
      </w:pPr>
      <w:r w:rsidRPr="00987B48">
        <w:rPr>
          <w:rStyle w:val="FootnoteReference"/>
          <w:sz w:val="24"/>
          <w:lang w:val="cs-CZ"/>
        </w:rPr>
        <w:footnoteRef/>
      </w:r>
      <w:r w:rsidR="00987B48" w:rsidRPr="00987B48">
        <w:rPr>
          <w:sz w:val="24"/>
          <w:lang w:val="cs-CZ"/>
        </w:rPr>
        <w:t xml:space="preserve"> </w:t>
      </w:r>
      <w:r w:rsidR="00987B48" w:rsidRPr="00987B48">
        <w:rPr>
          <w:sz w:val="24"/>
          <w:lang w:val="cs-CZ"/>
        </w:rPr>
        <w:tab/>
      </w:r>
      <w:r w:rsidRPr="00987B48">
        <w:rPr>
          <w:sz w:val="24"/>
          <w:lang w:val="cs-CZ"/>
        </w:rPr>
        <w:t>Katsinis, A., Lagüera-González, J., Di Bella, L., Odenthal, L., Hell, M., et al., „Annual Report on European SMEs 2023/2024“ (Výroční zpráva o evropských malých a středních podnicích 2023/2024), Úřad pro publikace Evropské unie, 2024.</w:t>
      </w:r>
      <w:r w:rsidRPr="00987B48">
        <w:rPr>
          <w:color w:val="0000FF"/>
          <w:sz w:val="24"/>
          <w:u w:val="single"/>
          <w:lang w:val="cs-CZ"/>
        </w:rPr>
        <w:t xml:space="preserve"> </w:t>
      </w:r>
      <w:hyperlink r:id="rId9" w:history="1">
        <w:r w:rsidRPr="00987B48">
          <w:rPr>
            <w:rStyle w:val="Hyperlink"/>
            <w:sz w:val="24"/>
            <w:lang w:val="cs-CZ"/>
          </w:rPr>
          <w:t>https://single-market-economy.ec.europa.eu/document/download/2bef0eda-2f75-497d-982e-c0d1cea57c0e_en?filename=Annual%20Report%20on%20European%20SMEs%202024.pdf</w:t>
        </w:r>
      </w:hyperlink>
      <w:r w:rsidRPr="00987B4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99846" w14:textId="77777777" w:rsidR="00064002" w:rsidRPr="00987B4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48130" w14:textId="77777777" w:rsidR="00064002" w:rsidRPr="00987B4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C2A27" w14:textId="77777777" w:rsidR="00064002" w:rsidRPr="00987B4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4591395">
    <w:abstractNumId w:val="9"/>
  </w:num>
  <w:num w:numId="2" w16cid:durableId="738092704">
    <w:abstractNumId w:val="9"/>
  </w:num>
  <w:num w:numId="3" w16cid:durableId="410854881">
    <w:abstractNumId w:val="7"/>
  </w:num>
  <w:num w:numId="4" w16cid:durableId="301159522">
    <w:abstractNumId w:val="7"/>
  </w:num>
  <w:num w:numId="5" w16cid:durableId="948009003">
    <w:abstractNumId w:val="6"/>
  </w:num>
  <w:num w:numId="6" w16cid:durableId="3673304">
    <w:abstractNumId w:val="6"/>
  </w:num>
  <w:num w:numId="7" w16cid:durableId="630213829">
    <w:abstractNumId w:val="5"/>
  </w:num>
  <w:num w:numId="8" w16cid:durableId="56707130">
    <w:abstractNumId w:val="5"/>
  </w:num>
  <w:num w:numId="9" w16cid:durableId="393047753">
    <w:abstractNumId w:val="4"/>
  </w:num>
  <w:num w:numId="10" w16cid:durableId="804859341">
    <w:abstractNumId w:val="4"/>
  </w:num>
  <w:num w:numId="11" w16cid:durableId="1545752773">
    <w:abstractNumId w:val="8"/>
  </w:num>
  <w:num w:numId="12" w16cid:durableId="404303643">
    <w:abstractNumId w:val="8"/>
  </w:num>
  <w:num w:numId="13" w16cid:durableId="1926915265">
    <w:abstractNumId w:val="3"/>
  </w:num>
  <w:num w:numId="14" w16cid:durableId="792021430">
    <w:abstractNumId w:val="3"/>
  </w:num>
  <w:num w:numId="15" w16cid:durableId="41291322">
    <w:abstractNumId w:val="2"/>
  </w:num>
  <w:num w:numId="16" w16cid:durableId="249313127">
    <w:abstractNumId w:val="2"/>
  </w:num>
  <w:num w:numId="17" w16cid:durableId="1780104771">
    <w:abstractNumId w:val="1"/>
  </w:num>
  <w:num w:numId="18" w16cid:durableId="498424112">
    <w:abstractNumId w:val="1"/>
  </w:num>
  <w:num w:numId="19" w16cid:durableId="1368413712">
    <w:abstractNumId w:val="0"/>
  </w:num>
  <w:num w:numId="20" w16cid:durableId="2096433485">
    <w:abstractNumId w:val="0"/>
  </w:num>
  <w:num w:numId="21" w16cid:durableId="1296762290">
    <w:abstractNumId w:val="9"/>
  </w:num>
  <w:num w:numId="22" w16cid:durableId="257299114">
    <w:abstractNumId w:val="7"/>
  </w:num>
  <w:num w:numId="23" w16cid:durableId="805858085">
    <w:abstractNumId w:val="6"/>
  </w:num>
  <w:num w:numId="24" w16cid:durableId="197276261">
    <w:abstractNumId w:val="5"/>
  </w:num>
  <w:num w:numId="25" w16cid:durableId="464543830">
    <w:abstractNumId w:val="4"/>
  </w:num>
  <w:num w:numId="26" w16cid:durableId="742870699">
    <w:abstractNumId w:val="8"/>
  </w:num>
  <w:num w:numId="27" w16cid:durableId="2014065852">
    <w:abstractNumId w:val="3"/>
  </w:num>
  <w:num w:numId="28" w16cid:durableId="1940134293">
    <w:abstractNumId w:val="2"/>
  </w:num>
  <w:num w:numId="29" w16cid:durableId="933054199">
    <w:abstractNumId w:val="1"/>
  </w:num>
  <w:num w:numId="30" w16cid:durableId="669256681">
    <w:abstractNumId w:val="0"/>
  </w:num>
  <w:num w:numId="31" w16cid:durableId="1733769047">
    <w:abstractNumId w:val="9"/>
  </w:num>
  <w:num w:numId="32" w16cid:durableId="10492919">
    <w:abstractNumId w:val="7"/>
  </w:num>
  <w:num w:numId="33" w16cid:durableId="1191332253">
    <w:abstractNumId w:val="6"/>
  </w:num>
  <w:num w:numId="34" w16cid:durableId="1695351248">
    <w:abstractNumId w:val="5"/>
  </w:num>
  <w:num w:numId="35" w16cid:durableId="1559785430">
    <w:abstractNumId w:val="4"/>
  </w:num>
  <w:num w:numId="36" w16cid:durableId="1435245785">
    <w:abstractNumId w:val="8"/>
  </w:num>
  <w:num w:numId="37" w16cid:durableId="702749986">
    <w:abstractNumId w:val="3"/>
  </w:num>
  <w:num w:numId="38" w16cid:durableId="304550894">
    <w:abstractNumId w:val="2"/>
  </w:num>
  <w:num w:numId="39" w16cid:durableId="493644666">
    <w:abstractNumId w:val="1"/>
  </w:num>
  <w:num w:numId="40" w16cid:durableId="1496527361">
    <w:abstractNumId w:val="0"/>
  </w:num>
  <w:num w:numId="41" w16cid:durableId="850410834">
    <w:abstractNumId w:val="10"/>
  </w:num>
  <w:num w:numId="42" w16cid:durableId="307326944">
    <w:abstractNumId w:val="10"/>
  </w:num>
  <w:num w:numId="43" w16cid:durableId="41289163">
    <w:abstractNumId w:val="10"/>
  </w:num>
  <w:num w:numId="44" w16cid:durableId="20570450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5/2025"/>
    <w:docVar w:name="dvlangue" w:val="CS"/>
    <w:docVar w:name="dvnumam" w:val="0"/>
    <w:docVar w:name="dvpe" w:val="772.123"/>
    <w:docVar w:name="dvrapporteur" w:val="Zpravodaj: "/>
    <w:docVar w:name="dvtitre" w:val="Usnesení Evropského parlamentu ze dne.... 2025 Přístup k financování pro malé a střední podniky a scaleupy(2025/2072(INI))"/>
  </w:docVars>
  <w:rsids>
    <w:rsidRoot w:val="00F7625D"/>
    <w:rsid w:val="00002272"/>
    <w:rsid w:val="0004144E"/>
    <w:rsid w:val="00064002"/>
    <w:rsid w:val="000677B9"/>
    <w:rsid w:val="000831BA"/>
    <w:rsid w:val="000A42CC"/>
    <w:rsid w:val="000E7DD9"/>
    <w:rsid w:val="0010095E"/>
    <w:rsid w:val="00125B37"/>
    <w:rsid w:val="00187494"/>
    <w:rsid w:val="001C01AC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382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A1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08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7B4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7684"/>
    <w:rsid w:val="00C823BD"/>
    <w:rsid w:val="00C941CB"/>
    <w:rsid w:val="00CC2357"/>
    <w:rsid w:val="00CE3E8E"/>
    <w:rsid w:val="00CE6AD1"/>
    <w:rsid w:val="00CF071A"/>
    <w:rsid w:val="00D058B8"/>
    <w:rsid w:val="00D56C11"/>
    <w:rsid w:val="00D73FCF"/>
    <w:rsid w:val="00D834A0"/>
    <w:rsid w:val="00D872DF"/>
    <w:rsid w:val="00D91E21"/>
    <w:rsid w:val="00DA7FCD"/>
    <w:rsid w:val="00E039AB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625D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F89588"/>
  <w15:chartTrackingRefBased/>
  <w15:docId w15:val="{A15981A1-DAAD-45C4-8EDD-ED7947D12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D1A13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6D1A13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6D1A13"/>
    <w:pPr>
      <w:spacing w:after="240"/>
      <w:jc w:val="center"/>
    </w:pPr>
  </w:style>
  <w:style w:type="character" w:customStyle="1" w:styleId="BoldItalic">
    <w:name w:val="BoldItalic"/>
    <w:uiPriority w:val="1"/>
    <w:rsid w:val="006D1A13"/>
    <w:rPr>
      <w:b/>
      <w:i/>
      <w:u w:val="none"/>
    </w:rPr>
  </w:style>
  <w:style w:type="character" w:customStyle="1" w:styleId="Italic">
    <w:name w:val="Italic"/>
    <w:uiPriority w:val="1"/>
    <w:rsid w:val="006D1A13"/>
    <w:rPr>
      <w:i/>
    </w:rPr>
  </w:style>
  <w:style w:type="paragraph" w:customStyle="1" w:styleId="Normal12a24b">
    <w:name w:val="Normal12a24b"/>
    <w:basedOn w:val="Normal"/>
    <w:rsid w:val="006D1A13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uiPriority w:val="99"/>
    <w:rsid w:val="006D1A13"/>
    <w:rPr>
      <w:color w:val="0000FF"/>
      <w:u w:val="single"/>
    </w:rPr>
  </w:style>
  <w:style w:type="paragraph" w:styleId="Revision">
    <w:name w:val="Revision"/>
    <w:hidden/>
    <w:uiPriority w:val="99"/>
    <w:semiHidden/>
    <w:rsid w:val="0004144E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C823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4B38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14/65/oj" TargetMode="External"/><Relationship Id="rId3" Type="http://schemas.openxmlformats.org/officeDocument/2006/relationships/hyperlink" Target="https://commission.europa.eu/document/97e481fd-2dc3-412d-be4c-f152a8232961_en" TargetMode="External"/><Relationship Id="rId7" Type="http://schemas.openxmlformats.org/officeDocument/2006/relationships/hyperlink" Target="http://data.europa.eu/eli/reg/2013/345/oj" TargetMode="External"/><Relationship Id="rId2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Relationship Id="rId1" Type="http://schemas.openxmlformats.org/officeDocument/2006/relationships/hyperlink" Target="http://data.europa.eu/eli/C/2024/4182/oj" TargetMode="External"/><Relationship Id="rId6" Type="http://schemas.openxmlformats.org/officeDocument/2006/relationships/hyperlink" Target="http://data.europa.eu/eli/dir/2024/2811/oj" TargetMode="External"/><Relationship Id="rId5" Type="http://schemas.openxmlformats.org/officeDocument/2006/relationships/hyperlink" Target="http://data.europa.eu/eli/dir/2024/2810/oj" TargetMode="External"/><Relationship Id="rId4" Type="http://schemas.openxmlformats.org/officeDocument/2006/relationships/hyperlink" Target="http://data.europa.eu/eli/reg/2024/2809/oj" TargetMode="External"/><Relationship Id="rId9" Type="http://schemas.openxmlformats.org/officeDocument/2006/relationships/hyperlink" Target="https://single-market-economy.ec.europa.eu/document/download/2bef0eda-2f75-497d-982e-c0d1cea57c0e_en?filename=Annual%20Report%20on%20European%20SMEs%20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3746</Words>
  <Characters>22824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2026-01-22T07:49:00Z</dcterms:created>
  <dcterms:modified xsi:type="dcterms:W3CDTF">2026-01-22T07:49:00Z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A10-0185/2025</vt:lpwstr>
  </property>
  <property fmtid="{D5CDD505-2E9C-101B-9397-08002B2CF9AE}" pid="4" name="&lt;Type&gt;">
    <vt:lpwstr>RR</vt:lpwstr>
  </property>
</Properties>
</file>