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6369" w14:paraId="54C32424" w14:textId="77777777" w:rsidTr="0010095E">
        <w:trPr>
          <w:trHeight w:hRule="exact" w:val="1418"/>
        </w:trPr>
        <w:tc>
          <w:tcPr>
            <w:tcW w:w="6804" w:type="dxa"/>
            <w:shd w:val="clear" w:color="auto" w:fill="auto"/>
            <w:vAlign w:val="center"/>
          </w:tcPr>
          <w:p w14:paraId="714BE74A" w14:textId="77777777" w:rsidR="00751A4A" w:rsidRPr="00676369" w:rsidRDefault="00F6093F" w:rsidP="0010095E">
            <w:pPr>
              <w:pStyle w:val="EPName"/>
            </w:pPr>
            <w:r w:rsidRPr="00676369">
              <w:t>Europa-Parlamentet</w:t>
            </w:r>
          </w:p>
          <w:p w14:paraId="07F4FDE5" w14:textId="77777777" w:rsidR="00751A4A" w:rsidRPr="00676369" w:rsidRDefault="005F1B17" w:rsidP="005F1B17">
            <w:pPr>
              <w:pStyle w:val="EPTerm"/>
              <w:rPr>
                <w:rStyle w:val="HideTWBExt"/>
                <w:noProof w:val="0"/>
                <w:vanish w:val="0"/>
                <w:color w:val="auto"/>
              </w:rPr>
            </w:pPr>
            <w:r w:rsidRPr="00676369">
              <w:t>2024</w:t>
            </w:r>
            <w:r w:rsidR="00817416" w:rsidRPr="00676369">
              <w:t>-202</w:t>
            </w:r>
            <w:r w:rsidRPr="00676369">
              <w:t>9</w:t>
            </w:r>
          </w:p>
        </w:tc>
        <w:tc>
          <w:tcPr>
            <w:tcW w:w="2268" w:type="dxa"/>
            <w:shd w:val="clear" w:color="auto" w:fill="auto"/>
          </w:tcPr>
          <w:p w14:paraId="5CBCDEFB" w14:textId="77777777" w:rsidR="00751A4A" w:rsidRPr="00676369" w:rsidRDefault="00187494" w:rsidP="0010095E">
            <w:pPr>
              <w:pStyle w:val="EPLogo"/>
            </w:pPr>
            <w:r w:rsidRPr="00676369">
              <w:rPr>
                <w:noProof/>
                <w:lang w:eastAsia="ja-JP"/>
              </w:rPr>
              <w:drawing>
                <wp:inline distT="0" distB="0" distL="0" distR="0" wp14:anchorId="0DB02EDE" wp14:editId="3B02BF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4E5490" w14:textId="77777777" w:rsidR="00D058B8" w:rsidRPr="00676369" w:rsidRDefault="00D058B8" w:rsidP="004C5D52">
      <w:pPr>
        <w:pStyle w:val="LineTop"/>
      </w:pPr>
    </w:p>
    <w:p w14:paraId="210F1033" w14:textId="77777777" w:rsidR="00680577" w:rsidRPr="00676369" w:rsidRDefault="00F6093F" w:rsidP="00680577">
      <w:pPr>
        <w:pStyle w:val="EPBodyTA1"/>
      </w:pPr>
      <w:r w:rsidRPr="00676369">
        <w:t>VEDTAGNE TEKSTER</w:t>
      </w:r>
    </w:p>
    <w:p w14:paraId="59ED3FFB" w14:textId="77777777" w:rsidR="00D058B8" w:rsidRPr="00676369" w:rsidRDefault="00D058B8" w:rsidP="00D058B8">
      <w:pPr>
        <w:pStyle w:val="LineBottom"/>
      </w:pPr>
    </w:p>
    <w:p w14:paraId="7DBC56A6" w14:textId="0B27BFC8" w:rsidR="00F6093F" w:rsidRPr="00676369" w:rsidRDefault="00F6093F" w:rsidP="00F6093F">
      <w:pPr>
        <w:pStyle w:val="ATHeading1"/>
      </w:pPr>
      <w:bookmarkStart w:id="0" w:name="TANumber"/>
      <w:r w:rsidRPr="00676369">
        <w:t>P10_</w:t>
      </w:r>
      <w:proofErr w:type="gramStart"/>
      <w:r w:rsidRPr="00676369">
        <w:t>TA(</w:t>
      </w:r>
      <w:proofErr w:type="gramEnd"/>
      <w:r w:rsidRPr="00676369">
        <w:t>2025)0</w:t>
      </w:r>
      <w:r w:rsidR="004E4E71">
        <w:t>3</w:t>
      </w:r>
      <w:r w:rsidRPr="00676369">
        <w:t>00</w:t>
      </w:r>
      <w:bookmarkEnd w:id="0"/>
    </w:p>
    <w:p w14:paraId="3D550FAC" w14:textId="45CCFE05" w:rsidR="00F6093F" w:rsidRPr="00676369" w:rsidRDefault="002A0036" w:rsidP="00F6093F">
      <w:pPr>
        <w:pStyle w:val="ATHeading2"/>
      </w:pPr>
      <w:r w:rsidRPr="002A0036">
        <w:t>Adgang til finansiering for SMV'er og vækstvirksomheder</w:t>
      </w:r>
    </w:p>
    <w:p w14:paraId="03470C95" w14:textId="77777777" w:rsidR="00F6093F" w:rsidRPr="00676369" w:rsidRDefault="00F6093F" w:rsidP="00F6093F">
      <w:pPr>
        <w:rPr>
          <w:i/>
          <w:vanish/>
        </w:rPr>
      </w:pPr>
      <w:r w:rsidRPr="00676369">
        <w:rPr>
          <w:i/>
        </w:rPr>
        <w:fldChar w:fldCharType="begin"/>
      </w:r>
      <w:r w:rsidRPr="00676369">
        <w:rPr>
          <w:i/>
        </w:rPr>
        <w:instrText xml:space="preserve"> TC"(</w:instrText>
      </w:r>
      <w:bookmarkStart w:id="1" w:name="DocNumber"/>
      <w:r w:rsidRPr="00676369">
        <w:rPr>
          <w:i/>
        </w:rPr>
        <w:instrText>A10-0185/2025</w:instrText>
      </w:r>
      <w:bookmarkEnd w:id="1"/>
      <w:r w:rsidRPr="00676369">
        <w:rPr>
          <w:i/>
        </w:rPr>
        <w:instrText xml:space="preserve"> - Ordfører: Jorge Martín Frías)"\l3 \n&gt; \* MERGEFORMAT </w:instrText>
      </w:r>
      <w:r w:rsidRPr="00676369">
        <w:rPr>
          <w:i/>
        </w:rPr>
        <w:fldChar w:fldCharType="end"/>
      </w:r>
    </w:p>
    <w:p w14:paraId="57BA7476" w14:textId="77777777" w:rsidR="00F6093F" w:rsidRPr="00676369" w:rsidRDefault="00F6093F" w:rsidP="00F6093F">
      <w:pPr>
        <w:rPr>
          <w:vanish/>
        </w:rPr>
      </w:pPr>
      <w:bookmarkStart w:id="2" w:name="Commission"/>
      <w:r w:rsidRPr="00676369">
        <w:rPr>
          <w:vanish/>
        </w:rPr>
        <w:t>Økonomi- og Valutaudvalget</w:t>
      </w:r>
      <w:bookmarkEnd w:id="2"/>
    </w:p>
    <w:p w14:paraId="2712C5E3" w14:textId="77777777" w:rsidR="00F6093F" w:rsidRPr="00676369" w:rsidRDefault="00F6093F" w:rsidP="00F6093F">
      <w:pPr>
        <w:rPr>
          <w:vanish/>
        </w:rPr>
      </w:pPr>
      <w:bookmarkStart w:id="3" w:name="PE"/>
      <w:r w:rsidRPr="00676369">
        <w:rPr>
          <w:vanish/>
        </w:rPr>
        <w:t>PE772.123</w:t>
      </w:r>
      <w:bookmarkEnd w:id="3"/>
    </w:p>
    <w:p w14:paraId="163E58FA" w14:textId="2D9B1731" w:rsidR="00F6093F" w:rsidRPr="00676369" w:rsidRDefault="00F6093F" w:rsidP="00F6093F">
      <w:pPr>
        <w:pStyle w:val="ATHeading3"/>
      </w:pPr>
      <w:bookmarkStart w:id="4" w:name="Sujet"/>
      <w:r w:rsidRPr="00676369">
        <w:t xml:space="preserve">Europa-Parlamentets beslutning af </w:t>
      </w:r>
      <w:r w:rsidR="00E615B3">
        <w:t>26</w:t>
      </w:r>
      <w:r w:rsidRPr="00676369">
        <w:t>.</w:t>
      </w:r>
      <w:r w:rsidR="002A0036">
        <w:t xml:space="preserve"> november</w:t>
      </w:r>
      <w:r w:rsidRPr="00676369">
        <w:t xml:space="preserve"> 2025 om adgang til finansiering for SMV'er og vækstvirksomheder</w:t>
      </w:r>
      <w:bookmarkEnd w:id="4"/>
      <w:r w:rsidRPr="00676369">
        <w:t xml:space="preserve"> </w:t>
      </w:r>
      <w:bookmarkStart w:id="5" w:name="References"/>
      <w:r w:rsidRPr="00676369">
        <w:t>(2025/2072(INI))</w:t>
      </w:r>
      <w:bookmarkEnd w:id="5"/>
    </w:p>
    <w:p w14:paraId="26561102" w14:textId="77777777" w:rsidR="002F166E" w:rsidRPr="00676369" w:rsidRDefault="002F166E" w:rsidP="002F166E">
      <w:pPr>
        <w:pStyle w:val="EPComma"/>
      </w:pPr>
      <w:r w:rsidRPr="00676369">
        <w:rPr>
          <w:rStyle w:val="Italic"/>
          <w:iCs/>
        </w:rPr>
        <w:t>Europa-Parlamentet</w:t>
      </w:r>
      <w:r w:rsidRPr="00676369">
        <w:rPr>
          <w:i/>
          <w:iCs/>
        </w:rPr>
        <w:t>,</w:t>
      </w:r>
    </w:p>
    <w:p w14:paraId="4ED74DDF" w14:textId="77777777" w:rsidR="002F166E" w:rsidRPr="00676369" w:rsidRDefault="002F166E" w:rsidP="002F166E">
      <w:pPr>
        <w:pStyle w:val="NormalHanging12a"/>
        <w:rPr>
          <w:szCs w:val="24"/>
        </w:rPr>
      </w:pPr>
      <w:r w:rsidRPr="00676369">
        <w:rPr>
          <w:szCs w:val="24"/>
        </w:rPr>
        <w:t>–</w:t>
      </w:r>
      <w:r w:rsidRPr="00676369">
        <w:rPr>
          <w:szCs w:val="24"/>
        </w:rPr>
        <w:tab/>
        <w:t>der henviser til Kommissionens meddelelse af 29. januar 2025 med titlen "Et konkurrenceevnekompas for EU" (</w:t>
      </w:r>
      <w:proofErr w:type="gramStart"/>
      <w:r w:rsidRPr="00676369">
        <w:rPr>
          <w:szCs w:val="24"/>
        </w:rPr>
        <w:t>COM(</w:t>
      </w:r>
      <w:proofErr w:type="gramEnd"/>
      <w:r w:rsidRPr="00676369">
        <w:rPr>
          <w:szCs w:val="24"/>
        </w:rPr>
        <w:t>2025)0030),</w:t>
      </w:r>
    </w:p>
    <w:p w14:paraId="34D33D2D" w14:textId="77777777" w:rsidR="002F166E" w:rsidRPr="00676369" w:rsidRDefault="002F166E" w:rsidP="002F166E">
      <w:pPr>
        <w:pStyle w:val="NormalHanging12a"/>
        <w:rPr>
          <w:snapToGrid/>
          <w:szCs w:val="24"/>
        </w:rPr>
      </w:pPr>
      <w:r w:rsidRPr="00676369">
        <w:rPr>
          <w:szCs w:val="24"/>
        </w:rPr>
        <w:t>–</w:t>
      </w:r>
      <w:r w:rsidRPr="00676369">
        <w:rPr>
          <w:szCs w:val="24"/>
        </w:rPr>
        <w:tab/>
        <w:t>der henviser til Kommissionens meddelelse af 28. maj 2025 med titlen "EU's strategi for opstarts- og vækstvirksomheder: Gør Europa til valget for opstart og opskalering" (</w:t>
      </w:r>
      <w:proofErr w:type="gramStart"/>
      <w:r w:rsidRPr="00676369">
        <w:rPr>
          <w:szCs w:val="24"/>
        </w:rPr>
        <w:t>COM(</w:t>
      </w:r>
      <w:proofErr w:type="gramEnd"/>
      <w:r w:rsidRPr="00676369">
        <w:rPr>
          <w:szCs w:val="24"/>
        </w:rPr>
        <w:t>2025)0270),</w:t>
      </w:r>
    </w:p>
    <w:p w14:paraId="26DEC708" w14:textId="77777777" w:rsidR="002F166E" w:rsidRPr="00676369" w:rsidRDefault="002F166E" w:rsidP="002F166E">
      <w:pPr>
        <w:pStyle w:val="NormalHanging12a"/>
        <w:rPr>
          <w:szCs w:val="24"/>
        </w:rPr>
      </w:pPr>
      <w:r w:rsidRPr="00676369">
        <w:rPr>
          <w:szCs w:val="24"/>
        </w:rPr>
        <w:t>–</w:t>
      </w:r>
      <w:r w:rsidRPr="00676369">
        <w:rPr>
          <w:szCs w:val="24"/>
        </w:rPr>
        <w:tab/>
        <w:t>der henviser til Kommissionens meddelelse af 21. maj 2025 med titlen "Det indre marked: vores europæiske hjemmemarked i en usikker verden – En strategi for at gøre det indre marked enkelt, gnidningsløst og stærkt" (</w:t>
      </w:r>
      <w:proofErr w:type="gramStart"/>
      <w:r w:rsidRPr="00676369">
        <w:rPr>
          <w:szCs w:val="24"/>
        </w:rPr>
        <w:t>COM(</w:t>
      </w:r>
      <w:proofErr w:type="gramEnd"/>
      <w:r w:rsidRPr="00676369">
        <w:rPr>
          <w:szCs w:val="24"/>
        </w:rPr>
        <w:t>2025)0500),</w:t>
      </w:r>
    </w:p>
    <w:p w14:paraId="4B865606" w14:textId="77777777" w:rsidR="002F166E" w:rsidRPr="00676369" w:rsidRDefault="002F166E" w:rsidP="002F166E">
      <w:pPr>
        <w:pStyle w:val="NormalHanging12a"/>
        <w:rPr>
          <w:szCs w:val="24"/>
        </w:rPr>
      </w:pPr>
      <w:r w:rsidRPr="00676369">
        <w:rPr>
          <w:szCs w:val="24"/>
        </w:rPr>
        <w:t>–</w:t>
      </w:r>
      <w:r w:rsidRPr="00676369">
        <w:rPr>
          <w:szCs w:val="24"/>
        </w:rPr>
        <w:tab/>
        <w:t>der henviser til Budapesterklæringen, som blev vedtaget den 8. november 2024 på det uformelle møde mellem stats- og regeringscheferne,</w:t>
      </w:r>
    </w:p>
    <w:p w14:paraId="7B9EEF08" w14:textId="77777777" w:rsidR="002F166E" w:rsidRPr="00676369" w:rsidRDefault="002F166E" w:rsidP="002F166E">
      <w:pPr>
        <w:pStyle w:val="NormalHanging12a"/>
        <w:rPr>
          <w:szCs w:val="24"/>
        </w:rPr>
      </w:pPr>
      <w:r w:rsidRPr="00676369">
        <w:rPr>
          <w:szCs w:val="24"/>
        </w:rPr>
        <w:t>–</w:t>
      </w:r>
      <w:r w:rsidRPr="00676369">
        <w:rPr>
          <w:szCs w:val="24"/>
        </w:rPr>
        <w:tab/>
        <w:t>der henviser til Kommissionens formand Ursula von der Leyens publikation af 18. juli 2024 med titlen "Europas valg – politiske retningslinjer for den næste Europa-Kommission 2024-2029",</w:t>
      </w:r>
    </w:p>
    <w:p w14:paraId="1B44F15B" w14:textId="77777777" w:rsidR="002F166E" w:rsidRPr="00676369" w:rsidRDefault="002F166E" w:rsidP="002F166E">
      <w:pPr>
        <w:pStyle w:val="NormalHanging12a"/>
        <w:rPr>
          <w:szCs w:val="24"/>
        </w:rPr>
      </w:pPr>
      <w:r w:rsidRPr="00676369">
        <w:rPr>
          <w:szCs w:val="24"/>
        </w:rPr>
        <w:t>–</w:t>
      </w:r>
      <w:r w:rsidRPr="00676369">
        <w:rPr>
          <w:szCs w:val="24"/>
        </w:rPr>
        <w:tab/>
        <w:t>der henviser til Den Europæiske Centralbanks rapport med titlen "Survey on the Access to Finance of Enterprises in the euro area – First Quarter of 2025", som blev offentliggjort i april 2025,</w:t>
      </w:r>
    </w:p>
    <w:p w14:paraId="3EEBF5D1" w14:textId="77777777" w:rsidR="002F166E" w:rsidRPr="00676369" w:rsidRDefault="002F166E" w:rsidP="002F166E">
      <w:pPr>
        <w:pStyle w:val="NormalHanging12a"/>
        <w:rPr>
          <w:szCs w:val="24"/>
        </w:rPr>
      </w:pPr>
      <w:r w:rsidRPr="00676369">
        <w:rPr>
          <w:szCs w:val="24"/>
        </w:rPr>
        <w:t>–</w:t>
      </w:r>
      <w:r w:rsidRPr="00676369">
        <w:rPr>
          <w:szCs w:val="24"/>
        </w:rPr>
        <w:tab/>
        <w:t>der henviser til Kommissionens meddelelse af 19. marts 2025 med titlen "Opsparings- og investeringsunionen – En strategi til fremme af borgernes velstand og økonomisk konkurrenceevne i EU" (</w:t>
      </w:r>
      <w:proofErr w:type="gramStart"/>
      <w:r w:rsidRPr="00676369">
        <w:rPr>
          <w:szCs w:val="24"/>
        </w:rPr>
        <w:t>COM(</w:t>
      </w:r>
      <w:proofErr w:type="gramEnd"/>
      <w:r w:rsidRPr="00676369">
        <w:rPr>
          <w:szCs w:val="24"/>
        </w:rPr>
        <w:t>2025)0124),</w:t>
      </w:r>
    </w:p>
    <w:p w14:paraId="7D4230E2" w14:textId="77777777" w:rsidR="002F166E" w:rsidRPr="00676369" w:rsidRDefault="002F166E" w:rsidP="002F166E">
      <w:pPr>
        <w:pStyle w:val="NormalHanging12a"/>
        <w:rPr>
          <w:szCs w:val="24"/>
        </w:rPr>
      </w:pPr>
      <w:r w:rsidRPr="00676369">
        <w:rPr>
          <w:szCs w:val="24"/>
        </w:rPr>
        <w:t>–</w:t>
      </w:r>
      <w:r w:rsidRPr="00676369">
        <w:rPr>
          <w:szCs w:val="24"/>
        </w:rPr>
        <w:tab/>
        <w:t>der henviser til Kommissionens rapport med titlen "Survey on the access to finance of enterprises (SAFE) – Analytical report 2024", som blev offentliggjort i januar 2025,</w:t>
      </w:r>
    </w:p>
    <w:p w14:paraId="6F5A45C2" w14:textId="77777777" w:rsidR="002F166E" w:rsidRPr="00676369" w:rsidRDefault="002F166E" w:rsidP="002F166E">
      <w:pPr>
        <w:pStyle w:val="NormalHanging12a"/>
        <w:rPr>
          <w:szCs w:val="24"/>
        </w:rPr>
      </w:pPr>
      <w:r w:rsidRPr="00676369">
        <w:rPr>
          <w:szCs w:val="24"/>
        </w:rPr>
        <w:lastRenderedPageBreak/>
        <w:t>–</w:t>
      </w:r>
      <w:r w:rsidRPr="00676369">
        <w:rPr>
          <w:szCs w:val="24"/>
        </w:rPr>
        <w:tab/>
        <w:t>der henviser til Mario Draghis rapport med titlen "The future of European competitiveness: A competitiveness strategy for Europe" (Draghi-rapporten), som blev offentliggjort i september 2024,</w:t>
      </w:r>
    </w:p>
    <w:p w14:paraId="753326D3" w14:textId="77777777" w:rsidR="002F166E" w:rsidRPr="00676369" w:rsidRDefault="002F166E" w:rsidP="002F166E">
      <w:pPr>
        <w:pStyle w:val="NormalHanging12a"/>
        <w:rPr>
          <w:szCs w:val="24"/>
        </w:rPr>
      </w:pPr>
      <w:r w:rsidRPr="00676369">
        <w:rPr>
          <w:szCs w:val="24"/>
        </w:rPr>
        <w:t>–</w:t>
      </w:r>
      <w:r w:rsidRPr="00676369">
        <w:rPr>
          <w:szCs w:val="24"/>
        </w:rPr>
        <w:tab/>
        <w:t>der henviser til Kommissionens årsberetning af 25. juli 2024 med titlen "Annual Report on European SMEs 2023/2024",</w:t>
      </w:r>
    </w:p>
    <w:p w14:paraId="46655687" w14:textId="77777777" w:rsidR="002F166E" w:rsidRPr="00676369" w:rsidRDefault="002F166E" w:rsidP="002F166E">
      <w:pPr>
        <w:pStyle w:val="NormalHanging12a"/>
        <w:rPr>
          <w:szCs w:val="24"/>
        </w:rPr>
      </w:pPr>
      <w:r w:rsidRPr="00676369">
        <w:rPr>
          <w:szCs w:val="24"/>
        </w:rPr>
        <w:t>–</w:t>
      </w:r>
      <w:r w:rsidRPr="00676369">
        <w:rPr>
          <w:szCs w:val="24"/>
        </w:rPr>
        <w:tab/>
        <w:t xml:space="preserve">der henviser til Enrico Lettas rapport med titlen "Much </w:t>
      </w:r>
      <w:proofErr w:type="gramStart"/>
      <w:r w:rsidRPr="00676369">
        <w:rPr>
          <w:szCs w:val="24"/>
        </w:rPr>
        <w:t>more</w:t>
      </w:r>
      <w:proofErr w:type="gramEnd"/>
      <w:r w:rsidRPr="00676369">
        <w:rPr>
          <w:szCs w:val="24"/>
        </w:rPr>
        <w:t xml:space="preserve"> than a market" (Letta-rapporten), som blev offentliggjort i april 2024,</w:t>
      </w:r>
    </w:p>
    <w:p w14:paraId="38B545D8" w14:textId="77777777" w:rsidR="002F166E" w:rsidRPr="00676369" w:rsidRDefault="002F166E" w:rsidP="002F166E">
      <w:pPr>
        <w:pStyle w:val="NormalHanging12a"/>
        <w:rPr>
          <w:szCs w:val="24"/>
        </w:rPr>
      </w:pPr>
      <w:r w:rsidRPr="00676369">
        <w:rPr>
          <w:szCs w:val="24"/>
        </w:rPr>
        <w:t>–</w:t>
      </w:r>
      <w:r w:rsidRPr="00676369">
        <w:rPr>
          <w:szCs w:val="24"/>
        </w:rPr>
        <w:tab/>
        <w:t>der henviser til konklusionerne fra det ekstraordinære møde i Det Europæiske Råd den 17. og 18. april 2024,</w:t>
      </w:r>
    </w:p>
    <w:p w14:paraId="1D455047" w14:textId="77777777" w:rsidR="002F166E" w:rsidRPr="00676369" w:rsidRDefault="002F166E" w:rsidP="002F166E">
      <w:pPr>
        <w:pStyle w:val="NormalHanging12a"/>
        <w:rPr>
          <w:szCs w:val="24"/>
        </w:rPr>
      </w:pPr>
      <w:r w:rsidRPr="00676369">
        <w:rPr>
          <w:szCs w:val="24"/>
        </w:rPr>
        <w:t>–</w:t>
      </w:r>
      <w:r w:rsidRPr="00676369">
        <w:rPr>
          <w:szCs w:val="24"/>
        </w:rPr>
        <w:tab/>
        <w:t>der henviser til sin beslutning af 14. december 2023 om øget innovation og industriel og teknologisk konkurrenceevne gennem et gunstigt miljø for startupvirksomheder og vækstvirksomheder</w:t>
      </w:r>
      <w:r w:rsidRPr="00676369">
        <w:rPr>
          <w:rStyle w:val="FootnoteReference"/>
          <w:szCs w:val="24"/>
        </w:rPr>
        <w:footnoteReference w:id="1"/>
      </w:r>
      <w:r w:rsidRPr="00676369">
        <w:rPr>
          <w:szCs w:val="24"/>
        </w:rPr>
        <w:t>,</w:t>
      </w:r>
    </w:p>
    <w:p w14:paraId="07258159" w14:textId="77777777" w:rsidR="002F166E" w:rsidRPr="00676369" w:rsidRDefault="002F166E" w:rsidP="002F166E">
      <w:pPr>
        <w:pStyle w:val="NormalHanging12a"/>
        <w:rPr>
          <w:szCs w:val="24"/>
        </w:rPr>
      </w:pPr>
      <w:r w:rsidRPr="00676369">
        <w:rPr>
          <w:szCs w:val="24"/>
        </w:rPr>
        <w:t>–</w:t>
      </w:r>
      <w:r w:rsidRPr="00676369">
        <w:rPr>
          <w:szCs w:val="24"/>
        </w:rPr>
        <w:tab/>
        <w:t>der henviser til Kommissionens meddelelse af 12. september 2023 med titlen "Hjælpepakke for SMV'er" (</w:t>
      </w:r>
      <w:proofErr w:type="gramStart"/>
      <w:r w:rsidRPr="00676369">
        <w:rPr>
          <w:szCs w:val="24"/>
        </w:rPr>
        <w:t>COM(</w:t>
      </w:r>
      <w:proofErr w:type="gramEnd"/>
      <w:r w:rsidRPr="00676369">
        <w:rPr>
          <w:szCs w:val="24"/>
        </w:rPr>
        <w:t>2023)0535),</w:t>
      </w:r>
    </w:p>
    <w:p w14:paraId="44DFE6BC" w14:textId="77777777" w:rsidR="002F166E" w:rsidRPr="00676369" w:rsidRDefault="002F166E" w:rsidP="002F166E">
      <w:pPr>
        <w:pStyle w:val="NormalHanging12a"/>
        <w:rPr>
          <w:szCs w:val="24"/>
        </w:rPr>
      </w:pPr>
      <w:r w:rsidRPr="00676369">
        <w:rPr>
          <w:szCs w:val="24"/>
        </w:rPr>
        <w:t>–</w:t>
      </w:r>
      <w:r w:rsidRPr="00676369">
        <w:rPr>
          <w:szCs w:val="24"/>
        </w:rPr>
        <w:tab/>
        <w:t>der henviser til forretningsordenens artikel 55,</w:t>
      </w:r>
    </w:p>
    <w:p w14:paraId="5CA38500" w14:textId="77777777" w:rsidR="002F166E" w:rsidRPr="00676369" w:rsidRDefault="002F166E" w:rsidP="002F166E">
      <w:pPr>
        <w:pStyle w:val="NormalHanging12a"/>
        <w:rPr>
          <w:snapToGrid/>
          <w:szCs w:val="24"/>
        </w:rPr>
      </w:pPr>
      <w:r w:rsidRPr="00676369">
        <w:rPr>
          <w:szCs w:val="24"/>
        </w:rPr>
        <w:t>–</w:t>
      </w:r>
      <w:r w:rsidRPr="00676369">
        <w:rPr>
          <w:szCs w:val="24"/>
        </w:rPr>
        <w:tab/>
        <w:t>der henviser til betænkning fra Økonomi- og Valutaudvalget (A10‑0185/2025),</w:t>
      </w:r>
    </w:p>
    <w:p w14:paraId="08322E84" w14:textId="77777777" w:rsidR="002F166E" w:rsidRPr="00676369" w:rsidRDefault="002F166E" w:rsidP="002F166E">
      <w:pPr>
        <w:pStyle w:val="NormalHanging12a"/>
        <w:rPr>
          <w:szCs w:val="24"/>
        </w:rPr>
      </w:pPr>
      <w:r w:rsidRPr="00676369">
        <w:rPr>
          <w:szCs w:val="24"/>
        </w:rPr>
        <w:t>A.</w:t>
      </w:r>
      <w:r w:rsidRPr="00676369">
        <w:rPr>
          <w:szCs w:val="24"/>
        </w:rPr>
        <w:tab/>
        <w:t>der henviser til, at mikrovirksomheder og små og mellemstore virksomheder udgør rygraden i det europæiske erhvervsliv, idet SMV'er i 2023 tegnede sig for 99,8 % af alle virksomheder, 65,2 % af beskæftigelsen og 53,1 % af værditilvæksten i den ikkefinansielle erhvervssektor i EU</w:t>
      </w:r>
      <w:r w:rsidRPr="00676369">
        <w:rPr>
          <w:rStyle w:val="FootnoteReference"/>
          <w:szCs w:val="24"/>
        </w:rPr>
        <w:footnoteReference w:id="2"/>
      </w:r>
      <w:r w:rsidRPr="00676369">
        <w:rPr>
          <w:szCs w:val="24"/>
        </w:rPr>
        <w:t>;</w:t>
      </w:r>
    </w:p>
    <w:p w14:paraId="082F2572" w14:textId="77777777" w:rsidR="002F166E" w:rsidRPr="00676369" w:rsidRDefault="002F166E" w:rsidP="002F166E">
      <w:pPr>
        <w:pStyle w:val="NormalHanging12a"/>
        <w:rPr>
          <w:snapToGrid/>
          <w:szCs w:val="24"/>
        </w:rPr>
      </w:pPr>
      <w:r w:rsidRPr="00676369">
        <w:rPr>
          <w:szCs w:val="24"/>
        </w:rPr>
        <w:t>B.</w:t>
      </w:r>
      <w:r w:rsidRPr="00676369">
        <w:rPr>
          <w:szCs w:val="24"/>
        </w:rPr>
        <w:tab/>
        <w:t>der henviser til, at EU som helhed – og navnlig dets største økonomier – i øjeblikket har en lav økonomisk vækst og problemer med, at virksomheder mister konkurrencefordele til tredjelande, hvilket forværres af konsekvenserne af pandemien, energikrisen og Ruslands angrebskrig mod Ukraine, som især har påvirket SMV'er og økonomierne i landene langs EU's østlige grænse;</w:t>
      </w:r>
    </w:p>
    <w:p w14:paraId="13BC2F54" w14:textId="77777777" w:rsidR="002F166E" w:rsidRPr="00676369" w:rsidRDefault="002F166E" w:rsidP="002F166E">
      <w:pPr>
        <w:pStyle w:val="NormalHanging12a"/>
        <w:rPr>
          <w:szCs w:val="24"/>
        </w:rPr>
      </w:pPr>
      <w:r w:rsidRPr="00676369">
        <w:rPr>
          <w:szCs w:val="24"/>
        </w:rPr>
        <w:t>C.</w:t>
      </w:r>
      <w:r w:rsidRPr="00676369">
        <w:rPr>
          <w:szCs w:val="24"/>
        </w:rPr>
        <w:tab/>
        <w:t>der henviser til, at de europæiske SMV'er er forskelligartede med hensyn til virkefelt, branche, finansieringsbehov, beliggenhed, ejerform, forretningsmodel og innovationskapacitet og derfor oplever forskellige udfordringer og har forskellige finansieringsbehov, som de har begrænset evne til selv at tilgodese; der henviser til, at størstedelen af Europas SMV'er hovedsagelig opererer nationalt; der henviser til, at forholdsvis få SMV'er deltager i grænseoverskridende erhvervsaktiviteter inden for EU, og at de SMV'er, der eksporterer til tredjelande, udgør et mindretal;</w:t>
      </w:r>
    </w:p>
    <w:p w14:paraId="357063BC" w14:textId="77777777" w:rsidR="002F166E" w:rsidRPr="00676369" w:rsidRDefault="002F166E" w:rsidP="002F166E">
      <w:pPr>
        <w:pStyle w:val="NormalHanging12a"/>
        <w:rPr>
          <w:szCs w:val="24"/>
        </w:rPr>
      </w:pPr>
      <w:r w:rsidRPr="00676369">
        <w:rPr>
          <w:szCs w:val="24"/>
        </w:rPr>
        <w:lastRenderedPageBreak/>
        <w:t>D.</w:t>
      </w:r>
      <w:r w:rsidRPr="00676369">
        <w:rPr>
          <w:szCs w:val="24"/>
        </w:rPr>
        <w:tab/>
        <w:t>der henviser til, at Draghi-rapporten har vist, at lovgivningsmæssige hindringer og administrative byrder er blandt de største udfordringer, som SMV'er er oppe imod, idet indberetningsbestemmelser, primært i henhold til den europæiske grønne pagt, af over 60 % af EU's virksomheder betragtes som en hindring for investeringer, og idet 55 % af SMV'erne angiver, at lovgivningsmæssige hindringer og administrative byrder er deres største udfordring, mens denne andel er endnu større for nystartede virksomheder og mikrovirksomheder, og at det i rapporten anbefales, at SMV'erne af hensyn til proportionalitetsprincippet bør undtages fra regulering, eftersom det er afgørende for deres velstand, at der indføres en mere enkel, forudsigelig og konkurrencevenlig lovramme, og at den europæiske grønne pagt bliver revideret;</w:t>
      </w:r>
    </w:p>
    <w:p w14:paraId="33AF024F" w14:textId="77777777" w:rsidR="002F166E" w:rsidRPr="00676369" w:rsidRDefault="002F166E" w:rsidP="002F166E">
      <w:pPr>
        <w:pStyle w:val="NormalHanging12a"/>
        <w:rPr>
          <w:szCs w:val="24"/>
        </w:rPr>
      </w:pPr>
      <w:r w:rsidRPr="00676369">
        <w:rPr>
          <w:szCs w:val="24"/>
        </w:rPr>
        <w:t>E.</w:t>
      </w:r>
      <w:r w:rsidRPr="00676369">
        <w:rPr>
          <w:szCs w:val="24"/>
        </w:rPr>
        <w:tab/>
        <w:t xml:space="preserve">der henviser til, at Kommissionen søger at forbedre SMV'ernes adgang til finansiering til at opskalere, mindske ineffektivitet og fremme interoperabilitet, har fastsat et mål om at mindske SMV'ernes indberetningsbyrde med mindst 35 % og har bebudet indførelsen af en ny metode til vurdering af SMV'ernes konkurrenceevne i konsekvensanalyser; der henviser til, at disse udspil skal være ledsaget af et veludviklet økosystem for risikovillig kapital, hvorved der tages højde for, at investeringsinstitutter såsom forsikringsselskaber yder et vigtigt bidrag til SMV'ernes finansiering gennem risikooverførsel og </w:t>
      </w:r>
      <w:r w:rsidRPr="00676369">
        <w:rPr>
          <w:szCs w:val="24"/>
        </w:rPr>
        <w:noBreakHyphen/>
        <w:t>omlægning, og at størstedelen af finansieringen i Den Europæiske Union – i modsætning til USA – kommer fra banker, og at der er markante forskelle mellem den europæiske investeringskultur sammenlignet med andre dele af verden, især inden for venturekapital og investeringer fra business angels; der henviser til, at denne situation gør SMV'erne særligt sårbare over for en stramning af bankernes udlånsvirksomhed;</w:t>
      </w:r>
    </w:p>
    <w:p w14:paraId="5BF85076" w14:textId="77777777" w:rsidR="002F166E" w:rsidRPr="00676369" w:rsidRDefault="002F166E" w:rsidP="002F166E">
      <w:pPr>
        <w:pStyle w:val="NormalHanging12a"/>
        <w:rPr>
          <w:szCs w:val="24"/>
        </w:rPr>
      </w:pPr>
      <w:r w:rsidRPr="00676369">
        <w:rPr>
          <w:szCs w:val="24"/>
        </w:rPr>
        <w:t>F.</w:t>
      </w:r>
      <w:r w:rsidRPr="00676369">
        <w:rPr>
          <w:szCs w:val="24"/>
        </w:rPr>
        <w:tab/>
        <w:t>der henviser til, at Europa mangler et mere dynamisk og gunstigt miljø for opskalering af innovationsvirksomheder og for flere investeringer og fremskridt inden for digital infrastruktur, hvilket bevirker, at op imod 30 % af alle "enhjørningevirksomheder" udflytter til udlandet</w:t>
      </w:r>
      <w:r w:rsidRPr="00676369">
        <w:rPr>
          <w:rStyle w:val="FootnoteReference"/>
          <w:szCs w:val="24"/>
        </w:rPr>
        <w:footnoteReference w:id="3"/>
      </w:r>
      <w:r w:rsidRPr="00676369">
        <w:rPr>
          <w:szCs w:val="24"/>
        </w:rPr>
        <w:t>;</w:t>
      </w:r>
    </w:p>
    <w:p w14:paraId="6033AECF" w14:textId="77777777" w:rsidR="002F166E" w:rsidRPr="00676369" w:rsidRDefault="002F166E" w:rsidP="002F166E">
      <w:pPr>
        <w:pStyle w:val="NormalHanging12a"/>
        <w:rPr>
          <w:szCs w:val="24"/>
        </w:rPr>
      </w:pPr>
      <w:r w:rsidRPr="00676369">
        <w:rPr>
          <w:szCs w:val="24"/>
        </w:rPr>
        <w:t>G.</w:t>
      </w:r>
      <w:r w:rsidRPr="00676369">
        <w:rPr>
          <w:szCs w:val="24"/>
        </w:rPr>
        <w:tab/>
        <w:t>der henviser til, at Kommissionen har offentliggjort en strategi for nystartede virksomheder og vækstvirksomheder, og der er lanceret forskellige udspil med det formål at fremme iværksætteri, innovation og digital omstilling i EU, bl.a. strategien for nystartede virksomheder og vækstvirksomheder, resultattavlen for miljøinnovation, videns- og innovationsfællesskaber, den europæiske platform for klyngesamarbejde, det digitale årti og strategien for det digitale indre marked samt finansieringsprogrammer for innovation på andre politiske områder;</w:t>
      </w:r>
    </w:p>
    <w:p w14:paraId="39C62346" w14:textId="77777777" w:rsidR="002F166E" w:rsidRPr="00676369" w:rsidRDefault="002F166E" w:rsidP="002F166E">
      <w:pPr>
        <w:pStyle w:val="Normal12a24b"/>
        <w:spacing w:before="0"/>
        <w:rPr>
          <w:szCs w:val="24"/>
        </w:rPr>
      </w:pPr>
      <w:r w:rsidRPr="00676369">
        <w:rPr>
          <w:rStyle w:val="BoldItalic"/>
          <w:szCs w:val="24"/>
        </w:rPr>
        <w:t>Generelle betragtninger</w:t>
      </w:r>
    </w:p>
    <w:p w14:paraId="014419BD" w14:textId="77777777" w:rsidR="002F166E" w:rsidRPr="00676369" w:rsidRDefault="002F166E" w:rsidP="002F166E">
      <w:pPr>
        <w:pStyle w:val="NormalHanging12a"/>
        <w:rPr>
          <w:szCs w:val="24"/>
        </w:rPr>
      </w:pPr>
      <w:r w:rsidRPr="00676369">
        <w:rPr>
          <w:szCs w:val="24"/>
        </w:rPr>
        <w:t>1.</w:t>
      </w:r>
      <w:r w:rsidRPr="00676369">
        <w:rPr>
          <w:szCs w:val="24"/>
        </w:rPr>
        <w:tab/>
        <w:t xml:space="preserve">mener, at det er afgørende at skabe gunstige markedsvilkår for de europæiske virksomheder til at innovere, iværksætte, skabe, vokse og opskalere i Europa for at udnytte vores markeds fulde potentiale og hjælpe vores økonomier til at blive mere konkurrencedygtige; anerkender, at lovgivningsmæssig fragmentering er en af de hindringer, der forhindrer vækstvirksomheder i fuldt ud at indfri potentialet ved det indre marked; anerkender, at finansieringsbetingelser og </w:t>
      </w:r>
      <w:r w:rsidRPr="00676369">
        <w:rPr>
          <w:szCs w:val="24"/>
        </w:rPr>
        <w:noBreakHyphen/>
        <w:t xml:space="preserve">krav for SMV'er er forskellige i de forskellige medlemsstater og regioner på grund af faktorer, der er specifikke for </w:t>
      </w:r>
      <w:r w:rsidRPr="00676369">
        <w:rPr>
          <w:szCs w:val="24"/>
        </w:rPr>
        <w:lastRenderedPageBreak/>
        <w:t>hver enkelt virksomhed, geografisk beliggenhed – såsom at være beliggende i fjerntliggende regioner, regioner i den yderste periferi eller øregioner – og det økonomiske miljø, og de har derfor brug for løsninger, der er skræddersyet til sådanne særlige forhold og til de mindre økonomiers behov;</w:t>
      </w:r>
    </w:p>
    <w:p w14:paraId="2C9C0AF4" w14:textId="77777777" w:rsidR="002F166E" w:rsidRPr="00676369" w:rsidRDefault="002F166E" w:rsidP="002F166E">
      <w:pPr>
        <w:pStyle w:val="NormalHanging12a"/>
        <w:rPr>
          <w:szCs w:val="24"/>
        </w:rPr>
      </w:pPr>
      <w:r w:rsidRPr="00676369">
        <w:rPr>
          <w:szCs w:val="24"/>
        </w:rPr>
        <w:t>2.</w:t>
      </w:r>
      <w:r w:rsidRPr="00676369">
        <w:rPr>
          <w:szCs w:val="24"/>
        </w:rPr>
        <w:tab/>
        <w:t>glæder sig over, at det efter offentliggørelsen af Draghi-rapporten og Letta-rapporten er blevet anerkendt, at det er nødvendigt, at det indre marked bliver mere konkurrencedygtigt, mindre fragmenteret og mindre bureaukratisk; opfordrer Kommissionen til at følge henstillingerne i disse rapporter, hvori det indskærpes, at der kræves øjeblikkelig og resolut handling, både reguleringsmæssigt og politisk; beklager i den sammenhæng de unødigt store byrder, der pålægges SMV'erne som følge af indførelsen af diverse forpligtelser i medfør af den europæiske grønne pagt; er overbevist om, at en indførelse af konkrete definitioner af "nystartede virksomheder" og "vækstvirksomheder" vil forbedre mulighederne for at opnå støtte gennem foranstaltninger, der er skræddersyet til deres specifikke behov;</w:t>
      </w:r>
    </w:p>
    <w:p w14:paraId="795CFB52" w14:textId="77777777" w:rsidR="002F166E" w:rsidRPr="00676369" w:rsidRDefault="002F166E" w:rsidP="002F166E">
      <w:pPr>
        <w:pStyle w:val="NormalHanging12a"/>
        <w:rPr>
          <w:bCs/>
          <w:iCs/>
          <w:szCs w:val="24"/>
        </w:rPr>
      </w:pPr>
      <w:r w:rsidRPr="00676369">
        <w:rPr>
          <w:szCs w:val="24"/>
        </w:rPr>
        <w:t>3.</w:t>
      </w:r>
      <w:r w:rsidRPr="00676369">
        <w:rPr>
          <w:szCs w:val="24"/>
        </w:rPr>
        <w:tab/>
        <w:t>anerkender, at banklån fortsat er den primære eksterne finansieringskilde for SMV'er i Unionen; fremhæver den nøglerolle, som konventionelle bankmodeller spiller – heriblandt mindre lokalbanker, sparekasser, andelsbanker og offentlige pengeinstitutter;</w:t>
      </w:r>
    </w:p>
    <w:p w14:paraId="7F226578" w14:textId="77777777" w:rsidR="002F166E" w:rsidRPr="00676369" w:rsidRDefault="002F166E" w:rsidP="002F166E">
      <w:pPr>
        <w:pStyle w:val="NormalHanging12a"/>
        <w:rPr>
          <w:szCs w:val="24"/>
        </w:rPr>
      </w:pPr>
      <w:r w:rsidRPr="00676369">
        <w:rPr>
          <w:szCs w:val="24"/>
        </w:rPr>
        <w:t>4.</w:t>
      </w:r>
      <w:r w:rsidRPr="00676369">
        <w:rPr>
          <w:szCs w:val="24"/>
        </w:rPr>
        <w:tab/>
        <w:t>indskærper, at EU bør bestræbe sig på at gøre erhvervsklimaet enklere og mere attraktivt for mobilisering af både europæisk og international kapital og europæiske og internationale investeringer; indskærper, at det er nødvendigt at fremme et økosystem for opskalering, som primært er baseret på private investeringer og offentlig-private partnerskaber, hvilket vil gøre det lettere at rejse kapital og lette virksomhedernes adgang til finansiering; fremhæver den vigtige og veletablerede rolle, som banker med særlig indsigt i regionale og lokale forhold spiller med hensyn til at yde finansiering til SMV'er i kraft af deres langvarige relation til disse virksomheder;</w:t>
      </w:r>
    </w:p>
    <w:p w14:paraId="659BABBF" w14:textId="77777777" w:rsidR="002F166E" w:rsidRPr="00676369" w:rsidRDefault="002F166E" w:rsidP="002F166E">
      <w:pPr>
        <w:pStyle w:val="NormalHanging12a"/>
        <w:rPr>
          <w:szCs w:val="24"/>
        </w:rPr>
      </w:pPr>
      <w:r w:rsidRPr="00676369">
        <w:rPr>
          <w:szCs w:val="24"/>
        </w:rPr>
        <w:t>5.</w:t>
      </w:r>
      <w:r w:rsidRPr="00676369">
        <w:rPr>
          <w:szCs w:val="24"/>
        </w:rPr>
        <w:tab/>
        <w:t xml:space="preserve">henleder opmærksomheden på de særlige udfordringer, som de europæiske vækstvirksomheder oplever i forbindelse med at opnå finansiering sent i vækstfasen; bemærker, at mange virksomheder i EU med stort potentiale stadig er afhængige af udenlandsk venturekapital og udenlandske investorer, og at en stor del af finansieringsrunderne sent i vækstfasen ledes af investorer i tredjelande; indskærper, at det er nødvendigt at skabe mere attraktive betingelser for investering i Unionen; understreger, at adgangen til finansiering bør være styret af kriterier om økonomisk effektivitet, rentabilitet og skalerbarhed, uanset kapitalkilden, og erindrer om, at åben og verdensomspændende konkurrence om at tiltrække investeringer gavner virksomheder og innovation; fremhæver i den sammenhæng den nylige vedtagelse af EU's </w:t>
      </w:r>
      <w:r w:rsidRPr="00676369">
        <w:rPr>
          <w:szCs w:val="24"/>
        </w:rPr>
        <w:lastRenderedPageBreak/>
        <w:t>lovgivningspakke om børsnotering</w:t>
      </w:r>
      <w:r w:rsidRPr="00676369">
        <w:rPr>
          <w:rStyle w:val="FootnoteReference"/>
          <w:szCs w:val="24"/>
        </w:rPr>
        <w:footnoteReference w:id="4"/>
      </w:r>
      <w:r w:rsidRPr="00676369">
        <w:rPr>
          <w:szCs w:val="24"/>
        </w:rPr>
        <w:t>, som gør det lettere for alle virksomheder uanset størrelse, herunder SMV'er, at blive børsnoteret på Europas børser;</w:t>
      </w:r>
    </w:p>
    <w:p w14:paraId="2018A1AB" w14:textId="77777777" w:rsidR="002F166E" w:rsidRPr="00676369" w:rsidRDefault="002F166E" w:rsidP="002F166E">
      <w:pPr>
        <w:pStyle w:val="NormalHanging12a"/>
        <w:rPr>
          <w:szCs w:val="24"/>
        </w:rPr>
      </w:pPr>
      <w:r w:rsidRPr="00676369">
        <w:rPr>
          <w:szCs w:val="24"/>
        </w:rPr>
        <w:t>6.</w:t>
      </w:r>
      <w:r w:rsidRPr="00676369">
        <w:rPr>
          <w:szCs w:val="24"/>
        </w:rPr>
        <w:tab/>
        <w:t>noterer sig, at Kommissionen har offentliggjort en europæisk strategi for nystartede virksomheder og vækstvirksomheder med sigte på at fremme innovation og klare de udfordringer, som individuelle innovatorer, virksomhedsgrundlæggere, nystartede virksomheder og vækstvirksomheder i EU er oppe imod; understreger, at selv om den problemstilling, som beskrives i strategien, til en vis grad er retvisende, skal de foreslåede foranstaltninger gøres mere ambitiøse, og der skal lægges vægt på at ophæve alle EU-forordninger, som pålægger unødige administrative byrder, der hæmmer mulighederne for at kunne etablere og ekspandere en virksomhed; anmoder Kommissionen om tillige at medtage landbruget blandt de prioriterede sektorer, der er udpeget i strategien;</w:t>
      </w:r>
    </w:p>
    <w:p w14:paraId="6BFEEA72" w14:textId="77777777" w:rsidR="002F166E" w:rsidRPr="00676369" w:rsidRDefault="002F166E" w:rsidP="002F166E">
      <w:pPr>
        <w:pStyle w:val="NormalHanging12a"/>
        <w:rPr>
          <w:szCs w:val="24"/>
        </w:rPr>
      </w:pPr>
      <w:r w:rsidRPr="00676369">
        <w:rPr>
          <w:szCs w:val="24"/>
        </w:rPr>
        <w:t>7.</w:t>
      </w:r>
      <w:r w:rsidRPr="00676369">
        <w:rPr>
          <w:szCs w:val="24"/>
        </w:rPr>
        <w:tab/>
        <w:t>mener, at lettere adgang til finansiering for SMV'er og vækstvirksomheder vil kræve i) en betydelig og varig mindskning af den administrative og reguleringsmæssige byrde, herunder de langsommelige tilladelsesprocedurer, de omkostningskrævende indberetningskrav og kompleksiteten og uforudsigeligheden i det reguleringsmæssige miljø, ii) større kapacitet til at frigøre private investeringer og opsparinger, iii) udligning af finansieringsunderskuddet blandt vækstvirksomheder og iv) styrkelse af et konkurrencedygtigt økosystem for kapitalmarkeder i EU; indskærper, at Kommissionens slutmål i den sammenhæng skal være at oprette en opsparings- og investeringsunion, som tilgodeser medlemsstaternes kompetencer og overholder nærhedsprincippet;</w:t>
      </w:r>
    </w:p>
    <w:p w14:paraId="2D7502A3" w14:textId="77777777" w:rsidR="002F166E" w:rsidRPr="00676369" w:rsidRDefault="002F166E" w:rsidP="002F166E">
      <w:pPr>
        <w:pStyle w:val="Normal12a24b"/>
        <w:spacing w:before="0"/>
        <w:rPr>
          <w:szCs w:val="24"/>
        </w:rPr>
      </w:pPr>
      <w:r w:rsidRPr="00676369">
        <w:rPr>
          <w:rStyle w:val="BoldItalic"/>
          <w:szCs w:val="24"/>
        </w:rPr>
        <w:t>Mindskning af den administrative og reguleringsmæssige byrde</w:t>
      </w:r>
    </w:p>
    <w:p w14:paraId="7CF2FE5A" w14:textId="77777777" w:rsidR="002F166E" w:rsidRPr="00676369" w:rsidRDefault="002F166E" w:rsidP="002F166E">
      <w:pPr>
        <w:pStyle w:val="NormalHanging12a"/>
        <w:rPr>
          <w:szCs w:val="24"/>
        </w:rPr>
      </w:pPr>
      <w:r w:rsidRPr="00676369">
        <w:rPr>
          <w:szCs w:val="24"/>
        </w:rPr>
        <w:t>8.</w:t>
      </w:r>
      <w:r w:rsidRPr="00676369">
        <w:rPr>
          <w:szCs w:val="24"/>
        </w:rPr>
        <w:tab/>
        <w:t>erindrer om, at mange lovende nystartede virksomheder og vækstvirksomheder i EU vælger at udflytte til tredjelande, fordi det europæiske reguleringslandskab er besværligt, langsommeligt, fragmenteret og uforudsigeligt; understreger, at Europa vil fortsætte med at miste virksomheder i deres mest strategiske vækstfase, medmindre denne udflytningstendens bliver vendt gennem en omfattende forenkling, og at dette vil føre til mindre jobskabelse og lavere økonomisk vækst; beklager, at skatte- og reguleringsmæssige tærskler hæmmer virksomhedernes vækst ved at pålægge dem større byrder, så snart de når op på en bestemt størrelse eller omsætning;</w:t>
      </w:r>
    </w:p>
    <w:p w14:paraId="1114CC6B" w14:textId="77777777" w:rsidR="002F166E" w:rsidRPr="00676369" w:rsidRDefault="002F166E" w:rsidP="002F166E">
      <w:pPr>
        <w:pStyle w:val="NormalHanging12a"/>
        <w:rPr>
          <w:szCs w:val="24"/>
        </w:rPr>
      </w:pPr>
      <w:r w:rsidRPr="00676369">
        <w:rPr>
          <w:szCs w:val="24"/>
        </w:rPr>
        <w:lastRenderedPageBreak/>
        <w:t>9.</w:t>
      </w:r>
      <w:r w:rsidRPr="00676369">
        <w:rPr>
          <w:szCs w:val="24"/>
        </w:rPr>
        <w:tab/>
        <w:t>efterlyser yderligere forenklingstiltag, og opfordrer Kommissionen til at fremsætte yderligere forslag, som går længere end omnibusforenklingspakkerne, og som indfører iværksættervenlige bestemmelser og rammer, som muliggør vækst, skalerbarhed og grænseoverskridende forretningsaktiviteter for nystartede virksomheder og vækstvirksomheder, samtidig med at forbrugerbeskyttelse, databeskyttelse og fair konkurrence sikres; minder om Kommissionens tilsagn om at mindske bureaukratiet gennem en tværgående, horisontal tilgang, og opfordrer til systematisk at granske gældende EU-ret med henblik på at opdage og fjerne reguleringsmæssige hindringer for SMV'er;</w:t>
      </w:r>
    </w:p>
    <w:p w14:paraId="65F2D2F3" w14:textId="77777777" w:rsidR="002F166E" w:rsidRPr="00676369" w:rsidRDefault="002F166E" w:rsidP="002F166E">
      <w:pPr>
        <w:pStyle w:val="NormalHanging12a"/>
        <w:rPr>
          <w:szCs w:val="24"/>
        </w:rPr>
      </w:pPr>
      <w:r w:rsidRPr="00676369">
        <w:rPr>
          <w:szCs w:val="24"/>
        </w:rPr>
        <w:t>10.</w:t>
      </w:r>
      <w:r w:rsidRPr="00676369">
        <w:rPr>
          <w:szCs w:val="24"/>
        </w:rPr>
        <w:tab/>
        <w:t xml:space="preserve">understreger, at der i forlængelse af Kommissionens vedtagelse af den anden omnibuspakke nu er behov for strømlinede processer i forbindelse med gennemførelsen af programmet InvestEU for at sikre, at SMV'er (herunder også mikrovirksomheder) nemmere kan få adgang til den økonomiske støtte, de har brug for, til at vokse og innovere; påpeger, hvor vigtigt det er at sikre, at lovrammer og EU-finansierede instrumenter står i forhold til SMV'ernes størrelse og administrative kapacitet og er hensigtsmæssigt tilpasset til SMV'erne frem for at være kopier af de krav, der gælder for større virksomheder; </w:t>
      </w:r>
    </w:p>
    <w:p w14:paraId="2F93A951" w14:textId="77777777" w:rsidR="002F166E" w:rsidRPr="00676369" w:rsidRDefault="002F166E" w:rsidP="002F166E">
      <w:pPr>
        <w:pStyle w:val="NormalHanging12a"/>
        <w:rPr>
          <w:szCs w:val="24"/>
        </w:rPr>
      </w:pPr>
      <w:r w:rsidRPr="00676369">
        <w:rPr>
          <w:szCs w:val="24"/>
        </w:rPr>
        <w:t>11.</w:t>
      </w:r>
      <w:r w:rsidRPr="00676369">
        <w:rPr>
          <w:szCs w:val="24"/>
        </w:rPr>
        <w:tab/>
        <w:t>bemærker, at pålægning af mangeartede lovkrav for banker kan have negative konsekvenser for deres långivning til SMV'er; påpeger, hvor vigtigt det er at undgå overlappende indberetningskrav og flere forskellige indberetningskanaler, hvilket skaber unødige administrative byrder, især for mindre banker; opfordrer Kommissionen til med bistand fra Den Europæiske Banktilsynsmyndighed og den fælles tilsynsmekanisme at vurdere virkningerne af de nuværende lovregler for lån til SMV'er; understreger nødvendigheden af​at anvende proportionalitetsprincippet ved bankregulering;</w:t>
      </w:r>
    </w:p>
    <w:p w14:paraId="4ED357A0" w14:textId="77777777" w:rsidR="002F166E" w:rsidRPr="00676369" w:rsidRDefault="002F166E" w:rsidP="002F166E">
      <w:pPr>
        <w:pStyle w:val="NormalHanging12a"/>
        <w:rPr>
          <w:szCs w:val="24"/>
        </w:rPr>
      </w:pPr>
      <w:r w:rsidRPr="00676369">
        <w:rPr>
          <w:szCs w:val="24"/>
        </w:rPr>
        <w:t>12.</w:t>
      </w:r>
      <w:r w:rsidRPr="00676369">
        <w:rPr>
          <w:szCs w:val="24"/>
        </w:rPr>
        <w:tab/>
        <w:t>opfordrer indtrængende Kommissionen til at gennemgå de nugældende reguleringsmæssige krav, som overbebyrder virksomhederne, f.eks. rammen for bæredygtig finansiering, som passer dårligt til Europas SMV'er, og andre forpligtelser i medfør af den europæiske grønne pagt, og til at indføre proportionalitetstærskler med henblik på at fritage SMV'er fra uforholdsmæssige krav; bifalder den foreslåede nye vurdering af SMV'ernes konkurrenceevne; opfordrer Kommissionen til at sikre, at enhver standard for bæredygtighedsrapportering er enkel og frivillig, og til at foretage en gennemgang af søjle 3-kravene om offentliggørelse af bankoplysninger, som indirekte kan pålægge SMV'ernes kunder uforholdsmæssigt store datakrav;</w:t>
      </w:r>
    </w:p>
    <w:p w14:paraId="1CD56EBE" w14:textId="77777777" w:rsidR="002F166E" w:rsidRPr="00676369" w:rsidRDefault="002F166E" w:rsidP="002F166E">
      <w:pPr>
        <w:pStyle w:val="NormalHanging12a"/>
        <w:rPr>
          <w:szCs w:val="24"/>
        </w:rPr>
      </w:pPr>
      <w:r w:rsidRPr="00676369">
        <w:rPr>
          <w:szCs w:val="24"/>
        </w:rPr>
        <w:t>13.</w:t>
      </w:r>
      <w:r w:rsidRPr="00676369">
        <w:rPr>
          <w:szCs w:val="24"/>
        </w:rPr>
        <w:tab/>
        <w:t>understreger, at "én ind, én ud"-tilgangen, som ikke bliver gennemført i tilstrækkelig grad i praksis, ikke er tilstrækkelig, og opfordrer Kommissionen til at foreslå en mere ambitiøs forenklingsstrategi, som giver retssikkerhed og skaber forudsigelighed, og som desuden reviderer niveau 2- og niveau 3-lovgivningen; indskærper, at Kommissionens mål om at mindske indberetningsforpligtelserne med 35 % skal være målbart, og at resultaterne skal kunne spores og skal have en klar tidsplan, centrale resultatindikatorer og en formålstjenlig sporingsmetode;</w:t>
      </w:r>
    </w:p>
    <w:p w14:paraId="43062BCA" w14:textId="77777777" w:rsidR="002F166E" w:rsidRPr="00676369" w:rsidRDefault="002F166E" w:rsidP="002F166E">
      <w:pPr>
        <w:pStyle w:val="Normal12a24b"/>
        <w:spacing w:before="0"/>
        <w:rPr>
          <w:szCs w:val="24"/>
        </w:rPr>
      </w:pPr>
      <w:r w:rsidRPr="00676369">
        <w:rPr>
          <w:rStyle w:val="BoldItalic"/>
          <w:szCs w:val="24"/>
        </w:rPr>
        <w:t>Frigørelse af privatkapital og privat opsparing</w:t>
      </w:r>
    </w:p>
    <w:p w14:paraId="5ECACA22" w14:textId="77777777" w:rsidR="002F166E" w:rsidRPr="00676369" w:rsidRDefault="002F166E" w:rsidP="002F166E">
      <w:pPr>
        <w:pStyle w:val="NormalHanging12a"/>
        <w:rPr>
          <w:szCs w:val="24"/>
        </w:rPr>
      </w:pPr>
      <w:r w:rsidRPr="00676369">
        <w:rPr>
          <w:szCs w:val="24"/>
        </w:rPr>
        <w:t>14.</w:t>
      </w:r>
      <w:r w:rsidRPr="00676369">
        <w:rPr>
          <w:szCs w:val="24"/>
        </w:rPr>
        <w:tab/>
        <w:t xml:space="preserve">bemærker, at Kommissionen agter at oprette en opsparings- og investeringsunion, som ikke kun skal omfatte tiltag på EU-plan, men tillige udvikling af værktøjer, løsninger og bedste praksis, der tilgodeser og understøtter medlemsstaternes egne tiltag på nationalt </w:t>
      </w:r>
      <w:r w:rsidRPr="00676369">
        <w:rPr>
          <w:szCs w:val="24"/>
        </w:rPr>
        <w:lastRenderedPageBreak/>
        <w:t>plan samt fremmer samhørighed på tværs af grænserne og en gradvis udligning af væsentlige forskelle;</w:t>
      </w:r>
    </w:p>
    <w:p w14:paraId="24B96DD1" w14:textId="77777777" w:rsidR="002F166E" w:rsidRPr="00676369" w:rsidRDefault="002F166E" w:rsidP="002F166E">
      <w:pPr>
        <w:pStyle w:val="NormalHanging12a"/>
        <w:rPr>
          <w:szCs w:val="24"/>
        </w:rPr>
      </w:pPr>
      <w:r w:rsidRPr="00676369">
        <w:rPr>
          <w:szCs w:val="24"/>
        </w:rPr>
        <w:t>15.</w:t>
      </w:r>
      <w:r w:rsidRPr="00676369">
        <w:rPr>
          <w:szCs w:val="24"/>
        </w:rPr>
        <w:tab/>
        <w:t>opfordrer Kommissionen til at forbedre investorernes adgang til information og beskyttelse og samtidig udnytte potentialet ved forenklede detailinvesteringsprodukter til at bidrage til at kanalisere privat opsparing videre til kapitalmarkederne, og erindrer om, at pensionsfonde og forsikringsselskaber spiller en nøglerolle som formidlere af denne kanalisering; glæder sig over indførelsen af mærket "Finance Europe", som burde give de sparere, der ønsker det, mulighed for at investerer deres opsparing i europæiske virksomheder, hvilket vil bidrage direkte til at finansiere Unionens økonomi; indskærper, at dette mærke ikke må indebære yderligere administrative byrder for virksomhederne;</w:t>
      </w:r>
    </w:p>
    <w:p w14:paraId="78B6C13D" w14:textId="77777777" w:rsidR="002F166E" w:rsidRPr="00676369" w:rsidRDefault="002F166E" w:rsidP="002F166E">
      <w:pPr>
        <w:pStyle w:val="NormalHanging12a"/>
        <w:rPr>
          <w:szCs w:val="24"/>
        </w:rPr>
      </w:pPr>
      <w:r w:rsidRPr="00676369">
        <w:rPr>
          <w:szCs w:val="24"/>
        </w:rPr>
        <w:t>16.</w:t>
      </w:r>
      <w:r w:rsidRPr="00676369">
        <w:rPr>
          <w:szCs w:val="24"/>
        </w:rPr>
        <w:tab/>
        <w:t>beklager, at forordningen om europæiske venturekapitalfonde (EuVECA)</w:t>
      </w:r>
      <w:r w:rsidRPr="00676369">
        <w:rPr>
          <w:rStyle w:val="FootnoteReference"/>
          <w:szCs w:val="24"/>
        </w:rPr>
        <w:footnoteReference w:id="5"/>
      </w:r>
      <w:r w:rsidRPr="00676369">
        <w:rPr>
          <w:szCs w:val="24"/>
        </w:rPr>
        <w:t xml:space="preserve"> kun har haft en beskeden positiv indvirkning på de lokale venturekapitalmarkeder; glæder sig over, at der i Kommissionens meddelelse om opsparings- og investeringsunionen er fokus på venturekapital til nye, innovative SMV'er, men beklager, at Kommissionens forslag om EuVECA er blevet forsinket til tredje kvartal af 2026; opfordrer Kommissionen til at overveje at fjerne minimumsinvesteringstærsklen på 100 000 EUR for at give private sparere mulighed for at investere i alternative fonde; opfordrer indtrængende Kommissionen til at tilskynde medlemsstaterne til at tilvejebringe attraktive og stabile skatte- og lovgivningsmæssige rammer for venturekapitalfonde, der investerer i SMV'er;</w:t>
      </w:r>
    </w:p>
    <w:p w14:paraId="16204AF5" w14:textId="77777777" w:rsidR="002F166E" w:rsidRPr="00676369" w:rsidRDefault="002F166E" w:rsidP="002F166E">
      <w:pPr>
        <w:pStyle w:val="NormalHanging12a"/>
        <w:rPr>
          <w:szCs w:val="24"/>
        </w:rPr>
      </w:pPr>
      <w:r w:rsidRPr="00676369">
        <w:rPr>
          <w:szCs w:val="24"/>
        </w:rPr>
        <w:t>17.</w:t>
      </w:r>
      <w:r w:rsidRPr="00676369">
        <w:rPr>
          <w:szCs w:val="24"/>
        </w:rPr>
        <w:tab/>
        <w:t>indskærper, at det er nødvendigt at forbedre den finansielle forståelse blandt EU's borgere og iværksættere og at promovere bedre opsparings- og investeringsbetingelser, som vil muliggøre et skift fra opsparing til investering på en velunderbygget og uafhængig måde; opfordrer Kommissionen til at medtage iværksætteri i den nye strategi for finansiel forståelse og i en værktøjskasse, som medlemsstaterne kan benytte til at forbedre koordineringen heraf;</w:t>
      </w:r>
    </w:p>
    <w:p w14:paraId="6FE84DFA" w14:textId="77777777" w:rsidR="002F166E" w:rsidRPr="00676369" w:rsidRDefault="002F166E" w:rsidP="002F166E">
      <w:pPr>
        <w:pStyle w:val="NormalHanging12a"/>
        <w:rPr>
          <w:szCs w:val="24"/>
        </w:rPr>
      </w:pPr>
      <w:r w:rsidRPr="00676369">
        <w:rPr>
          <w:szCs w:val="24"/>
        </w:rPr>
        <w:t>18.</w:t>
      </w:r>
      <w:r w:rsidRPr="00676369">
        <w:rPr>
          <w:szCs w:val="24"/>
        </w:rPr>
        <w:tab/>
        <w:t xml:space="preserve">opfordrer til, at offentlig finansiering ikke anvendes til tilskud, men i stedet som en katalysator til at mobilisere private investeringer og stille flere private midler til rådighed for mikrovirksomheder og SMV'er; </w:t>
      </w:r>
      <w:bookmarkStart w:id="7" w:name="_Hlk210313322"/>
      <w:r w:rsidRPr="00676369">
        <w:rPr>
          <w:szCs w:val="24"/>
        </w:rPr>
        <w:t>erindrer om, at den overvejende del af disse investeringer skal være private, og indskærper, at dette skal fremmes gennem attraktive og stabile skatte- og lovgivningsmæssige rammer, som tiltrækker både professionelle investorer og detailinvestorer; minder om den aktuelle strukturelle skævvridning til fordel for långivning, og mener, at det er nødvendigt at indlede en debat om behovet for skatteincitamenter for egenkapitalinvestering og at tilskynde til risikovillig kapital som en del af forretningsmodellen for konventionel bankvirksomhed uden derved at bringe den finansielle stabilitet i fare;</w:t>
      </w:r>
      <w:bookmarkEnd w:id="7"/>
    </w:p>
    <w:p w14:paraId="3E0459C5" w14:textId="77777777" w:rsidR="002F166E" w:rsidRPr="00676369" w:rsidRDefault="002F166E" w:rsidP="002F166E">
      <w:pPr>
        <w:pStyle w:val="NormalHanging12a"/>
        <w:rPr>
          <w:szCs w:val="24"/>
        </w:rPr>
      </w:pPr>
      <w:r w:rsidRPr="00676369">
        <w:rPr>
          <w:szCs w:val="24"/>
        </w:rPr>
        <w:t>19.</w:t>
      </w:r>
      <w:r w:rsidRPr="00676369">
        <w:rPr>
          <w:szCs w:val="24"/>
        </w:rPr>
        <w:tab/>
        <w:t xml:space="preserve">fremhæver, at den offentlige sektor kan spille en nøglerolle i mobiliseringen af privatkapital, navnlig i informationsasymmetriske sektorer eller regioner med underudviklede finansmarkeder; opfordrer til, at offentlige instrumenter udformes effektivt med konkurrenceneutralitet og fokus på effekten, hvilket maksimerer tiltrækningseffekten på private investeringer; indskærper i den sammenhæng, at </w:t>
      </w:r>
      <w:r w:rsidRPr="00676369">
        <w:rPr>
          <w:szCs w:val="24"/>
        </w:rPr>
        <w:lastRenderedPageBreak/>
        <w:t>potentialet ved Den Europæiske Investeringsbank-Gruppe (EIB-Gruppen) skal udnyttes fuldt ud til at tiltrække private investeringer, og at den skal afsætte flere ressourcer til SMV'ers innovationsprojekter, nystartede virksomheder og vækstvirksomheder; fremhæver endvidere Regionaludviklingsfondens rolle, navnlig i regioner med begrænset adgang til kredit og i betragtning af, at låneomkostningerne varierer i EU, hvilket stiller SMV'er i visse medlemsstater ufordelagtigt;</w:t>
      </w:r>
    </w:p>
    <w:p w14:paraId="47F4AE69" w14:textId="77777777" w:rsidR="002F166E" w:rsidRPr="00676369" w:rsidRDefault="002F166E" w:rsidP="002F166E">
      <w:pPr>
        <w:pStyle w:val="NormalHanging12a"/>
        <w:rPr>
          <w:szCs w:val="24"/>
        </w:rPr>
      </w:pPr>
      <w:r w:rsidRPr="00676369">
        <w:rPr>
          <w:szCs w:val="24"/>
        </w:rPr>
        <w:t>20.</w:t>
      </w:r>
      <w:r w:rsidRPr="00676369">
        <w:rPr>
          <w:szCs w:val="24"/>
        </w:rPr>
        <w:tab/>
        <w:t>noterer sig offentliggørelsen af revisionen af securitiseringsrammen, og opfordrer Kommissionen til at gøre den mere fleksibel for at give kreditinstitutter mulighed for at yde yderligere finansiering til virksomheder, herunder SMV'er, og støtte deres vækst, uden derved at udhule gennemsigtigheden og kreditkvaliteten; indskærper i den sammenhæng, at rammen for overførsel af betydelige risici skal gøres mere robust ved at indføre større risikofølsomhed og forbedre tilsynet, hvilket bidrager til forenkling;</w:t>
      </w:r>
    </w:p>
    <w:p w14:paraId="10D3D5CD" w14:textId="77777777" w:rsidR="002F166E" w:rsidRPr="00676369" w:rsidRDefault="002F166E" w:rsidP="002F166E">
      <w:pPr>
        <w:pStyle w:val="NormalHanging12a"/>
        <w:rPr>
          <w:szCs w:val="24"/>
        </w:rPr>
      </w:pPr>
      <w:r w:rsidRPr="00676369">
        <w:rPr>
          <w:szCs w:val="24"/>
        </w:rPr>
        <w:t>21.</w:t>
      </w:r>
      <w:r w:rsidRPr="00676369">
        <w:rPr>
          <w:szCs w:val="24"/>
        </w:rPr>
        <w:tab/>
        <w:t>bifalder Kommissionens mål om at udarbejde en plan for en EU-investeringsopsparingskonto, som bør omfatte i) en forenklet selvangivelsesprocedure, ii) ledsagende skatteincitamenter og iii) fravær af restriktioner for investeringsgeografi, sektor, indlånsgrænser eller minimumsbeholdningsperioder;</w:t>
      </w:r>
    </w:p>
    <w:p w14:paraId="29BDE347" w14:textId="77777777" w:rsidR="002F166E" w:rsidRPr="00676369" w:rsidRDefault="002F166E" w:rsidP="002F166E">
      <w:pPr>
        <w:pStyle w:val="NormalHanging12a"/>
        <w:rPr>
          <w:szCs w:val="24"/>
        </w:rPr>
      </w:pPr>
      <w:r w:rsidRPr="00676369">
        <w:rPr>
          <w:szCs w:val="24"/>
        </w:rPr>
        <w:t>22.</w:t>
      </w:r>
      <w:r w:rsidRPr="00676369">
        <w:rPr>
          <w:szCs w:val="24"/>
        </w:rPr>
        <w:tab/>
        <w:t>anerkender den nøglerolle, som den private sektor spiller for EU's økonomiske vækst og velstand; indskærper, at ethvert fremskridt hen imod integrering af kapitalmarkeder skal bygge på principperne om økonomisk frihed, konkurrence og retssikkerhed;</w:t>
      </w:r>
    </w:p>
    <w:p w14:paraId="74C4F168" w14:textId="77777777" w:rsidR="002F166E" w:rsidRPr="00676369" w:rsidRDefault="002F166E" w:rsidP="002F166E">
      <w:pPr>
        <w:pStyle w:val="NormalHanging12a"/>
        <w:rPr>
          <w:szCs w:val="24"/>
        </w:rPr>
      </w:pPr>
      <w:r w:rsidRPr="00676369">
        <w:rPr>
          <w:szCs w:val="24"/>
        </w:rPr>
        <w:t>23.</w:t>
      </w:r>
      <w:r w:rsidRPr="00676369">
        <w:rPr>
          <w:szCs w:val="24"/>
        </w:rPr>
        <w:tab/>
        <w:t>fremhæver, at en europæisk markedsplads for direkte sekundære transaktioner, som vil gøre det muligt at handle med aktier i nystartede virksomheder sent i vækstfasen og forud for første børsnotering, vil styrke Unionens finansieringsøkosystem, så længe den sikrer lige konkurrencevilkår mellem medlemsstaterne, forhindrer koncentrering af finansielle aktiviteter i nogle få jurisdiktioner og fuldt ud tilgodeser de nationale kompetencer;</w:t>
      </w:r>
    </w:p>
    <w:p w14:paraId="426E2216" w14:textId="77777777" w:rsidR="002F166E" w:rsidRPr="00676369" w:rsidRDefault="002F166E" w:rsidP="002F166E">
      <w:pPr>
        <w:pStyle w:val="NormalHanging12a"/>
        <w:rPr>
          <w:szCs w:val="24"/>
        </w:rPr>
      </w:pPr>
      <w:r w:rsidRPr="00676369">
        <w:rPr>
          <w:szCs w:val="24"/>
        </w:rPr>
        <w:t>24.</w:t>
      </w:r>
      <w:r w:rsidRPr="00676369">
        <w:rPr>
          <w:szCs w:val="24"/>
        </w:rPr>
        <w:tab/>
        <w:t>noterer sig, at omarbejdningen af direktivet om markeder for finansielle instrumenter (MiFID II)</w:t>
      </w:r>
      <w:r w:rsidRPr="00676369">
        <w:rPr>
          <w:rStyle w:val="FootnoteReference"/>
          <w:szCs w:val="24"/>
        </w:rPr>
        <w:footnoteReference w:id="6"/>
      </w:r>
      <w:r w:rsidRPr="00676369">
        <w:rPr>
          <w:szCs w:val="24"/>
        </w:rPr>
        <w:t xml:space="preserve"> indeholder bestemmelser om en særlig kategori af vækstmarkeder for SMV'er, som skal tilgodese de særlige behov hos små virksomheder; opfordrer Kommissionen til at videreudvikle dette instrument ved at sørge for en mere fleksibel reguleringsordning, som er tilpasset til behovene hos små virksomheder og mid cap-selskaber;</w:t>
      </w:r>
    </w:p>
    <w:p w14:paraId="161E70D9" w14:textId="77777777" w:rsidR="002F166E" w:rsidRPr="00676369" w:rsidRDefault="002F166E" w:rsidP="002F166E">
      <w:pPr>
        <w:pStyle w:val="Normal12a24b"/>
        <w:spacing w:before="0"/>
        <w:rPr>
          <w:szCs w:val="24"/>
        </w:rPr>
      </w:pPr>
      <w:r w:rsidRPr="00676369">
        <w:rPr>
          <w:rStyle w:val="BoldItalic"/>
          <w:szCs w:val="24"/>
        </w:rPr>
        <w:t>Udligning af finansieringsunderskuddet blandt vækstvirksomheder</w:t>
      </w:r>
    </w:p>
    <w:p w14:paraId="28DBF9EB" w14:textId="77777777" w:rsidR="002F166E" w:rsidRPr="00676369" w:rsidRDefault="002F166E" w:rsidP="002F166E">
      <w:pPr>
        <w:pStyle w:val="NormalHanging12a"/>
        <w:rPr>
          <w:szCs w:val="24"/>
        </w:rPr>
      </w:pPr>
      <w:r w:rsidRPr="00676369">
        <w:rPr>
          <w:szCs w:val="24"/>
        </w:rPr>
        <w:t>25.</w:t>
      </w:r>
      <w:r w:rsidRPr="00676369">
        <w:rPr>
          <w:szCs w:val="24"/>
        </w:rPr>
        <w:tab/>
        <w:t xml:space="preserve">beklager, at der som følge af manglen på attraktive finansieringsmuligheder for vækstvirksomheder på vores marked og manglen på konkurrenceevne i det reguleringsmæssige miljø er mange europæiske virksomheder, der ender med at ty til venturekapitaludbydere i tredjelande og at etablere sig på markeder uden for EU, når de skal opskalere; udtrykker bekymring over det stigende antal konkurser blandt EU's </w:t>
      </w:r>
      <w:r w:rsidRPr="00676369">
        <w:rPr>
          <w:szCs w:val="24"/>
        </w:rPr>
        <w:lastRenderedPageBreak/>
        <w:t>SMV'er</w:t>
      </w:r>
      <w:r w:rsidRPr="00676369">
        <w:rPr>
          <w:rStyle w:val="FootnoteReference"/>
          <w:szCs w:val="24"/>
        </w:rPr>
        <w:footnoteReference w:id="7"/>
      </w:r>
      <w:r w:rsidRPr="00676369">
        <w:rPr>
          <w:szCs w:val="24"/>
        </w:rPr>
        <w:t>; mener, at det er en prioritet at afhjælpe de tilgrundliggende årsager, såsom manglen på langfristet kapital, skattetrykket i forbindelse med skalering og uforholdsmæssigt store administrative byrder;</w:t>
      </w:r>
    </w:p>
    <w:p w14:paraId="1A0F71FB" w14:textId="77777777" w:rsidR="002F166E" w:rsidRPr="00676369" w:rsidRDefault="002F166E" w:rsidP="002F166E">
      <w:pPr>
        <w:pStyle w:val="NormalHanging12a"/>
        <w:rPr>
          <w:szCs w:val="24"/>
        </w:rPr>
      </w:pPr>
      <w:r w:rsidRPr="00676369">
        <w:rPr>
          <w:szCs w:val="24"/>
        </w:rPr>
        <w:t>26.</w:t>
      </w:r>
      <w:r w:rsidRPr="00676369">
        <w:rPr>
          <w:szCs w:val="24"/>
        </w:rPr>
        <w:tab/>
        <w:t>anerkender, at det er afgørende at mobilisere europæiske investeringsinstitutter, navnlig forsikringsselskaber, banker og pensionsfonde, for at indhente efterslæbet med hensyn til opskalering; bemærker, at der er behov for en forøgelse af andelen af venturekapitalfonde i Europa for at yde mere finansiering til vækstvirksomheder, hvilket vil kræve en mere gunstig ramme for venturekapitalfinansiering og sikre direkte udenlandske investeringer i EU; opfordrer Kommissionen til at tilskynde medlemsstater med underudviklede pensionssystemer til at udvikle supplerende pensionssektorer (søjle 2), som kan bidrage til at opbygge venturekapitalmarkeder, og til at skabe et reguleringsmæssigt miljø, som fremmer egenkapitalinvestering fra investeringsinstitutter; minder om Kommissionens tilsagn om at arbejde på risikobegrænsende foranstaltninger for at tiltrække privat finansiering fra forretningsbanker, investorer og venturekapital;</w:t>
      </w:r>
    </w:p>
    <w:p w14:paraId="5D947A35" w14:textId="77777777" w:rsidR="002F166E" w:rsidRPr="00676369" w:rsidRDefault="002F166E" w:rsidP="002F166E">
      <w:pPr>
        <w:pStyle w:val="NormalHanging12a"/>
        <w:rPr>
          <w:szCs w:val="24"/>
        </w:rPr>
      </w:pPr>
      <w:r w:rsidRPr="00676369">
        <w:rPr>
          <w:szCs w:val="24"/>
        </w:rPr>
        <w:t>27.</w:t>
      </w:r>
      <w:r w:rsidRPr="00676369">
        <w:rPr>
          <w:szCs w:val="24"/>
        </w:rPr>
        <w:tab/>
        <w:t>opfordrer Kommissionen til at styrke saminvesteringsplatforme, herunder regionalt forankrede fora og business angel-netværk, for at tiltrække privatkapital og udligne det vedvarende finansieringsunderskud tidligt i vækstfasen for innovationsdrevne SMV'er med høj vækst; opfordrer til, at det kommende initiativ European Tech</w:t>
      </w:r>
      <w:r w:rsidRPr="00676369">
        <w:rPr>
          <w:szCs w:val="24"/>
        </w:rPr>
        <w:noBreakHyphen/>
        <w:t>Champions Initiative 2.0 kapitaliseres i tilstrækkelig grad, og til målrettede EU-finansieringsordninger, der støtter rejsning af kapital og børsnotering af nystartede virksomheder og vækstvirksomheder inden for teknologi; fremhæver EIB-Gruppens mandat til at støtte SMV'er og opfordrer den indtrængende til at indføre en mere fleksibel ramme for risikovurdering og til at sikre, at den nye TechEU-platform gøres bredt tilgængelig i samtlige medlemsstater gennem strømlinede processer; tilslutter sig konklusionen i meddelelsen om opsparings- og investeringsunionen angående betydningen af offentlige finanser på EU-plan, og slår således til lyd for en omlægning af EU-midlerne i retning af færre, mere fleksible programmer, der kan omfordele ressourcer mellem prioriteter over tid;</w:t>
      </w:r>
    </w:p>
    <w:p w14:paraId="24211CCC" w14:textId="77777777" w:rsidR="002F166E" w:rsidRPr="00676369" w:rsidRDefault="002F166E" w:rsidP="002F166E">
      <w:pPr>
        <w:pStyle w:val="NormalHanging12a"/>
        <w:rPr>
          <w:szCs w:val="24"/>
        </w:rPr>
      </w:pPr>
      <w:r w:rsidRPr="00676369">
        <w:rPr>
          <w:szCs w:val="24"/>
        </w:rPr>
        <w:t>28.</w:t>
      </w:r>
      <w:r w:rsidRPr="00676369">
        <w:rPr>
          <w:szCs w:val="24"/>
        </w:rPr>
        <w:tab/>
        <w:t>påpeger, hvor vigtigt det er at skabe de rette betingelser for, at borgernes opsparinger kan kanaliseres over til produktive investeringsinstrumenter, som vil kunne være til gavn for SMV'er og vækstvirksomheder; opfordrer Kommissionen til at fjerne reguleringsmæssige disincitamenter imod detailinvesteringsprodukter og sikre, at detailinvestorerne er tilstrækkeligt beskyttet, når de træffer investeringsbeslutninger; anerkender, at crowdfunding og teknologier såsom intelligente kontrakter og decentraliseret finansiering kan forbedre SMV'ernes adgang til direkte finansiering, og opfordrer indtrængende Kommissionen til at revidere sine lovgivningsmæssige rammer med en innovationsfokuseret og forholdsmæssig risikotilgang;</w:t>
      </w:r>
    </w:p>
    <w:p w14:paraId="255A73E9" w14:textId="77777777" w:rsidR="002F166E" w:rsidRPr="00676369" w:rsidRDefault="002F166E" w:rsidP="002F166E">
      <w:pPr>
        <w:pStyle w:val="NormalHanging12a"/>
        <w:rPr>
          <w:szCs w:val="24"/>
        </w:rPr>
      </w:pPr>
      <w:r w:rsidRPr="00676369">
        <w:rPr>
          <w:szCs w:val="24"/>
        </w:rPr>
        <w:t>29.</w:t>
      </w:r>
      <w:r w:rsidRPr="00676369">
        <w:rPr>
          <w:szCs w:val="24"/>
        </w:rPr>
        <w:tab/>
        <w:t xml:space="preserve">understreger, at et bedre integreret innovationsøkosystem bestående af netværk af universiteter, nystartede virksomheder, større virksomheder og venturekapitalinvestorer </w:t>
      </w:r>
      <w:r w:rsidRPr="00676369">
        <w:rPr>
          <w:szCs w:val="24"/>
        </w:rPr>
        <w:lastRenderedPageBreak/>
        <w:t>og understøttet af adgang til forsøgsfaciliteter og teknologiinfrastruktur er afgørende for at hjælpe virksomhederne til at opskalere; fremhæver den positive rolle, som iværksætterfora, private acceleratorer og mentornetværk kan spille med hensyn til at støtte vækst i nystartede virksomheder, og opfordrer Kommissionen og medlemsstaterne til at bygge videre på initiativer såsom netværket af pålidelige investorer, som har til formål at rejse privatkapital til støtte for Europas innovationsambitioner;</w:t>
      </w:r>
    </w:p>
    <w:p w14:paraId="1A1D7528" w14:textId="77777777" w:rsidR="002F166E" w:rsidRPr="00676369" w:rsidRDefault="002F166E" w:rsidP="002F166E">
      <w:pPr>
        <w:pStyle w:val="Normal12a24b"/>
        <w:spacing w:before="0"/>
        <w:rPr>
          <w:szCs w:val="24"/>
        </w:rPr>
      </w:pPr>
      <w:r w:rsidRPr="00676369">
        <w:rPr>
          <w:rStyle w:val="BoldItalic"/>
          <w:szCs w:val="24"/>
        </w:rPr>
        <w:t>Styrkelse af et konkurrencedygtigt økosystem i EU</w:t>
      </w:r>
    </w:p>
    <w:p w14:paraId="77244C41" w14:textId="77777777" w:rsidR="002F166E" w:rsidRPr="00676369" w:rsidRDefault="002F166E" w:rsidP="002F166E">
      <w:pPr>
        <w:pStyle w:val="NormalHanging12a"/>
        <w:rPr>
          <w:szCs w:val="24"/>
        </w:rPr>
      </w:pPr>
      <w:r w:rsidRPr="00676369">
        <w:rPr>
          <w:szCs w:val="24"/>
        </w:rPr>
        <w:t>30.</w:t>
      </w:r>
      <w:r w:rsidRPr="00676369">
        <w:rPr>
          <w:szCs w:val="24"/>
        </w:rPr>
        <w:tab/>
        <w:t xml:space="preserve">mener, at et konkurrencedygtigt økosystem i EU skal bestå af både stærke nationale markeder og et stærkt indre marked, og at sund konkurrence medlemsstaterne imellem, navnlig med hensyn til økonomiske og lovgivningsmæssige tilgange, tilskynder dem til at holde deres økonomier dynamiske og attraktive, men erindrer dog om, at medlemsstaterne ikke må skabe hindringer for en effektiv grænseoverskridende kapitaltilførsel eller fastsætte prioriteter udelukkende på grundlag af finansieringens geografiske oprindelse; </w:t>
      </w:r>
      <w:bookmarkStart w:id="8" w:name="_Hlk210313711"/>
      <w:r w:rsidRPr="00676369">
        <w:rPr>
          <w:szCs w:val="24"/>
        </w:rPr>
        <w:t>opfordrer til, at Kommissionens initiativer tilgodeser og bygger på bedste praksis, som i forvejen er i brug i medlemsstaterne med positive resultater;</w:t>
      </w:r>
    </w:p>
    <w:bookmarkEnd w:id="8"/>
    <w:p w14:paraId="468E59D1" w14:textId="77777777" w:rsidR="002F166E" w:rsidRPr="00676369" w:rsidRDefault="002F166E" w:rsidP="002F166E">
      <w:pPr>
        <w:pStyle w:val="NormalHanging12a"/>
        <w:rPr>
          <w:szCs w:val="24"/>
        </w:rPr>
      </w:pPr>
      <w:r w:rsidRPr="00676369">
        <w:rPr>
          <w:szCs w:val="24"/>
        </w:rPr>
        <w:t>31.</w:t>
      </w:r>
      <w:r w:rsidRPr="00676369">
        <w:rPr>
          <w:szCs w:val="24"/>
        </w:rPr>
        <w:tab/>
        <w:t>opfordrer indtrængende Kommissionen til at fokusere på at skabe gunstige markedsbetingelser, relevante fællesnævnere blandt medlemsstaterne og frivillige og komplementære rammer med sigte på gradvist at mindske markedsfragmenteringen;</w:t>
      </w:r>
    </w:p>
    <w:p w14:paraId="5E1878AC" w14:textId="77777777" w:rsidR="002F166E" w:rsidRPr="00676369" w:rsidRDefault="002F166E" w:rsidP="002F166E">
      <w:pPr>
        <w:pStyle w:val="NormalHanging12a"/>
        <w:rPr>
          <w:szCs w:val="24"/>
        </w:rPr>
      </w:pPr>
      <w:r w:rsidRPr="00676369">
        <w:rPr>
          <w:szCs w:val="24"/>
        </w:rPr>
        <w:t>32.</w:t>
      </w:r>
      <w:r w:rsidRPr="00676369">
        <w:rPr>
          <w:szCs w:val="24"/>
        </w:rPr>
        <w:tab/>
        <w:t>opfordrer Kommissionen til at præcisere, hvad den 28. retlige ordning vil bestå af, og erindrer om, at denne ordning, hvis den indføres, skal være frivillig, fuldt ud skal tilgodese medlemsstaternes ordninger og skal være udarbejdet i tæt samarbejde med den private sektor med henblik på at tilbyde en forenklet ramme, der tiltrækker private investorer til Europas nystartede virksomheder, vækstvirksomheder og SMV'er og hjælper nystartede europæiske virksomheder til at blive verdensførende inden for teknologi;</w:t>
      </w:r>
    </w:p>
    <w:p w14:paraId="6BDA3ED7" w14:textId="77777777" w:rsidR="002F166E" w:rsidRPr="00676369" w:rsidRDefault="002F166E" w:rsidP="002F166E">
      <w:pPr>
        <w:pStyle w:val="NormalHanging12a"/>
        <w:rPr>
          <w:szCs w:val="24"/>
        </w:rPr>
      </w:pPr>
      <w:r w:rsidRPr="00676369">
        <w:rPr>
          <w:szCs w:val="24"/>
        </w:rPr>
        <w:t>33.</w:t>
      </w:r>
      <w:r w:rsidRPr="00676369">
        <w:rPr>
          <w:szCs w:val="24"/>
        </w:rPr>
        <w:tab/>
        <w:t>opfordrer Kommissionen til med støtte fra medlemsstaternes myndigheder at udvikle forenklede vejledningsværktøjer og kvikskranker til SMV'er og vækstvirksomheder for at hjælpe dem med at navigere i de forskellige retsvæsener på tværs af EU inden for forskellige sagsområder, som f.eks. selskabsret, arbejdsret, insolvenslovgivning, skatteret, intellektuelle ejendomsrettigheder og nationale finansieringsmuligheder; opfordrer endvidere Kommissionen til at forbedre værktøjerne til overvågning af SMV'ers adgang til finansiering, herunder at udvikle EU-dækkende indikatorer og resultattavler, som kan hjælpe SMV'erne med at finde finansieringsmuligheder på tværs af medlemsstaterne, men uden derved at indføre nye indberetningsforpligtelser eller øge den administrative byrde;</w:t>
      </w:r>
    </w:p>
    <w:p w14:paraId="2EA9AE93" w14:textId="77777777" w:rsidR="002F166E" w:rsidRPr="00676369" w:rsidRDefault="002F166E" w:rsidP="002F166E">
      <w:pPr>
        <w:pStyle w:val="NormalCenter12a"/>
        <w:rPr>
          <w:szCs w:val="24"/>
        </w:rPr>
      </w:pPr>
      <w:r w:rsidRPr="00676369">
        <w:rPr>
          <w:szCs w:val="24"/>
        </w:rPr>
        <w:t>°</w:t>
      </w:r>
    </w:p>
    <w:p w14:paraId="3E9B099B" w14:textId="77777777" w:rsidR="002F166E" w:rsidRPr="00676369" w:rsidRDefault="002F166E" w:rsidP="002F166E">
      <w:pPr>
        <w:pStyle w:val="NormalCenter12a"/>
        <w:rPr>
          <w:szCs w:val="24"/>
        </w:rPr>
      </w:pPr>
      <w:r w:rsidRPr="00676369">
        <w:rPr>
          <w:szCs w:val="24"/>
        </w:rPr>
        <w:t>°</w:t>
      </w:r>
      <w:r w:rsidRPr="00676369">
        <w:rPr>
          <w:szCs w:val="24"/>
        </w:rPr>
        <w:tab/>
        <w:t>°</w:t>
      </w:r>
    </w:p>
    <w:p w14:paraId="1ACEFBC7" w14:textId="0C28774C" w:rsidR="00E365E1" w:rsidRPr="00676369" w:rsidRDefault="002F166E" w:rsidP="002A0036">
      <w:pPr>
        <w:pStyle w:val="NormalHanging12a"/>
      </w:pPr>
      <w:r w:rsidRPr="00676369">
        <w:rPr>
          <w:szCs w:val="24"/>
        </w:rPr>
        <w:t>34.</w:t>
      </w:r>
      <w:r w:rsidRPr="00676369">
        <w:rPr>
          <w:szCs w:val="24"/>
        </w:rPr>
        <w:tab/>
        <w:t>pålægger sin formand at fremsende denne beslutning til Rådet og Kommissionen.</w:t>
      </w:r>
    </w:p>
    <w:sectPr w:rsidR="00E365E1" w:rsidRPr="00676369" w:rsidSect="006763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88D26" w14:textId="77777777" w:rsidR="00F6093F" w:rsidRPr="00676369" w:rsidRDefault="00F6093F">
      <w:r w:rsidRPr="00676369">
        <w:separator/>
      </w:r>
    </w:p>
  </w:endnote>
  <w:endnote w:type="continuationSeparator" w:id="0">
    <w:p w14:paraId="12AB5C11" w14:textId="77777777" w:rsidR="00F6093F" w:rsidRPr="00676369" w:rsidRDefault="00F6093F">
      <w:r w:rsidRPr="006763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D9EDD" w14:textId="77777777" w:rsidR="00064002" w:rsidRPr="006763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98A6" w14:textId="77777777" w:rsidR="00064002" w:rsidRPr="006763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21A61" w14:textId="77777777" w:rsidR="00064002" w:rsidRPr="006763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99CF6" w14:textId="77777777" w:rsidR="00F6093F" w:rsidRPr="00676369" w:rsidRDefault="00F6093F">
      <w:r w:rsidRPr="00676369">
        <w:separator/>
      </w:r>
    </w:p>
  </w:footnote>
  <w:footnote w:type="continuationSeparator" w:id="0">
    <w:p w14:paraId="2379BE11" w14:textId="77777777" w:rsidR="00F6093F" w:rsidRPr="00676369" w:rsidRDefault="00F6093F">
      <w:r w:rsidRPr="00676369">
        <w:continuationSeparator/>
      </w:r>
    </w:p>
  </w:footnote>
  <w:footnote w:id="1">
    <w:p w14:paraId="71361AE8" w14:textId="5F0CF0EF" w:rsidR="002F166E" w:rsidRPr="00801901" w:rsidRDefault="002F166E" w:rsidP="00676369">
      <w:pPr>
        <w:pStyle w:val="FootnoteText"/>
        <w:ind w:left="567" w:hanging="567"/>
        <w:rPr>
          <w:sz w:val="24"/>
          <w:lang w:val="fi-FI"/>
        </w:rPr>
      </w:pPr>
      <w:r w:rsidRPr="00676369">
        <w:rPr>
          <w:sz w:val="24"/>
          <w:vertAlign w:val="superscript"/>
          <w:lang w:val="da-DK"/>
        </w:rPr>
        <w:footnoteRef/>
      </w:r>
      <w:r w:rsidR="00676369" w:rsidRPr="00801901">
        <w:rPr>
          <w:sz w:val="24"/>
          <w:lang w:val="fi-FI"/>
        </w:rPr>
        <w:t xml:space="preserve"> </w:t>
      </w:r>
      <w:r w:rsidR="00676369" w:rsidRPr="00801901">
        <w:rPr>
          <w:sz w:val="24"/>
          <w:lang w:val="fi-FI"/>
        </w:rPr>
        <w:tab/>
      </w:r>
      <w:r w:rsidRPr="00801901">
        <w:rPr>
          <w:sz w:val="24"/>
          <w:lang w:val="fi-FI"/>
        </w:rPr>
        <w:t xml:space="preserve">EUT C, C/2024/4182, 2.8.2024, ELI: </w:t>
      </w:r>
      <w:hyperlink r:id="rId1" w:history="1">
        <w:r w:rsidRPr="00801901">
          <w:rPr>
            <w:rStyle w:val="Hyperlink"/>
            <w:sz w:val="24"/>
            <w:lang w:val="fi-FI"/>
          </w:rPr>
          <w:t>http://data.europa.eu/eli/C/2024/4182/oj</w:t>
        </w:r>
      </w:hyperlink>
      <w:r w:rsidRPr="00801901">
        <w:rPr>
          <w:sz w:val="24"/>
          <w:lang w:val="fi-FI"/>
        </w:rPr>
        <w:t>.</w:t>
      </w:r>
    </w:p>
  </w:footnote>
  <w:footnote w:id="2">
    <w:p w14:paraId="43B31D28" w14:textId="74B31A05" w:rsidR="002F166E" w:rsidRPr="00801901" w:rsidRDefault="002F166E" w:rsidP="00676369">
      <w:pPr>
        <w:pStyle w:val="FootnoteText"/>
        <w:ind w:left="567" w:hanging="567"/>
        <w:rPr>
          <w:sz w:val="24"/>
          <w:lang w:val="fi-FI"/>
        </w:rPr>
      </w:pPr>
      <w:r w:rsidRPr="00676369">
        <w:rPr>
          <w:rStyle w:val="FootnoteReference"/>
          <w:sz w:val="24"/>
          <w:lang w:val="da-DK"/>
        </w:rPr>
        <w:footnoteRef/>
      </w:r>
      <w:r w:rsidR="00676369" w:rsidRPr="00801901">
        <w:rPr>
          <w:sz w:val="24"/>
          <w:lang w:val="fi-FI"/>
        </w:rPr>
        <w:t xml:space="preserve"> </w:t>
      </w:r>
      <w:r w:rsidR="00676369" w:rsidRPr="00801901">
        <w:rPr>
          <w:sz w:val="24"/>
          <w:lang w:val="fi-FI"/>
        </w:rPr>
        <w:tab/>
      </w:r>
      <w:r w:rsidRPr="00801901">
        <w:rPr>
          <w:sz w:val="24"/>
          <w:lang w:val="fi-FI"/>
        </w:rPr>
        <w:t xml:space="preserve">Katsinis, A., Lagüera-González, J., Di Bella, L., Odenthal, L., Hell, M., m.fl.: "Annual Report on European SMEs 2023/2024", Den Europæiske Unions Publikationskontor, 2024 </w:t>
      </w:r>
      <w:r w:rsidR="004E4E71">
        <w:fldChar w:fldCharType="begin"/>
      </w:r>
      <w:r w:rsidR="004E4E71" w:rsidRPr="004E4E71">
        <w:rPr>
          <w:lang w:val="fi-FI"/>
        </w:rPr>
        <w:instrText>HYPERLINK "https://single-market-economy.ec.europa.eu/document/download/2bef0eda-2f75-497d-982e-c0d1cea57c0e_en?filename=Annual%20Report%20on%20European%20SMEs%202024.pdf"</w:instrText>
      </w:r>
      <w:r w:rsidR="004E4E71">
        <w:fldChar w:fldCharType="separate"/>
      </w:r>
      <w:r w:rsidRPr="00801901">
        <w:rPr>
          <w:rStyle w:val="Hyperlink"/>
          <w:sz w:val="24"/>
          <w:lang w:val="fi-FI"/>
        </w:rPr>
        <w:t>https://single-market-economy.ec.europa.eu/document/download/2bef0eda-2f75-497d-982e-c0d1cea57c0e_en?filename=Annual%20Report%20on%20European%20SMEs%202024.pdf</w:t>
      </w:r>
      <w:r w:rsidR="004E4E71">
        <w:rPr>
          <w:rStyle w:val="Hyperlink"/>
          <w:sz w:val="24"/>
          <w:lang w:val="fi-FI"/>
        </w:rPr>
        <w:fldChar w:fldCharType="end"/>
      </w:r>
      <w:r w:rsidRPr="00801901">
        <w:rPr>
          <w:sz w:val="24"/>
          <w:lang w:val="fi-FI"/>
        </w:rPr>
        <w:t>.</w:t>
      </w:r>
    </w:p>
  </w:footnote>
  <w:footnote w:id="3">
    <w:p w14:paraId="49727081" w14:textId="3710A196" w:rsidR="002F166E" w:rsidRPr="00801901" w:rsidRDefault="002F166E" w:rsidP="00676369">
      <w:pPr>
        <w:ind w:left="567" w:hanging="567"/>
        <w:rPr>
          <w:lang w:val="en-GB"/>
        </w:rPr>
      </w:pPr>
      <w:r w:rsidRPr="00676369">
        <w:rPr>
          <w:rStyle w:val="FootnoteReference"/>
        </w:rPr>
        <w:footnoteRef/>
      </w:r>
      <w:r w:rsidR="00676369" w:rsidRPr="00801901">
        <w:rPr>
          <w:lang w:val="en-GB"/>
        </w:rPr>
        <w:t xml:space="preserve"> </w:t>
      </w:r>
      <w:r w:rsidR="00676369" w:rsidRPr="00801901">
        <w:rPr>
          <w:lang w:val="en-GB"/>
        </w:rPr>
        <w:tab/>
      </w:r>
      <w:r w:rsidRPr="00801901">
        <w:rPr>
          <w:lang w:val="en-GB"/>
        </w:rPr>
        <w:t>Draghi, Mario: "The Future of European Competitiveness – A Competitiveness Strategy for Europe", 2024,</w:t>
      </w:r>
      <w:r w:rsidRPr="00801901">
        <w:rPr>
          <w:color w:val="0000FF"/>
          <w:u w:val="single" w:color="0000FF"/>
          <w:lang w:val="en-GB"/>
        </w:rPr>
        <w:t xml:space="preserve"> </w:t>
      </w:r>
      <w:r w:rsidR="004E4E71">
        <w:fldChar w:fldCharType="begin"/>
      </w:r>
      <w:r w:rsidR="004E4E71" w:rsidRPr="004E4E71">
        <w:rPr>
          <w:lang w:val="en-GB"/>
        </w:rPr>
        <w:instrText>HYPERLINK "https://commission.europa.eu/document/97e481fd-2dc3-412d-be4c-f152a8232961_da"</w:instrText>
      </w:r>
      <w:r w:rsidR="004E4E71">
        <w:fldChar w:fldCharType="separate"/>
      </w:r>
      <w:r w:rsidRPr="00801901">
        <w:rPr>
          <w:rStyle w:val="Hyperlink"/>
          <w:lang w:val="en-GB"/>
        </w:rPr>
        <w:t>https://commission.europa.eu/document/97e481fd-2dc3-412d-be4c-f152a8232961_da</w:t>
      </w:r>
      <w:r w:rsidR="004E4E71">
        <w:rPr>
          <w:rStyle w:val="Hyperlink"/>
          <w:lang w:val="en-GB"/>
        </w:rPr>
        <w:fldChar w:fldCharType="end"/>
      </w:r>
      <w:r w:rsidRPr="00801901">
        <w:rPr>
          <w:lang w:val="en-GB"/>
        </w:rPr>
        <w:t>.</w:t>
      </w:r>
    </w:p>
  </w:footnote>
  <w:footnote w:id="4">
    <w:p w14:paraId="4652F10F" w14:textId="55E56BF9" w:rsidR="002F166E" w:rsidRPr="00676369" w:rsidRDefault="002F166E" w:rsidP="00676369">
      <w:pPr>
        <w:pStyle w:val="FootnoteText"/>
        <w:ind w:left="567" w:hanging="567"/>
        <w:rPr>
          <w:sz w:val="24"/>
          <w:lang w:val="da-DK"/>
        </w:rPr>
      </w:pPr>
      <w:r w:rsidRPr="00676369">
        <w:rPr>
          <w:rStyle w:val="FootnoteReference"/>
          <w:sz w:val="24"/>
          <w:lang w:val="da-DK"/>
        </w:rPr>
        <w:footnoteRef/>
      </w:r>
      <w:bookmarkStart w:id="6" w:name="_Hlk210313079"/>
      <w:r w:rsidR="00676369" w:rsidRPr="00676369">
        <w:rPr>
          <w:sz w:val="24"/>
          <w:lang w:val="da-DK"/>
        </w:rPr>
        <w:t xml:space="preserve"> </w:t>
      </w:r>
      <w:r w:rsidR="00676369" w:rsidRPr="00676369">
        <w:rPr>
          <w:sz w:val="24"/>
          <w:lang w:val="da-DK"/>
        </w:rPr>
        <w:tab/>
      </w:r>
      <w:r w:rsidRPr="00676369">
        <w:rPr>
          <w:sz w:val="24"/>
          <w:lang w:val="da-DK"/>
        </w:rPr>
        <w:t xml:space="preserve">Lovgivningspakken om børsnotering består af Europa-Parlamentets og Rådets forordning (EU) 2024/2809 af 23. oktober 2024 om ændring af forordning (EU) 2017/1129, (EU) nr. 596/2014 og (EU) nr. 600/2014 med henblik på at gøre offentlige kapitalmarkeder i Unionen mere attraktive for selskaber og lette adgangen til kapital for små og mellemstore virksomheder (EUT L, 2024/2809, 14.11.2024, ELI: </w:t>
      </w:r>
      <w:r w:rsidR="004E4E71">
        <w:fldChar w:fldCharType="begin"/>
      </w:r>
      <w:r w:rsidR="004E4E71" w:rsidRPr="004E4E71">
        <w:rPr>
          <w:lang w:val="da-DK"/>
        </w:rPr>
        <w:instrText>HYPERLINK "http://data.europa.eu/eli/reg/2024/2809/oj"</w:instrText>
      </w:r>
      <w:r w:rsidR="004E4E71">
        <w:fldChar w:fldCharType="separate"/>
      </w:r>
      <w:r w:rsidRPr="00676369">
        <w:rPr>
          <w:rStyle w:val="Hyperlink"/>
          <w:sz w:val="24"/>
          <w:lang w:val="da-DK"/>
        </w:rPr>
        <w:t>http://data.europa.eu/eli/reg/2024/2809/oj</w:t>
      </w:r>
      <w:r w:rsidR="004E4E71">
        <w:rPr>
          <w:rStyle w:val="Hyperlink"/>
          <w:sz w:val="24"/>
          <w:lang w:val="da-DK"/>
        </w:rPr>
        <w:fldChar w:fldCharType="end"/>
      </w:r>
      <w:r w:rsidRPr="00676369">
        <w:rPr>
          <w:sz w:val="24"/>
          <w:lang w:val="da-DK"/>
        </w:rPr>
        <w:t xml:space="preserve">), Europa-Parlamentets og Rådets direktiv (EU) 2024/2810 af 23. oktober 2024 om strukturer med aktier med flere stemmer i selskaber, der anmoder om, at deres aktier optages til handel på en multilateral handelsfacilitet (EUT L, 2024/2810, 14.11.2024, ELI: </w:t>
      </w:r>
      <w:hyperlink r:id="rId2" w:history="1">
        <w:r w:rsidRPr="00676369">
          <w:rPr>
            <w:rStyle w:val="Hyperlink"/>
            <w:sz w:val="24"/>
            <w:lang w:val="da-DK"/>
          </w:rPr>
          <w:t>http://data.europa.eu/eli/dir/2024/2810/oj</w:t>
        </w:r>
      </w:hyperlink>
      <w:r w:rsidRPr="00676369">
        <w:rPr>
          <w:sz w:val="24"/>
          <w:lang w:val="da-DK"/>
        </w:rPr>
        <w:t xml:space="preserve">) samt Europa-Parlamentets og Rådets direktiv (EU) 2024/2811 af 23. oktober 2024 om ændring af direktiv 2014/65/EU med henblik på at gøre offentlige kapitalmarkeder i Unionen mere attraktive for selskaber og lette adgangen til kapital for små og mellemstore virksomheder og om ophævelse af direktiv 2001/34/EF (EUT L, 2024/2811, 14.11.2024, ELI: </w:t>
      </w:r>
      <w:hyperlink r:id="rId3" w:history="1">
        <w:r w:rsidRPr="00676369">
          <w:rPr>
            <w:rStyle w:val="Hyperlink"/>
            <w:sz w:val="24"/>
            <w:lang w:val="da-DK"/>
          </w:rPr>
          <w:t>http://data.europa.eu/eli/dir/2024/2811/oj</w:t>
        </w:r>
      </w:hyperlink>
      <w:r w:rsidRPr="00676369">
        <w:rPr>
          <w:sz w:val="24"/>
          <w:lang w:val="da-DK"/>
        </w:rPr>
        <w:t>).</w:t>
      </w:r>
      <w:bookmarkEnd w:id="6"/>
    </w:p>
  </w:footnote>
  <w:footnote w:id="5">
    <w:p w14:paraId="76F6B160" w14:textId="184DF083" w:rsidR="002F166E" w:rsidRPr="00676369" w:rsidRDefault="002F166E" w:rsidP="00676369">
      <w:pPr>
        <w:pStyle w:val="FootnoteText"/>
        <w:ind w:left="567" w:hanging="567"/>
        <w:rPr>
          <w:sz w:val="24"/>
          <w:lang w:val="da-DK"/>
        </w:rPr>
      </w:pPr>
      <w:r w:rsidRPr="00676369">
        <w:rPr>
          <w:rStyle w:val="FootnoteReference"/>
          <w:sz w:val="24"/>
          <w:lang w:val="da-DK"/>
        </w:rPr>
        <w:footnoteRef/>
      </w:r>
      <w:r w:rsidR="00676369" w:rsidRPr="00676369">
        <w:rPr>
          <w:sz w:val="24"/>
          <w:lang w:val="da-DK"/>
        </w:rPr>
        <w:t xml:space="preserve"> </w:t>
      </w:r>
      <w:r w:rsidR="00676369" w:rsidRPr="00676369">
        <w:rPr>
          <w:sz w:val="24"/>
          <w:lang w:val="da-DK"/>
        </w:rPr>
        <w:tab/>
      </w:r>
      <w:r w:rsidRPr="00676369">
        <w:rPr>
          <w:sz w:val="24"/>
          <w:lang w:val="da-DK"/>
        </w:rPr>
        <w:t xml:space="preserve">Europa-Parlamentets og Rådets forordning (EU) nr. 345/2013 af 17. april 2013 om europæiske venturekapitalfonde (EUT L 115 af 25.4.2013, s. 1, ELI: </w:t>
      </w:r>
      <w:r w:rsidR="004E4E71">
        <w:fldChar w:fldCharType="begin"/>
      </w:r>
      <w:r w:rsidR="004E4E71" w:rsidRPr="004E4E71">
        <w:rPr>
          <w:lang w:val="da-DK"/>
        </w:rPr>
        <w:instrText>HYPERLINK "http://data.europa.eu/eli/reg/2013/345/oj"</w:instrText>
      </w:r>
      <w:r w:rsidR="004E4E71">
        <w:fldChar w:fldCharType="separate"/>
      </w:r>
      <w:r w:rsidRPr="00676369">
        <w:rPr>
          <w:rStyle w:val="Hyperlink"/>
          <w:sz w:val="24"/>
          <w:lang w:val="da-DK"/>
        </w:rPr>
        <w:t>http://data.europa.eu/eli/reg/2013/345/oj</w:t>
      </w:r>
      <w:r w:rsidR="004E4E71">
        <w:rPr>
          <w:rStyle w:val="Hyperlink"/>
          <w:sz w:val="24"/>
          <w:lang w:val="da-DK"/>
        </w:rPr>
        <w:fldChar w:fldCharType="end"/>
      </w:r>
      <w:r w:rsidRPr="00676369">
        <w:rPr>
          <w:sz w:val="24"/>
          <w:lang w:val="da-DK"/>
        </w:rPr>
        <w:t>).</w:t>
      </w:r>
    </w:p>
  </w:footnote>
  <w:footnote w:id="6">
    <w:p w14:paraId="70FFA369" w14:textId="7379FB93" w:rsidR="002F166E" w:rsidRPr="00676369" w:rsidRDefault="002F166E" w:rsidP="00676369">
      <w:pPr>
        <w:pStyle w:val="FootnoteText"/>
        <w:ind w:left="567" w:hanging="567"/>
        <w:rPr>
          <w:sz w:val="24"/>
          <w:lang w:val="da-DK"/>
        </w:rPr>
      </w:pPr>
      <w:r w:rsidRPr="00676369">
        <w:rPr>
          <w:rStyle w:val="FootnoteReference"/>
          <w:sz w:val="24"/>
          <w:lang w:val="da-DK"/>
        </w:rPr>
        <w:footnoteRef/>
      </w:r>
      <w:r w:rsidR="00676369" w:rsidRPr="00676369">
        <w:rPr>
          <w:sz w:val="24"/>
          <w:lang w:val="da-DK"/>
        </w:rPr>
        <w:t xml:space="preserve"> </w:t>
      </w:r>
      <w:r w:rsidR="00676369" w:rsidRPr="00676369">
        <w:rPr>
          <w:sz w:val="24"/>
          <w:lang w:val="da-DK"/>
        </w:rPr>
        <w:tab/>
      </w:r>
      <w:r w:rsidRPr="00676369">
        <w:rPr>
          <w:sz w:val="24"/>
          <w:lang w:val="da-DK"/>
        </w:rPr>
        <w:t xml:space="preserve">Europa-Parlamentets og Rådets direktiv 2014/65/EU af 15. maj 2014 om markeder for finansielle instrumenter og om ændring af direktiv 2002/92/EF og direktiv 2011/61/EU (omarbejdning) (EUT L 173 af 12.6.2014, s. 349, ELI: </w:t>
      </w:r>
      <w:r w:rsidR="004E4E71">
        <w:fldChar w:fldCharType="begin"/>
      </w:r>
      <w:r w:rsidR="004E4E71" w:rsidRPr="004E4E71">
        <w:rPr>
          <w:lang w:val="da-DK"/>
        </w:rPr>
        <w:instrText>HYPERLINK "http://data.europa.eu/eli/dir/2014/65/oj"</w:instrText>
      </w:r>
      <w:r w:rsidR="004E4E71">
        <w:fldChar w:fldCharType="separate"/>
      </w:r>
      <w:r w:rsidRPr="00676369">
        <w:rPr>
          <w:rStyle w:val="Hyperlink"/>
          <w:sz w:val="24"/>
          <w:lang w:val="da-DK"/>
        </w:rPr>
        <w:t>http://data.europa.eu/eli/dir/2014/65/oj</w:t>
      </w:r>
      <w:r w:rsidR="004E4E71">
        <w:rPr>
          <w:rStyle w:val="Hyperlink"/>
          <w:sz w:val="24"/>
          <w:lang w:val="da-DK"/>
        </w:rPr>
        <w:fldChar w:fldCharType="end"/>
      </w:r>
      <w:r w:rsidRPr="00676369">
        <w:rPr>
          <w:sz w:val="24"/>
          <w:lang w:val="da-DK"/>
        </w:rPr>
        <w:t>).</w:t>
      </w:r>
    </w:p>
  </w:footnote>
  <w:footnote w:id="7">
    <w:p w14:paraId="1A2CF6F2" w14:textId="27E2D6AF" w:rsidR="002F166E" w:rsidRPr="00676369" w:rsidRDefault="002F166E" w:rsidP="00676369">
      <w:pPr>
        <w:pStyle w:val="FootnoteText"/>
        <w:ind w:left="567" w:hanging="567"/>
        <w:rPr>
          <w:sz w:val="24"/>
          <w:lang w:val="da-DK"/>
        </w:rPr>
      </w:pPr>
      <w:r w:rsidRPr="00676369">
        <w:rPr>
          <w:rStyle w:val="FootnoteReference"/>
          <w:sz w:val="24"/>
          <w:lang w:val="da-DK"/>
        </w:rPr>
        <w:footnoteRef/>
      </w:r>
      <w:r w:rsidR="00676369" w:rsidRPr="00676369">
        <w:rPr>
          <w:sz w:val="24"/>
          <w:lang w:val="da-DK"/>
        </w:rPr>
        <w:t xml:space="preserve"> </w:t>
      </w:r>
      <w:r w:rsidR="00676369" w:rsidRPr="00676369">
        <w:rPr>
          <w:sz w:val="24"/>
          <w:lang w:val="da-DK"/>
        </w:rPr>
        <w:tab/>
      </w:r>
      <w:r w:rsidRPr="00676369">
        <w:rPr>
          <w:sz w:val="24"/>
          <w:lang w:val="da-DK"/>
        </w:rPr>
        <w:t xml:space="preserve">Katsinis, A., Lagüera-González, J., Di Bella, L., Odenthal, L., Hell, M., m.fl.: "Annual Report on European SMEs 2023/2024", Den Europæiske Unions Publikationskontor, 2024 </w:t>
      </w:r>
      <w:r w:rsidR="004E4E71">
        <w:fldChar w:fldCharType="begin"/>
      </w:r>
      <w:r w:rsidR="004E4E71" w:rsidRPr="004E4E71">
        <w:rPr>
          <w:lang w:val="da-DK"/>
        </w:rPr>
        <w:instrText>HYPERLINK "https://single-market-economy.ec.europa.eu/document/download/2bef0eda-2f75-497d-982e-c0d1cea57c0e_en?filename=Annual%20Report%20on%20European%20SMEs%202024.pdf"</w:instrText>
      </w:r>
      <w:r w:rsidR="004E4E71">
        <w:fldChar w:fldCharType="separate"/>
      </w:r>
      <w:r w:rsidRPr="00676369">
        <w:rPr>
          <w:rStyle w:val="Hyperlink"/>
          <w:sz w:val="24"/>
          <w:lang w:val="da-DK"/>
        </w:rPr>
        <w:t>https://single-market-economy.ec.europa.eu/document/download/2bef0eda-2f75-497d-982e-c0d1cea57c0e_en?filename=Annual%20Report%20on%20European%20SMEs%202024.pdf</w:t>
      </w:r>
      <w:r w:rsidR="004E4E71">
        <w:rPr>
          <w:rStyle w:val="Hyperlink"/>
          <w:sz w:val="24"/>
          <w:lang w:val="da-DK"/>
        </w:rPr>
        <w:fldChar w:fldCharType="end"/>
      </w:r>
      <w:r w:rsidRPr="0067636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0E38" w14:textId="77777777" w:rsidR="00064002" w:rsidRPr="006763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EAE57" w14:textId="77777777" w:rsidR="00064002" w:rsidRPr="006763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4C67" w14:textId="77777777" w:rsidR="00064002" w:rsidRPr="006763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0479431">
    <w:abstractNumId w:val="9"/>
  </w:num>
  <w:num w:numId="2" w16cid:durableId="1712413284">
    <w:abstractNumId w:val="9"/>
  </w:num>
  <w:num w:numId="3" w16cid:durableId="1947229486">
    <w:abstractNumId w:val="7"/>
  </w:num>
  <w:num w:numId="4" w16cid:durableId="1746342693">
    <w:abstractNumId w:val="7"/>
  </w:num>
  <w:num w:numId="5" w16cid:durableId="2137022908">
    <w:abstractNumId w:val="6"/>
  </w:num>
  <w:num w:numId="6" w16cid:durableId="771629284">
    <w:abstractNumId w:val="6"/>
  </w:num>
  <w:num w:numId="7" w16cid:durableId="563024936">
    <w:abstractNumId w:val="5"/>
  </w:num>
  <w:num w:numId="8" w16cid:durableId="869105452">
    <w:abstractNumId w:val="5"/>
  </w:num>
  <w:num w:numId="9" w16cid:durableId="603418251">
    <w:abstractNumId w:val="4"/>
  </w:num>
  <w:num w:numId="10" w16cid:durableId="218176354">
    <w:abstractNumId w:val="4"/>
  </w:num>
  <w:num w:numId="11" w16cid:durableId="1020474314">
    <w:abstractNumId w:val="8"/>
  </w:num>
  <w:num w:numId="12" w16cid:durableId="396174473">
    <w:abstractNumId w:val="8"/>
  </w:num>
  <w:num w:numId="13" w16cid:durableId="1235550320">
    <w:abstractNumId w:val="3"/>
  </w:num>
  <w:num w:numId="14" w16cid:durableId="1865753668">
    <w:abstractNumId w:val="3"/>
  </w:num>
  <w:num w:numId="15" w16cid:durableId="895235623">
    <w:abstractNumId w:val="2"/>
  </w:num>
  <w:num w:numId="16" w16cid:durableId="1558927966">
    <w:abstractNumId w:val="2"/>
  </w:num>
  <w:num w:numId="17" w16cid:durableId="461077858">
    <w:abstractNumId w:val="1"/>
  </w:num>
  <w:num w:numId="18" w16cid:durableId="527641533">
    <w:abstractNumId w:val="1"/>
  </w:num>
  <w:num w:numId="19" w16cid:durableId="1179807584">
    <w:abstractNumId w:val="0"/>
  </w:num>
  <w:num w:numId="20" w16cid:durableId="1533223765">
    <w:abstractNumId w:val="0"/>
  </w:num>
  <w:num w:numId="21" w16cid:durableId="1854881744">
    <w:abstractNumId w:val="9"/>
  </w:num>
  <w:num w:numId="22" w16cid:durableId="357120688">
    <w:abstractNumId w:val="7"/>
  </w:num>
  <w:num w:numId="23" w16cid:durableId="377439968">
    <w:abstractNumId w:val="6"/>
  </w:num>
  <w:num w:numId="24" w16cid:durableId="181288814">
    <w:abstractNumId w:val="5"/>
  </w:num>
  <w:num w:numId="25" w16cid:durableId="1735546611">
    <w:abstractNumId w:val="4"/>
  </w:num>
  <w:num w:numId="26" w16cid:durableId="1171718439">
    <w:abstractNumId w:val="8"/>
  </w:num>
  <w:num w:numId="27" w16cid:durableId="1451319782">
    <w:abstractNumId w:val="3"/>
  </w:num>
  <w:num w:numId="28" w16cid:durableId="100532575">
    <w:abstractNumId w:val="2"/>
  </w:num>
  <w:num w:numId="29" w16cid:durableId="738744109">
    <w:abstractNumId w:val="1"/>
  </w:num>
  <w:num w:numId="30" w16cid:durableId="2084372504">
    <w:abstractNumId w:val="0"/>
  </w:num>
  <w:num w:numId="31" w16cid:durableId="720594670">
    <w:abstractNumId w:val="9"/>
  </w:num>
  <w:num w:numId="32" w16cid:durableId="274101057">
    <w:abstractNumId w:val="7"/>
  </w:num>
  <w:num w:numId="33" w16cid:durableId="1316954123">
    <w:abstractNumId w:val="6"/>
  </w:num>
  <w:num w:numId="34" w16cid:durableId="910309217">
    <w:abstractNumId w:val="5"/>
  </w:num>
  <w:num w:numId="35" w16cid:durableId="16809698">
    <w:abstractNumId w:val="4"/>
  </w:num>
  <w:num w:numId="36" w16cid:durableId="574360772">
    <w:abstractNumId w:val="8"/>
  </w:num>
  <w:num w:numId="37" w16cid:durableId="675039410">
    <w:abstractNumId w:val="3"/>
  </w:num>
  <w:num w:numId="38" w16cid:durableId="1261915125">
    <w:abstractNumId w:val="2"/>
  </w:num>
  <w:num w:numId="39" w16cid:durableId="599683488">
    <w:abstractNumId w:val="1"/>
  </w:num>
  <w:num w:numId="40" w16cid:durableId="412317202">
    <w:abstractNumId w:val="0"/>
  </w:num>
  <w:num w:numId="41" w16cid:durableId="1825775966">
    <w:abstractNumId w:val="10"/>
  </w:num>
  <w:num w:numId="42" w16cid:durableId="1343974749">
    <w:abstractNumId w:val="10"/>
  </w:num>
  <w:num w:numId="43" w16cid:durableId="440494581">
    <w:abstractNumId w:val="10"/>
  </w:num>
  <w:num w:numId="44" w16cid:durableId="1969972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DA"/>
    <w:docVar w:name="dvnumam" w:val="0"/>
    <w:docVar w:name="dvpe" w:val="772.123"/>
    <w:docVar w:name="dvrapporteur" w:val="Ordfører: "/>
    <w:docVar w:name="dvtitre" w:val="Europa-Parlamentets beslutning af xx.xx 2025 om adgang til finansiering for SMV'er og vækstvirksomheder(2025/2072(INI))"/>
  </w:docVars>
  <w:rsids>
    <w:rsidRoot w:val="00F6093F"/>
    <w:rsid w:val="00002272"/>
    <w:rsid w:val="00064002"/>
    <w:rsid w:val="000677B9"/>
    <w:rsid w:val="000831BA"/>
    <w:rsid w:val="000A42CC"/>
    <w:rsid w:val="000E7DD9"/>
    <w:rsid w:val="0010095E"/>
    <w:rsid w:val="001052AE"/>
    <w:rsid w:val="00125B37"/>
    <w:rsid w:val="00187494"/>
    <w:rsid w:val="001F32AE"/>
    <w:rsid w:val="00265265"/>
    <w:rsid w:val="002767FF"/>
    <w:rsid w:val="0028021A"/>
    <w:rsid w:val="002A0036"/>
    <w:rsid w:val="002B18FE"/>
    <w:rsid w:val="002B5493"/>
    <w:rsid w:val="002F166E"/>
    <w:rsid w:val="00343214"/>
    <w:rsid w:val="00361C00"/>
    <w:rsid w:val="00395FA1"/>
    <w:rsid w:val="003E15D4"/>
    <w:rsid w:val="00411CCE"/>
    <w:rsid w:val="0041666E"/>
    <w:rsid w:val="00421060"/>
    <w:rsid w:val="00471C19"/>
    <w:rsid w:val="004867E3"/>
    <w:rsid w:val="00494A28"/>
    <w:rsid w:val="004C0004"/>
    <w:rsid w:val="004C5D52"/>
    <w:rsid w:val="004E4E71"/>
    <w:rsid w:val="0050519A"/>
    <w:rsid w:val="005072A1"/>
    <w:rsid w:val="00514517"/>
    <w:rsid w:val="00545827"/>
    <w:rsid w:val="00560270"/>
    <w:rsid w:val="005C2568"/>
    <w:rsid w:val="005F1B17"/>
    <w:rsid w:val="006037C0"/>
    <w:rsid w:val="006631B6"/>
    <w:rsid w:val="00676369"/>
    <w:rsid w:val="00680577"/>
    <w:rsid w:val="006F74FA"/>
    <w:rsid w:val="00731ADD"/>
    <w:rsid w:val="00734777"/>
    <w:rsid w:val="00747932"/>
    <w:rsid w:val="00751A4A"/>
    <w:rsid w:val="00756632"/>
    <w:rsid w:val="00762C74"/>
    <w:rsid w:val="00786EC0"/>
    <w:rsid w:val="007D1690"/>
    <w:rsid w:val="007E22AD"/>
    <w:rsid w:val="00801901"/>
    <w:rsid w:val="00817416"/>
    <w:rsid w:val="00842779"/>
    <w:rsid w:val="00865F67"/>
    <w:rsid w:val="0087285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5B3"/>
    <w:rsid w:val="00E820A4"/>
    <w:rsid w:val="00EB006A"/>
    <w:rsid w:val="00EB4772"/>
    <w:rsid w:val="00ED169E"/>
    <w:rsid w:val="00ED4235"/>
    <w:rsid w:val="00F04346"/>
    <w:rsid w:val="00F075DC"/>
    <w:rsid w:val="00F149E9"/>
    <w:rsid w:val="00F5134D"/>
    <w:rsid w:val="00F6093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67CA5"/>
  <w15:chartTrackingRefBased/>
  <w15:docId w15:val="{9ED944C7-B53C-46FE-8CC8-C5008572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166E"/>
    <w:pPr>
      <w:spacing w:before="480" w:after="240"/>
    </w:pPr>
    <w:rPr>
      <w:snapToGrid w:val="0"/>
      <w:lang w:eastAsia="en-US"/>
    </w:rPr>
  </w:style>
  <w:style w:type="paragraph" w:customStyle="1" w:styleId="NormalHanging12a">
    <w:name w:val="NormalHanging12a"/>
    <w:basedOn w:val="Normal"/>
    <w:rsid w:val="002F166E"/>
    <w:pPr>
      <w:widowControl/>
      <w:spacing w:after="240"/>
      <w:ind w:left="567" w:hanging="567"/>
    </w:pPr>
    <w:rPr>
      <w:snapToGrid w:val="0"/>
      <w:lang w:eastAsia="en-US"/>
    </w:rPr>
  </w:style>
  <w:style w:type="paragraph" w:customStyle="1" w:styleId="NormalCenter12a">
    <w:name w:val="NormalCenter12a"/>
    <w:basedOn w:val="Normal"/>
    <w:rsid w:val="002F166E"/>
    <w:pPr>
      <w:spacing w:after="240"/>
      <w:jc w:val="center"/>
    </w:pPr>
  </w:style>
  <w:style w:type="character" w:customStyle="1" w:styleId="BoldItalic">
    <w:name w:val="BoldItalic"/>
    <w:uiPriority w:val="1"/>
    <w:rsid w:val="002F166E"/>
    <w:rPr>
      <w:b/>
      <w:i/>
      <w:u w:val="none"/>
    </w:rPr>
  </w:style>
  <w:style w:type="character" w:customStyle="1" w:styleId="Italic">
    <w:name w:val="Italic"/>
    <w:uiPriority w:val="1"/>
    <w:rsid w:val="002F166E"/>
    <w:rPr>
      <w:i/>
    </w:rPr>
  </w:style>
  <w:style w:type="paragraph" w:customStyle="1" w:styleId="Normal12a24b">
    <w:name w:val="Normal12a24b"/>
    <w:basedOn w:val="Normal"/>
    <w:rsid w:val="002F166E"/>
    <w:pPr>
      <w:spacing w:before="360" w:after="240"/>
    </w:pPr>
    <w:rPr>
      <w:snapToGrid w:val="0"/>
      <w:lang w:eastAsia="en-US"/>
    </w:rPr>
  </w:style>
  <w:style w:type="character" w:styleId="Hyperlink">
    <w:name w:val="Hyperlink"/>
    <w:basedOn w:val="DefaultParagraphFont"/>
    <w:rsid w:val="002F166E"/>
    <w:rPr>
      <w:color w:val="0000FF"/>
      <w:u w:val="single"/>
    </w:rPr>
  </w:style>
  <w:style w:type="paragraph" w:styleId="Revision">
    <w:name w:val="Revision"/>
    <w:hidden/>
    <w:uiPriority w:val="99"/>
    <w:semiHidden/>
    <w:rsid w:val="002A003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2811/oj" TargetMode="External"/><Relationship Id="rId2" Type="http://schemas.openxmlformats.org/officeDocument/2006/relationships/hyperlink" Target="http://data.europa.eu/eli/dir/2024/2810/oj" TargetMode="External"/><Relationship Id="rId1" Type="http://schemas.openxmlformats.org/officeDocument/2006/relationships/hyperlink" Target="http://data.europa.eu/eli/C/2024/41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3715</Words>
  <Characters>24434</Characters>
  <Application>Microsoft Office Word</Application>
  <DocSecurity>0</DocSecurity>
  <Lines>1018</Lines>
  <Paragraphs>1125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2025-11-26T11:49:00Z</dcterms:created>
  <dcterms:modified xsi:type="dcterms:W3CDTF">2025-11-26T11:49:00Z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A10-0185/2025</vt:lpwstr>
  </property>
  <property fmtid="{D5CDD505-2E9C-101B-9397-08002B2CF9AE}" pid="4" name="&lt;Type&gt;">
    <vt:lpwstr>RR</vt:lpwstr>
  </property>
</Properties>
</file>