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6279" w14:paraId="255F87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F8B5B8" w14:textId="77777777" w:rsidR="00751A4A" w:rsidRPr="00806279" w:rsidRDefault="0078763A" w:rsidP="0010095E">
            <w:pPr>
              <w:pStyle w:val="EPName"/>
            </w:pPr>
            <w:r w:rsidRPr="00806279">
              <w:t>Europski parlament</w:t>
            </w:r>
          </w:p>
          <w:p w14:paraId="04604DC2" w14:textId="77777777" w:rsidR="00751A4A" w:rsidRPr="008062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6279">
              <w:t>2024</w:t>
            </w:r>
            <w:r w:rsidR="00817416" w:rsidRPr="00806279">
              <w:t>-202</w:t>
            </w:r>
            <w:r w:rsidRPr="00806279">
              <w:t>9</w:t>
            </w:r>
          </w:p>
        </w:tc>
        <w:tc>
          <w:tcPr>
            <w:tcW w:w="2268" w:type="dxa"/>
            <w:shd w:val="clear" w:color="auto" w:fill="auto"/>
          </w:tcPr>
          <w:p w14:paraId="7D93ACF7" w14:textId="77777777" w:rsidR="00751A4A" w:rsidRPr="00806279" w:rsidRDefault="00187494" w:rsidP="0010095E">
            <w:pPr>
              <w:pStyle w:val="EPLogo"/>
            </w:pPr>
            <w:r w:rsidRPr="00806279">
              <w:rPr>
                <w:noProof/>
                <w:lang w:eastAsia="ja-JP"/>
              </w:rPr>
              <w:drawing>
                <wp:inline distT="0" distB="0" distL="0" distR="0" wp14:anchorId="242B6A2E" wp14:editId="309522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D858D7" w14:textId="77777777" w:rsidR="00D058B8" w:rsidRPr="00806279" w:rsidRDefault="00D058B8" w:rsidP="004C5D52">
      <w:pPr>
        <w:pStyle w:val="LineTop"/>
      </w:pPr>
    </w:p>
    <w:p w14:paraId="72D52571" w14:textId="77777777" w:rsidR="00680577" w:rsidRPr="00806279" w:rsidRDefault="0078763A" w:rsidP="00680577">
      <w:pPr>
        <w:pStyle w:val="EPBodyTA1"/>
      </w:pPr>
      <w:r w:rsidRPr="00806279">
        <w:t>USVOJENI TEKSTOVI</w:t>
      </w:r>
    </w:p>
    <w:p w14:paraId="760A4B1F" w14:textId="77777777" w:rsidR="00D058B8" w:rsidRPr="00806279" w:rsidRDefault="00D058B8" w:rsidP="00D058B8">
      <w:pPr>
        <w:pStyle w:val="LineBottom"/>
      </w:pPr>
    </w:p>
    <w:p w14:paraId="03F0D3D5" w14:textId="0BD68E84" w:rsidR="0078763A" w:rsidRPr="00806279" w:rsidRDefault="0078763A" w:rsidP="0078763A">
      <w:pPr>
        <w:pStyle w:val="ATHeading1"/>
      </w:pPr>
      <w:bookmarkStart w:id="0" w:name="TANumber"/>
      <w:r w:rsidRPr="00806279">
        <w:t>P10_TA(2025)0</w:t>
      </w:r>
      <w:bookmarkEnd w:id="0"/>
      <w:r w:rsidR="005F3200">
        <w:t>300</w:t>
      </w:r>
    </w:p>
    <w:p w14:paraId="48FB57B0" w14:textId="7B63D3E0" w:rsidR="0078763A" w:rsidRPr="00806279" w:rsidRDefault="00C96FB8" w:rsidP="0078763A">
      <w:pPr>
        <w:pStyle w:val="ATHeading2"/>
      </w:pPr>
      <w:bookmarkStart w:id="1" w:name="title"/>
      <w:r>
        <w:t>P</w:t>
      </w:r>
      <w:r w:rsidRPr="00C96FB8">
        <w:t xml:space="preserve">ristup financiranju za MSP-ove i </w:t>
      </w:r>
      <w:proofErr w:type="spellStart"/>
      <w:r w:rsidRPr="00C96FB8">
        <w:t>scale-up</w:t>
      </w:r>
      <w:proofErr w:type="spellEnd"/>
      <w:r w:rsidRPr="00C96FB8">
        <w:t xml:space="preserve"> poduzeća</w:t>
      </w:r>
      <w:bookmarkEnd w:id="1"/>
    </w:p>
    <w:p w14:paraId="6D5FD573" w14:textId="77777777" w:rsidR="0078763A" w:rsidRPr="00806279" w:rsidRDefault="0078763A" w:rsidP="0078763A">
      <w:pPr>
        <w:rPr>
          <w:i/>
          <w:vanish/>
        </w:rPr>
      </w:pPr>
      <w:r w:rsidRPr="00806279">
        <w:rPr>
          <w:i/>
        </w:rPr>
        <w:fldChar w:fldCharType="begin"/>
      </w:r>
      <w:r w:rsidRPr="00806279">
        <w:rPr>
          <w:i/>
        </w:rPr>
        <w:instrText xml:space="preserve"> TC"(</w:instrText>
      </w:r>
      <w:bookmarkStart w:id="2" w:name="DocNumber"/>
      <w:r w:rsidRPr="00806279">
        <w:rPr>
          <w:i/>
        </w:rPr>
        <w:instrText>A10-0185/2025</w:instrText>
      </w:r>
      <w:bookmarkEnd w:id="2"/>
      <w:r w:rsidRPr="00806279">
        <w:rPr>
          <w:i/>
        </w:rPr>
        <w:instrText xml:space="preserve"> - Izvjestitelj: Jorge Martín </w:instrText>
      </w:r>
      <w:proofErr w:type="spellStart"/>
      <w:r w:rsidRPr="00806279">
        <w:rPr>
          <w:i/>
        </w:rPr>
        <w:instrText>Frías</w:instrText>
      </w:r>
      <w:proofErr w:type="spellEnd"/>
      <w:r w:rsidRPr="00806279">
        <w:rPr>
          <w:i/>
        </w:rPr>
        <w:instrText xml:space="preserve">)"\l3 \n&gt; \* MERGEFORMAT </w:instrText>
      </w:r>
      <w:r w:rsidRPr="00806279">
        <w:rPr>
          <w:i/>
        </w:rPr>
        <w:fldChar w:fldCharType="end"/>
      </w:r>
    </w:p>
    <w:p w14:paraId="108C86CE" w14:textId="77777777" w:rsidR="0078763A" w:rsidRPr="00806279" w:rsidRDefault="0078763A" w:rsidP="0078763A">
      <w:pPr>
        <w:rPr>
          <w:vanish/>
        </w:rPr>
      </w:pPr>
      <w:bookmarkStart w:id="3" w:name="Commission"/>
      <w:r w:rsidRPr="00806279">
        <w:rPr>
          <w:vanish/>
        </w:rPr>
        <w:t>Odbor za ekonomsku i monetarnu politiku</w:t>
      </w:r>
      <w:bookmarkEnd w:id="3"/>
    </w:p>
    <w:p w14:paraId="7A1C4135" w14:textId="77777777" w:rsidR="0078763A" w:rsidRPr="00806279" w:rsidRDefault="0078763A" w:rsidP="0078763A">
      <w:pPr>
        <w:rPr>
          <w:vanish/>
        </w:rPr>
      </w:pPr>
      <w:bookmarkStart w:id="4" w:name="PE"/>
      <w:r w:rsidRPr="00806279">
        <w:rPr>
          <w:vanish/>
        </w:rPr>
        <w:t>PE772.123</w:t>
      </w:r>
      <w:bookmarkEnd w:id="4"/>
    </w:p>
    <w:p w14:paraId="28FE8D2F" w14:textId="424FC9C8" w:rsidR="0078763A" w:rsidRPr="00806279" w:rsidRDefault="0078763A" w:rsidP="0078763A">
      <w:pPr>
        <w:pStyle w:val="ATHeading3"/>
      </w:pPr>
      <w:bookmarkStart w:id="5" w:name="Sujet"/>
      <w:r w:rsidRPr="00806279">
        <w:t xml:space="preserve">Rezolucija Europskog parlamenta od </w:t>
      </w:r>
      <w:r w:rsidR="00C96FB8">
        <w:t>26. studenoga</w:t>
      </w:r>
      <w:r w:rsidRPr="00806279">
        <w:t xml:space="preserve"> 2025. o pristupu financiranju za MSP-ove i </w:t>
      </w:r>
      <w:proofErr w:type="spellStart"/>
      <w:r w:rsidRPr="00806279">
        <w:t>scale-up</w:t>
      </w:r>
      <w:proofErr w:type="spellEnd"/>
      <w:r w:rsidRPr="00806279">
        <w:t xml:space="preserve"> poduzeća</w:t>
      </w:r>
      <w:bookmarkEnd w:id="5"/>
      <w:r w:rsidRPr="00806279">
        <w:t xml:space="preserve"> </w:t>
      </w:r>
      <w:bookmarkStart w:id="6" w:name="References"/>
      <w:r w:rsidRPr="00806279">
        <w:t>(2025/2072(INI))</w:t>
      </w:r>
      <w:bookmarkEnd w:id="6"/>
    </w:p>
    <w:p w14:paraId="23151F0F" w14:textId="77777777" w:rsidR="00E16977" w:rsidRPr="00806279" w:rsidRDefault="00E16977" w:rsidP="00E16977">
      <w:pPr>
        <w:pStyle w:val="EPComma"/>
      </w:pPr>
      <w:r w:rsidRPr="00806279">
        <w:rPr>
          <w:rStyle w:val="Italic"/>
        </w:rPr>
        <w:t>Europski parlament</w:t>
      </w:r>
      <w:r w:rsidRPr="00806279">
        <w:t>,</w:t>
      </w:r>
    </w:p>
    <w:p w14:paraId="7C553E77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>uzimajući u obzir komunikaciju Komisije od 29. siječnja 2025. naslovljenu „Kompas konkurentnosti za EU” (COM(2025)0030),</w:t>
      </w:r>
    </w:p>
    <w:p w14:paraId="6D4A4806" w14:textId="77777777" w:rsidR="00E16977" w:rsidRPr="00806279" w:rsidRDefault="00E16977" w:rsidP="00E16977">
      <w:pPr>
        <w:pStyle w:val="NormalHanging12a"/>
        <w:rPr>
          <w:snapToGrid/>
        </w:rPr>
      </w:pPr>
      <w:r w:rsidRPr="00806279">
        <w:t>–</w:t>
      </w:r>
      <w:r w:rsidRPr="00806279">
        <w:tab/>
        <w:t xml:space="preserve">uzimajući u obzir komunikaciju Komisije od 28. svibnja 2025. naslovljenu „Strategija EU-a za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 – Odaberi Europu za pokretanje i širenje poslovanja” (COM(2025)0270),</w:t>
      </w:r>
    </w:p>
    <w:p w14:paraId="55BA047E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>uzimajući u obzir komunikaciju Komisije od 21. svibnja 2025. naslovljenu „Jedinstveno tržište: naše europsko domaće tržište u uvjetima globalne neizvjesnosti – Strategija za jednostavno, učinkovito i otporno jedinstveno tržište” (COM(2025)0500),</w:t>
      </w:r>
    </w:p>
    <w:p w14:paraId="5C4B286B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>uzimajući u obzir Izjavu iz Budimpešte donesenu 8. studenoga 2024. na neformalnom sastanku čelnika država i vlada,</w:t>
      </w:r>
    </w:p>
    <w:p w14:paraId="4A5A781F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 xml:space="preserve">uzimajući u obzir publikaciju predsjednice Komisije von </w:t>
      </w:r>
      <w:proofErr w:type="spellStart"/>
      <w:r w:rsidRPr="00806279">
        <w:t>der</w:t>
      </w:r>
      <w:proofErr w:type="spellEnd"/>
      <w:r w:rsidRPr="00806279">
        <w:t xml:space="preserve"> </w:t>
      </w:r>
      <w:proofErr w:type="spellStart"/>
      <w:r w:rsidRPr="00806279">
        <w:t>Leyen</w:t>
      </w:r>
      <w:proofErr w:type="spellEnd"/>
      <w:r w:rsidRPr="00806279">
        <w:t xml:space="preserve"> od 18. srpnja 2024. naslovljenu „Izbor za Europu: Političke smjernice za sljedeću Europsku komisiju 2024. – 2029.”,</w:t>
      </w:r>
    </w:p>
    <w:p w14:paraId="0BBF22A5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>uzimajući u obzir izvješće Europske središnje banke naslovljeno „</w:t>
      </w:r>
      <w:proofErr w:type="spellStart"/>
      <w:r w:rsidRPr="00806279">
        <w:t>Survey</w:t>
      </w:r>
      <w:proofErr w:type="spellEnd"/>
      <w:r w:rsidRPr="00806279">
        <w:t xml:space="preserve"> on </w:t>
      </w:r>
      <w:proofErr w:type="spellStart"/>
      <w:r w:rsidRPr="00806279">
        <w:t>the</w:t>
      </w:r>
      <w:proofErr w:type="spellEnd"/>
      <w:r w:rsidRPr="00806279">
        <w:t xml:space="preserve"> Access to </w:t>
      </w:r>
      <w:proofErr w:type="spellStart"/>
      <w:r w:rsidRPr="00806279">
        <w:t>Finance</w:t>
      </w:r>
      <w:proofErr w:type="spellEnd"/>
      <w:r w:rsidRPr="00806279">
        <w:t xml:space="preserve"> </w:t>
      </w:r>
      <w:proofErr w:type="spellStart"/>
      <w:r w:rsidRPr="00806279">
        <w:t>of</w:t>
      </w:r>
      <w:proofErr w:type="spellEnd"/>
      <w:r w:rsidRPr="00806279">
        <w:t xml:space="preserve"> Enterprises </w:t>
      </w:r>
      <w:proofErr w:type="spellStart"/>
      <w:r w:rsidRPr="00806279">
        <w:t>in</w:t>
      </w:r>
      <w:proofErr w:type="spellEnd"/>
      <w:r w:rsidRPr="00806279">
        <w:t xml:space="preserve"> </w:t>
      </w:r>
      <w:proofErr w:type="spellStart"/>
      <w:r w:rsidRPr="00806279">
        <w:t>the</w:t>
      </w:r>
      <w:proofErr w:type="spellEnd"/>
      <w:r w:rsidRPr="00806279">
        <w:t xml:space="preserve"> euro </w:t>
      </w:r>
      <w:proofErr w:type="spellStart"/>
      <w:r w:rsidRPr="00806279">
        <w:t>area</w:t>
      </w:r>
      <w:proofErr w:type="spellEnd"/>
      <w:r w:rsidRPr="00806279">
        <w:t xml:space="preserve"> – First </w:t>
      </w:r>
      <w:proofErr w:type="spellStart"/>
      <w:r w:rsidRPr="00806279">
        <w:t>Quarter</w:t>
      </w:r>
      <w:proofErr w:type="spellEnd"/>
      <w:r w:rsidRPr="00806279">
        <w:t xml:space="preserve"> </w:t>
      </w:r>
      <w:proofErr w:type="spellStart"/>
      <w:r w:rsidRPr="00806279">
        <w:t>of</w:t>
      </w:r>
      <w:proofErr w:type="spellEnd"/>
      <w:r w:rsidRPr="00806279">
        <w:t xml:space="preserve"> 2025” (Istraživanje o pristupu financiranju za poduzeća u </w:t>
      </w:r>
      <w:proofErr w:type="spellStart"/>
      <w:r w:rsidRPr="00806279">
        <w:t>europodručju</w:t>
      </w:r>
      <w:proofErr w:type="spellEnd"/>
      <w:r w:rsidRPr="00806279">
        <w:t xml:space="preserve"> – prvo tromjesečje 2025.), objavljeno u travnju 2025.,</w:t>
      </w:r>
    </w:p>
    <w:p w14:paraId="3EA0BE34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>uzimajući u obzir komunikaciju Komisije od 19. ožujka 2025. naslovljenu „Unija za štednju i ulaganja – Strategija za povećanje bogatstva građana i gospodarske konkurentnosti EU-a” (COM(2025)0124),</w:t>
      </w:r>
    </w:p>
    <w:p w14:paraId="37AD9573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>uzimajući u obzir izvješće Komisije naslovljeno „Istraživanje o pristupu financiranju za poduzeća (SAFE) – Analitičko izvješće za 2024.”, objavljeno u siječnju 2025.,</w:t>
      </w:r>
    </w:p>
    <w:p w14:paraId="194B3E56" w14:textId="77777777" w:rsidR="00E16977" w:rsidRPr="00806279" w:rsidRDefault="00E16977" w:rsidP="00E16977">
      <w:pPr>
        <w:pStyle w:val="NormalHanging12a"/>
      </w:pPr>
      <w:r w:rsidRPr="00806279">
        <w:lastRenderedPageBreak/>
        <w:t>–</w:t>
      </w:r>
      <w:r w:rsidRPr="00806279">
        <w:tab/>
        <w:t xml:space="preserve">uzimajući u obzir izvješće Marija </w:t>
      </w:r>
      <w:proofErr w:type="spellStart"/>
      <w:r w:rsidRPr="00806279">
        <w:t>Draghija</w:t>
      </w:r>
      <w:proofErr w:type="spellEnd"/>
      <w:r w:rsidRPr="00806279">
        <w:t xml:space="preserve"> naslovljeno „</w:t>
      </w:r>
      <w:proofErr w:type="spellStart"/>
      <w:r w:rsidRPr="00806279">
        <w:t>The</w:t>
      </w:r>
      <w:proofErr w:type="spellEnd"/>
      <w:r w:rsidRPr="00806279">
        <w:t xml:space="preserve"> future </w:t>
      </w:r>
      <w:proofErr w:type="spellStart"/>
      <w:r w:rsidRPr="00806279">
        <w:t>of</w:t>
      </w:r>
      <w:proofErr w:type="spellEnd"/>
      <w:r w:rsidRPr="00806279">
        <w:t xml:space="preserve"> European </w:t>
      </w:r>
      <w:proofErr w:type="spellStart"/>
      <w:r w:rsidRPr="00806279">
        <w:t>competitiveness</w:t>
      </w:r>
      <w:proofErr w:type="spellEnd"/>
      <w:r w:rsidRPr="00806279">
        <w:t xml:space="preserve">” (Budućnost europske konkurentnosti), tzv. </w:t>
      </w:r>
      <w:proofErr w:type="spellStart"/>
      <w:r w:rsidRPr="00806279">
        <w:t>Draghijevo</w:t>
      </w:r>
      <w:proofErr w:type="spellEnd"/>
      <w:r w:rsidRPr="00806279">
        <w:t xml:space="preserve"> izvješće, objavljeno u rujnu 2024.,</w:t>
      </w:r>
    </w:p>
    <w:p w14:paraId="76A32FBF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>uzimajući u obzir izvješće Komisije od 25. srpnja 2024. naslovljeno „</w:t>
      </w:r>
      <w:proofErr w:type="spellStart"/>
      <w:r w:rsidRPr="00806279">
        <w:t>Annual</w:t>
      </w:r>
      <w:proofErr w:type="spellEnd"/>
      <w:r w:rsidRPr="00806279">
        <w:t xml:space="preserve"> </w:t>
      </w:r>
      <w:proofErr w:type="spellStart"/>
      <w:r w:rsidRPr="00806279">
        <w:t>Report</w:t>
      </w:r>
      <w:proofErr w:type="spellEnd"/>
      <w:r w:rsidRPr="00806279">
        <w:t xml:space="preserve"> on European </w:t>
      </w:r>
      <w:proofErr w:type="spellStart"/>
      <w:r w:rsidRPr="00806279">
        <w:t>SMEs</w:t>
      </w:r>
      <w:proofErr w:type="spellEnd"/>
      <w:r w:rsidRPr="00806279">
        <w:t xml:space="preserve"> 2023/2024” (Godišnje izvješće o europskim MSP-ovima za 2023. i 2024.)”,</w:t>
      </w:r>
    </w:p>
    <w:p w14:paraId="6D6BAFAA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 xml:space="preserve">uzimajući u obzir izvješće Enrica </w:t>
      </w:r>
      <w:proofErr w:type="spellStart"/>
      <w:r w:rsidRPr="00806279">
        <w:t>Lette</w:t>
      </w:r>
      <w:proofErr w:type="spellEnd"/>
      <w:r w:rsidRPr="00806279">
        <w:t xml:space="preserve"> naslovljeno „</w:t>
      </w:r>
      <w:proofErr w:type="spellStart"/>
      <w:r w:rsidRPr="00806279">
        <w:t>Much</w:t>
      </w:r>
      <w:proofErr w:type="spellEnd"/>
      <w:r w:rsidRPr="00806279">
        <w:t xml:space="preserve"> more </w:t>
      </w:r>
      <w:proofErr w:type="spellStart"/>
      <w:r w:rsidRPr="00806279">
        <w:t>than</w:t>
      </w:r>
      <w:proofErr w:type="spellEnd"/>
      <w:r w:rsidRPr="00806279">
        <w:t xml:space="preserve"> a market” (Više od tržišta), tzv. </w:t>
      </w:r>
      <w:proofErr w:type="spellStart"/>
      <w:r w:rsidRPr="00806279">
        <w:t>Lettino</w:t>
      </w:r>
      <w:proofErr w:type="spellEnd"/>
      <w:r w:rsidRPr="00806279">
        <w:t xml:space="preserve"> izvješće, objavljeno u travnju 2024.,</w:t>
      </w:r>
    </w:p>
    <w:p w14:paraId="573F0192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>uzimajući u obzir zaključke s izvanrednog sastanka Europskog vijeća od 17. i 18. travnja 2024.,</w:t>
      </w:r>
    </w:p>
    <w:p w14:paraId="272C1EC6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 xml:space="preserve">uzimajući u obzir svoju Rezoluciju od 14. prosinca 2023. o povećanju inovacijske, industrijske i tehnološke konkurentnosti povoljnim okruženjem za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</w:t>
      </w:r>
      <w:r w:rsidRPr="00806279">
        <w:rPr>
          <w:rStyle w:val="FootnoteReference"/>
        </w:rPr>
        <w:footnoteReference w:id="1"/>
      </w:r>
      <w:r w:rsidRPr="00806279">
        <w:t>,</w:t>
      </w:r>
    </w:p>
    <w:p w14:paraId="62A55883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>uzimajući u obzir komunikaciju Komisije od 12. rujna 2023. naslovljenu „Paket olakšica za MSP-ove” (COM(2023)0535),</w:t>
      </w:r>
    </w:p>
    <w:p w14:paraId="7C417779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>uzimajući u obzir članak 55. Poslovnika,</w:t>
      </w:r>
    </w:p>
    <w:p w14:paraId="76914DA5" w14:textId="77777777" w:rsidR="00E16977" w:rsidRPr="00806279" w:rsidRDefault="00E16977" w:rsidP="00E16977">
      <w:pPr>
        <w:pStyle w:val="NormalHanging12a"/>
      </w:pPr>
      <w:r w:rsidRPr="00806279">
        <w:t>–</w:t>
      </w:r>
      <w:r w:rsidRPr="00806279">
        <w:tab/>
        <w:t>uzimajući u obzir izvješće Odbora za ekonomsku i monetarnu politiku (A10</w:t>
      </w:r>
      <w:r w:rsidRPr="00806279">
        <w:noBreakHyphen/>
        <w:t>0185/2025),</w:t>
      </w:r>
    </w:p>
    <w:p w14:paraId="3F5CBA56" w14:textId="77777777" w:rsidR="00E16977" w:rsidRPr="00806279" w:rsidRDefault="00E16977" w:rsidP="00E16977">
      <w:pPr>
        <w:pStyle w:val="NormalHanging12a"/>
      </w:pPr>
      <w:r w:rsidRPr="00806279">
        <w:t>A.</w:t>
      </w:r>
      <w:r w:rsidRPr="00806279">
        <w:tab/>
        <w:t xml:space="preserve">budući da </w:t>
      </w:r>
      <w:proofErr w:type="spellStart"/>
      <w:r w:rsidRPr="00806279">
        <w:t>mikropoduzeća</w:t>
      </w:r>
      <w:proofErr w:type="spellEnd"/>
      <w:r w:rsidRPr="00806279">
        <w:t xml:space="preserve"> te mala i srednja poduzeća (MMSP-ovi) čine okosnicu europskoga gospodarstva, pri čemu su MSP-ovi 2023. činili 99,8 % svih poduzeća, u njima je radilo 65,2 % zaposlenih te su stvarali 53,1 % dodane vrijednosti u nefinancijskom poslovnom sektoru u Uniji</w:t>
      </w:r>
      <w:r w:rsidRPr="00806279">
        <w:rPr>
          <w:rStyle w:val="FootnoteReference"/>
        </w:rPr>
        <w:footnoteReference w:id="2"/>
      </w:r>
      <w:r w:rsidRPr="00806279">
        <w:t>;</w:t>
      </w:r>
    </w:p>
    <w:p w14:paraId="636557C5" w14:textId="77777777" w:rsidR="00E16977" w:rsidRPr="00806279" w:rsidRDefault="00E16977" w:rsidP="00E16977">
      <w:pPr>
        <w:pStyle w:val="NormalHanging12a"/>
        <w:rPr>
          <w:snapToGrid/>
        </w:rPr>
      </w:pPr>
      <w:r w:rsidRPr="00806279">
        <w:t>B.</w:t>
      </w:r>
      <w:r w:rsidRPr="00806279">
        <w:tab/>
        <w:t>budući da se EU u cjelini, a posebno njegova najveća gospodarstva, trenutačno suočava sa sporim gospodarskim rastom i problemima jer poduzeća gube konkurentnost u odnosu na treće zemlje, što je pogoršano posljedicama pandemije, energetskom krizom i ruskom agresijom na Ukrajinu, a posebno je utjecalo na MSP-ove i gospodarstva zemalja duž istočne granice EU-a;</w:t>
      </w:r>
    </w:p>
    <w:p w14:paraId="41E51B4D" w14:textId="77777777" w:rsidR="00E16977" w:rsidRPr="00806279" w:rsidRDefault="00E16977" w:rsidP="00E16977">
      <w:pPr>
        <w:pStyle w:val="NormalHanging12a"/>
      </w:pPr>
      <w:r w:rsidRPr="00806279">
        <w:t>C.</w:t>
      </w:r>
      <w:r w:rsidRPr="00806279">
        <w:tab/>
        <w:t xml:space="preserve">budući da se europski MSP-ovi razlikuju po opsegu, sektoru, financijskim potrebama, lokaciji, vlasništvu, poslovnom modelu i inovacijskom kapacitetu te se stoga suočavaju s različitim izazovima i imaju različite potrebe za financiranjem i ograničene mogućnosti da se s njima nose; budući da većina europskih MSP-ova posluje prije svega na nacionalnoj razini; budući da su MSP-ovi koji se bave prekograničnim </w:t>
      </w:r>
      <w:r w:rsidRPr="00806279">
        <w:lastRenderedPageBreak/>
        <w:t>djelatnostima unutar EU-a relativno malobrojni, a oni koji izvoze izvan Unije su u manjini;</w:t>
      </w:r>
    </w:p>
    <w:p w14:paraId="0D5520AF" w14:textId="77777777" w:rsidR="00E16977" w:rsidRPr="00806279" w:rsidRDefault="00E16977" w:rsidP="00E16977">
      <w:pPr>
        <w:pStyle w:val="NormalHanging12a"/>
      </w:pPr>
      <w:r w:rsidRPr="00806279">
        <w:t>D.</w:t>
      </w:r>
      <w:r w:rsidRPr="00806279">
        <w:tab/>
        <w:t xml:space="preserve">budući da </w:t>
      </w:r>
      <w:proofErr w:type="spellStart"/>
      <w:r w:rsidRPr="00806279">
        <w:t>Draghijevo</w:t>
      </w:r>
      <w:proofErr w:type="spellEnd"/>
      <w:r w:rsidRPr="00806279">
        <w:t xml:space="preserve"> izvješće ukazuje na to da su regulatorne prepreke i administrativno opterećenje među najvećim izazovima s kojima se suočavaju MSP-ovi, pri čemu propise o izvješćivanju, uglavnom u okviru europskog zelenog plana, više od 60 % poduzeća iz EU-a smatra preprekom ulaganjima, a 55 % MSP-ova kao najveći izazov ističe regulatorne prepreke i administrativno opterećenje, dok je taj udio još veći za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poduzeća i </w:t>
      </w:r>
      <w:proofErr w:type="spellStart"/>
      <w:r w:rsidRPr="00806279">
        <w:t>mikropoduzeća</w:t>
      </w:r>
      <w:proofErr w:type="spellEnd"/>
      <w:r w:rsidRPr="00806279">
        <w:t>, te preporučuje da se MSP-ovi izuzmu iz propisa zbog proporcionalnosti, pri čemu su ključ njihovog prosperiteta jednostavniji, predvidljiviji i konkurentniji regulatorni okvir i revizija europskog zelenog plana;</w:t>
      </w:r>
    </w:p>
    <w:p w14:paraId="15D38689" w14:textId="77777777" w:rsidR="00E16977" w:rsidRPr="00806279" w:rsidRDefault="00E16977" w:rsidP="00E16977">
      <w:pPr>
        <w:pStyle w:val="NormalHanging12a"/>
      </w:pPr>
      <w:r w:rsidRPr="00806279">
        <w:t>E.</w:t>
      </w:r>
      <w:r w:rsidRPr="00806279">
        <w:tab/>
        <w:t>budući da Komisija nastoji poboljšati pristup financiranju za MSP-ove kako bi se povećali razmjeri, smanjile neučinkovitosti i promicala interoperabilnost te je postavila cilj da će se opterećenje MSP-ova u pogledu izvješćivanja smanjiti za najmanje 35 % i najavila da će se u procjenama učinka po novome provjeravati konkurentnost MSP-ova; budući da te inicijative mora pratiti dobro razvijen ekosustav poduzetničkog kapitala s obzirom na to da institucionalni ulagatelji kao što su osiguravajuća društva znatno doprinose financiranju MSP-ova prenošenjem i preobrazbom rizika i da za razliku od Sjedinjenih Američkih Država većina financiranja u Europskoj uniji dolazi iz banaka te postoje znatne razlike između europske investicijske kulture i drugih regija svijeta, posebno u pogledu poduzetničkog kapitala i ulaganja poslovnih anđela; budući da su zbog te situacije MSP-ovi posebno osjetljivi na ograničavanje bankovnog kreditiranja;</w:t>
      </w:r>
    </w:p>
    <w:p w14:paraId="6EDCE8A5" w14:textId="77777777" w:rsidR="00E16977" w:rsidRPr="00806279" w:rsidRDefault="00E16977" w:rsidP="00E16977">
      <w:pPr>
        <w:pStyle w:val="NormalHanging12a"/>
      </w:pPr>
      <w:r w:rsidRPr="00806279">
        <w:t>F.</w:t>
      </w:r>
      <w:r w:rsidRPr="00806279">
        <w:tab/>
        <w:t>budući da Europi nedostaje dinamičnije i povoljnije okružje za širenje inovativnih trgovačkih društava te za daljnja ulaganja i napredak u digitalnoj infrastrukturi, zbog čega se gotovo 30 % „jednoroga” preseli u inozemstvo</w:t>
      </w:r>
      <w:r w:rsidRPr="00806279">
        <w:rPr>
          <w:rStyle w:val="FootnoteReference"/>
        </w:rPr>
        <w:footnoteReference w:id="3"/>
      </w:r>
      <w:r w:rsidRPr="00806279">
        <w:t>;</w:t>
      </w:r>
    </w:p>
    <w:p w14:paraId="2BD5E898" w14:textId="77777777" w:rsidR="00E16977" w:rsidRPr="00806279" w:rsidRDefault="00E16977" w:rsidP="00E16977">
      <w:pPr>
        <w:pStyle w:val="NormalHanging12a"/>
      </w:pPr>
      <w:r w:rsidRPr="00806279">
        <w:t>G.</w:t>
      </w:r>
      <w:r w:rsidRPr="00806279">
        <w:tab/>
        <w:t>budući da je Komisija objavila strategiju za</w:t>
      </w:r>
      <w:r w:rsidRPr="00806279">
        <w:rPr>
          <w:i/>
          <w:iCs/>
        </w:rPr>
        <w:t xml:space="preserve"> 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 te da postoje razne inicijative usmjerene na promicanje poduzetništva, inovacija i digitalne transformacije u Uniji, kao što su strategija za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poduzeća, pregled pokazatelja ekoloških inovacija, zajednice znanja i inovacija, europska platforma za suradnju klastera, digitalno desetljeće i strategija digitalnog jedinstvenog tržišta te programi financiranja za inovacije u drugim područjima politika;</w:t>
      </w:r>
    </w:p>
    <w:p w14:paraId="4848E35D" w14:textId="77777777" w:rsidR="00E16977" w:rsidRPr="00806279" w:rsidRDefault="00E16977" w:rsidP="00E16977">
      <w:pPr>
        <w:pStyle w:val="Normal12a24b"/>
      </w:pPr>
      <w:r w:rsidRPr="00806279">
        <w:rPr>
          <w:rStyle w:val="BoldItalic"/>
        </w:rPr>
        <w:t>Opća razmatranja</w:t>
      </w:r>
    </w:p>
    <w:p w14:paraId="2F473FF3" w14:textId="77777777" w:rsidR="00E16977" w:rsidRPr="00806279" w:rsidRDefault="00E16977" w:rsidP="00E16977">
      <w:pPr>
        <w:pStyle w:val="NormalHanging12a"/>
      </w:pPr>
      <w:r w:rsidRPr="00806279">
        <w:t>1.</w:t>
      </w:r>
      <w:r w:rsidRPr="00806279">
        <w:tab/>
        <w:t xml:space="preserve">smatra da je stvaranje povoljnih tržišnih uvjeta u kojima se europska trgovačka društva mogu posvetiti inovacijama, pokretanju, stvaranju, rastu i širenju u Europi presudno kako bi se oslobodio puni potencijal našeg tržišta i našim gospodarstvima pomoglo da postanu konkurentnija; svjestan je da je regulatorna fragmentacija jedna od prepreka koje sprečavaju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rPr>
          <w:i/>
          <w:iCs/>
        </w:rPr>
        <w:t xml:space="preserve"> </w:t>
      </w:r>
      <w:r w:rsidRPr="00806279">
        <w:t xml:space="preserve">poduzeća da ostvare puni potencijal jedinstvenog tržišta; uviđa da se MSP-ovi suočavaju s nejednakim uvjetima i zahtjevima financiranja u državama članicama i regijama zbog čimbenika svojstvenih svakom poduzeću, zemljopisnog položaja, kao što je lokacija u udaljenim, najudaljenijim i otočnim područjima, i </w:t>
      </w:r>
      <w:r w:rsidRPr="00806279">
        <w:lastRenderedPageBreak/>
        <w:t>gospodarskog okruženja te su im stoga potrebna rješenja prilagođena takvim posebnostima i potrebama manjih gospodarstava;</w:t>
      </w:r>
    </w:p>
    <w:p w14:paraId="5B6D2CF6" w14:textId="77777777" w:rsidR="00E16977" w:rsidRPr="00806279" w:rsidRDefault="00E16977" w:rsidP="00E16977">
      <w:pPr>
        <w:pStyle w:val="NormalHanging12a"/>
      </w:pPr>
      <w:r w:rsidRPr="00806279">
        <w:t>2.</w:t>
      </w:r>
      <w:r w:rsidRPr="00806279">
        <w:tab/>
        <w:t xml:space="preserve">pozdravlja činjenicu da je nakon </w:t>
      </w:r>
      <w:proofErr w:type="spellStart"/>
      <w:r w:rsidRPr="00806279">
        <w:t>Dragijevog</w:t>
      </w:r>
      <w:proofErr w:type="spellEnd"/>
      <w:r w:rsidRPr="00806279">
        <w:t xml:space="preserve"> i </w:t>
      </w:r>
      <w:proofErr w:type="spellStart"/>
      <w:r w:rsidRPr="00806279">
        <w:t>Lettinog</w:t>
      </w:r>
      <w:proofErr w:type="spellEnd"/>
      <w:r w:rsidRPr="00806279">
        <w:t xml:space="preserve"> izvješća prepoznata potreba za konkurentnijim, manje fragmentiranim i manje birokratskim jedinstvenim tržištem; poziva Komisiju da uzme u obzir preporuke iz tih izvješća, u kojima se navodi da je potrebno hitno i odlučno djelovanje i na regulatornoj i na političkoj razini; u tom pogledu žali zbog prekomjernih opterećenja s kojima su se MSP-ovi suočili zbog provedbe raznih obveza iz europskog zelenog plana; uvjeren je da bi se zasebnim definicijama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 povećale mogućnosti za potporu zahvaljujući mjerama prilagođenima njihovim posebnim potrebama;</w:t>
      </w:r>
    </w:p>
    <w:p w14:paraId="0662B17D" w14:textId="77777777" w:rsidR="00E16977" w:rsidRPr="00806279" w:rsidRDefault="00E16977" w:rsidP="00E16977">
      <w:pPr>
        <w:pStyle w:val="NormalHanging12a"/>
        <w:rPr>
          <w:bCs/>
          <w:iCs/>
        </w:rPr>
      </w:pPr>
      <w:r w:rsidRPr="00806279">
        <w:t>3.</w:t>
      </w:r>
      <w:r w:rsidRPr="00806279">
        <w:tab/>
        <w:t>svjestan je da je za MSP-ove u Uniji bankovno kreditiranje i dalje primarni izvor vanjskog financiranja; naglašava važnost koju imaju tradicionalni modeli bankarstva, uključujući male regionalne banke, štedionice, zadružne banke i javne institucije;</w:t>
      </w:r>
    </w:p>
    <w:p w14:paraId="133FACE7" w14:textId="77777777" w:rsidR="00E16977" w:rsidRPr="00806279" w:rsidRDefault="00E16977" w:rsidP="00E16977">
      <w:pPr>
        <w:pStyle w:val="NormalHanging12a"/>
      </w:pPr>
      <w:r w:rsidRPr="00806279">
        <w:t>4.</w:t>
      </w:r>
      <w:r w:rsidRPr="00806279">
        <w:tab/>
        <w:t xml:space="preserve">naglašava da bi EU trebao nastojati pojednostaviti poslovno okružje i dodatno ga učiniti privlačnim za mobilizaciju i europskog i međunarodnog kapitala i ulaganja; naglašava da je potrebno poticati ekosustav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 koji se prvenstveno oslanja na privatna ulaganja i javno-privatna partnerstva, što bi pomoglo u mobilizaciji kapitala i olakšavanju pristupa financiranju za poduzeća; naglašava važnu i dobro razvijenu ulogu koju imaju banke sa specifičnim regionalnim i lokalnim znanjem u financiranju MSP-ova zbog njihovih dugoročnih odnosa s tim poduzećima;</w:t>
      </w:r>
    </w:p>
    <w:p w14:paraId="0CD8DF01" w14:textId="77777777" w:rsidR="00E16977" w:rsidRPr="00806279" w:rsidRDefault="00E16977" w:rsidP="00E16977">
      <w:pPr>
        <w:pStyle w:val="NormalHanging12a"/>
      </w:pPr>
      <w:r w:rsidRPr="00806279">
        <w:t>5.</w:t>
      </w:r>
      <w:r w:rsidRPr="00806279">
        <w:tab/>
        <w:t xml:space="preserve">skreće pozornost na posebne izazove s kojima se suočavaju europska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 pri dobivanju financijskih sredstava za rast u kasnoj fazi; primjećuje da mnoga trgovačka društva iz EU-a s velikim potencijalom i dalje ovise o stranom poduzetničkom kapitalu i ulagateljima, pri čemu velik udio kasnijih faza financiranja vode neeuropski ulagatelji; ističe da unutar Unije treba stvoriti privlačnije uvjete za ulaganja; naglašava da za pristup financiranju trebaju biti ispunjeni kriteriji gospodarske učinkovitosti, isplativosti i skalabilnosti, neovisno o podrijetlu kapitala, te podsjeća na to da otvoreno tržišno natjecanje na globalnoj razini u svrhu privlačenja ulaganja ide u prilog i poduzećima i inovacijama; u tom pogledu ističe nedavno donošenje EU-ova Akta o uvrštenju</w:t>
      </w:r>
      <w:r w:rsidRPr="00806279">
        <w:rPr>
          <w:rStyle w:val="FootnoteReference"/>
        </w:rPr>
        <w:footnoteReference w:id="4"/>
      </w:r>
      <w:r w:rsidRPr="00806279">
        <w:t>, zahvaljujući kojem je uvrštavanje na europske burze jednostavnije za poduzeća svih veličina, uključujući MSP-ove;</w:t>
      </w:r>
    </w:p>
    <w:p w14:paraId="76EFEEF8" w14:textId="77777777" w:rsidR="00E16977" w:rsidRPr="00806279" w:rsidRDefault="00E16977" w:rsidP="00E16977">
      <w:pPr>
        <w:pStyle w:val="NormalHanging12a"/>
      </w:pPr>
      <w:r w:rsidRPr="00806279">
        <w:t>6.</w:t>
      </w:r>
      <w:r w:rsidRPr="00806279">
        <w:tab/>
        <w:t xml:space="preserve">prima na znanje da je Komisija objavila europsku strategiju za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poduzeća, kojom bi trebalo promicati inovacije i odgovoriti na izazove s kojima se </w:t>
      </w:r>
      <w:r w:rsidRPr="00806279">
        <w:lastRenderedPageBreak/>
        <w:t xml:space="preserve">suočavaju pojedinačni inovatori, osnivači te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 u Uniji; naglašava da, iako je analiza iz strategije u nekoj mjeri točna, predložene mjere moraju biti ambicioznije, odnosno naglasak treba staviti na stavljanje izvan snage svih europskih propisa kojima se uvode nepotrebna birokratska opterećenja koja otežavaju osnivanje i širenje poduzeća; traži od Komisije da poljoprivredu uključi među prioritetne sektore navedene u strategiji;</w:t>
      </w:r>
    </w:p>
    <w:p w14:paraId="6DAF967A" w14:textId="77777777" w:rsidR="00E16977" w:rsidRPr="00806279" w:rsidRDefault="00E16977" w:rsidP="00E16977">
      <w:pPr>
        <w:pStyle w:val="NormalHanging12a"/>
      </w:pPr>
      <w:r w:rsidRPr="00806279">
        <w:t>7.</w:t>
      </w:r>
      <w:r w:rsidRPr="00806279">
        <w:tab/>
        <w:t xml:space="preserve">smatra da će olakšavanje pristupa financiranju za MSP-ove 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 ovisiti o i. znatnom i trajnom smanjenju birokratskog i regulatornog opterećenja, uključujući dugotrajne postupke izdavanja dozvola, skupe zahtjeve za izvješćivanje te složenost i nepredvidivost regulatornog okruženja, ii. povećanom kapacitetu za poticanje privatnih ulaganja i štednje, iii. premošćivanju manjka financijskih sredstava za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 i iv. jačanju konkurentnog ekosustava tržišta kapitala unutar EU-a; naglašava da u tu svrhu konačni cilj Komisije mora biti dovršetak unije za štednju i ulaganja koja poštuje nadležnosti država članica i načelo supsidijarnosti;</w:t>
      </w:r>
    </w:p>
    <w:p w14:paraId="042CC63A" w14:textId="77777777" w:rsidR="00E16977" w:rsidRPr="00806279" w:rsidRDefault="00E16977" w:rsidP="00E16977">
      <w:pPr>
        <w:pStyle w:val="Normal12a24b"/>
      </w:pPr>
      <w:r w:rsidRPr="00806279">
        <w:rPr>
          <w:rStyle w:val="BoldItalic"/>
        </w:rPr>
        <w:t>Smanjenje birokratskog i regulatornog opterećenja</w:t>
      </w:r>
    </w:p>
    <w:p w14:paraId="44BD54F2" w14:textId="77777777" w:rsidR="00E16977" w:rsidRPr="00806279" w:rsidRDefault="00E16977" w:rsidP="00E16977">
      <w:pPr>
        <w:pStyle w:val="NormalHanging12a"/>
      </w:pPr>
      <w:r w:rsidRPr="00806279">
        <w:t>8.</w:t>
      </w:r>
      <w:r w:rsidRPr="00806279">
        <w:tab/>
        <w:t xml:space="preserve">podsjeća da se brojna perspektivna europska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rPr>
          <w:i/>
          <w:iCs/>
        </w:rPr>
        <w:t xml:space="preserve"> </w:t>
      </w:r>
      <w:r w:rsidRPr="00806279">
        <w:t xml:space="preserve">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 premještaju u zemlje izvan EU-a zbog opterećujućeg, sporog, fragmentiranog i nepredvidivog europskog regulatornog okružja; naglašava da će Europa, ako se taj trend ne preokrene znatnim pojednostavljenjem, nastaviti gubiti trgovačka društva u njihovoj strateški najvažnijoj fazi rasta, što će voditi do otvaranja manje radnih mjesta i sporijega gospodarskog rasta; žali zbog činjenice da porezni i regulatorni pragovi otežavaju rast poduzeća uvođenjem većeg opterećenja nakon što se premaši određena veličina ili promet;</w:t>
      </w:r>
    </w:p>
    <w:p w14:paraId="2E709265" w14:textId="77777777" w:rsidR="00E16977" w:rsidRPr="00806279" w:rsidRDefault="00E16977" w:rsidP="00E16977">
      <w:pPr>
        <w:pStyle w:val="NormalHanging12a"/>
      </w:pPr>
      <w:r w:rsidRPr="00806279">
        <w:t>9.</w:t>
      </w:r>
      <w:r w:rsidRPr="00806279">
        <w:tab/>
        <w:t xml:space="preserve">poziva na dodatno pojednostavljenje i potiče Komisiju da iznese naknadne prijedloge koji prelaze razmjere paketa Komisije za skupno pojednostavljenje i kojima se donose propisi i okviri koji pogoduju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poduzećima te kojima se olakšava rast, prilagodljivost i prekogranično poslovanje</w:t>
      </w:r>
      <w:r w:rsidRPr="00806279">
        <w:rPr>
          <w:i/>
          <w:iCs/>
        </w:rPr>
        <w:t xml:space="preserve"> 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i</w:t>
      </w:r>
      <w:r w:rsidRPr="00806279">
        <w:rPr>
          <w:i/>
          <w:iCs/>
        </w:rPr>
        <w:t xml:space="preserve">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 i istovremeno jamči zaštita potrošača, privatnost podataka i pošteno tržišno natjecanje; podsjeća na Komisijinu predanost smanjenju birokracije horizontalnim pristupom u svim područjima te poziva na sustavnu provjeru pravne stečevine EU-a kako bi se utvrdile i uklonile regulatorne prepreke za MSP-ove;</w:t>
      </w:r>
    </w:p>
    <w:p w14:paraId="2FACF54C" w14:textId="77777777" w:rsidR="00E16977" w:rsidRPr="00806279" w:rsidRDefault="00E16977" w:rsidP="00E16977">
      <w:pPr>
        <w:pStyle w:val="NormalHanging12a"/>
      </w:pPr>
      <w:r w:rsidRPr="00806279">
        <w:t>10.</w:t>
      </w:r>
      <w:r w:rsidRPr="00806279">
        <w:tab/>
        <w:t xml:space="preserve">naglašava da je nakon donošenja drugog skupnog paketa Komisije potrebno pojednostaviti postupke u provedbi programa </w:t>
      </w:r>
      <w:proofErr w:type="spellStart"/>
      <w:r w:rsidRPr="00806279">
        <w:t>InvestEU</w:t>
      </w:r>
      <w:proofErr w:type="spellEnd"/>
      <w:r w:rsidRPr="00806279">
        <w:t xml:space="preserve"> kako bi se osiguralo da MSP</w:t>
      </w:r>
      <w:r w:rsidRPr="00806279">
        <w:noBreakHyphen/>
        <w:t xml:space="preserve">ovi, uključujući one najmanje, mogu lakše pristupiti financijskoj potpori koja im je potrebna za rast i inovacije; naglašava da je važno osigurati da regulatorni okviri i instrumenti koje financira EU budu razmjerni veličini i administrativnom kapacitetu MSP-ova te da se na odgovarajući način prilagode MSP-ovima umjesto da se preslikavaju zahtjevi za veća poduzeća; </w:t>
      </w:r>
    </w:p>
    <w:p w14:paraId="194B3ED3" w14:textId="77777777" w:rsidR="00E16977" w:rsidRPr="00806279" w:rsidRDefault="00E16977" w:rsidP="00E16977">
      <w:pPr>
        <w:pStyle w:val="NormalHanging12a"/>
      </w:pPr>
      <w:r w:rsidRPr="00806279">
        <w:t>11.</w:t>
      </w:r>
      <w:r w:rsidRPr="00806279">
        <w:tab/>
        <w:t>napominje da nametanje višestrukih regulatornih zahtjeva za banke može negativno utjecati na kreditiranje MSP-ova; naglašava da je važno izbjegavati dvostruke zahtjeve i višestruke kanale za izvješćivanje, kojima se nameću nepotrebna administrativna opterećenja, posebno za manje banke; poziva Komisiju da uz pomoć Europskog nadzornog tijela za bankarstvo i jedinstvenog nadzornog mehanizma procijeni učinke postojećih regulatornih pravila na kreditiranje MSP-ova; naglašava da u bankarskoj regulaciji treba primjenjivati načelo proporcionalnosti;</w:t>
      </w:r>
    </w:p>
    <w:p w14:paraId="76B5F2CD" w14:textId="77777777" w:rsidR="00E16977" w:rsidRPr="00806279" w:rsidRDefault="00E16977" w:rsidP="00E16977">
      <w:pPr>
        <w:pStyle w:val="NormalHanging12a"/>
      </w:pPr>
      <w:r w:rsidRPr="00806279">
        <w:lastRenderedPageBreak/>
        <w:t>12.</w:t>
      </w:r>
      <w:r w:rsidRPr="00806279">
        <w:tab/>
        <w:t>potiče Komisiju da ocijeni postojeće regulatorne obveze koje opterećuju trgovačka društva, kao što je okvir za održivo financiranje, koji je loše prilagođen europskim MSP-ovima, i druge obveze koje proizlaze iz europskog zelenog plana te da odredi pragove proporcionalnosti kako bi se MSP-ovi izuzeli iz prekomjernih obveza; pozdravlja predloženu novu provjeru konkurentnosti MSP-ova; poziva Komisiju da osigura da svi standardi izvješćivanja o održivosti budu jednostavni i dobrovoljni te da preispita zahtjeve za objavljivanje bankovnih podataka u okviru trećeg stupa kojima bi se klijentima koji su MSP-ovi mogli neizravno nametnuti nerazmjerni zahtjevi u pogledu podataka;</w:t>
      </w:r>
    </w:p>
    <w:p w14:paraId="3D308D9F" w14:textId="77777777" w:rsidR="00E16977" w:rsidRPr="00806279" w:rsidRDefault="00E16977" w:rsidP="00E16977">
      <w:pPr>
        <w:pStyle w:val="NormalHanging12a"/>
      </w:pPr>
      <w:r w:rsidRPr="00806279">
        <w:t>13.</w:t>
      </w:r>
      <w:r w:rsidRPr="00806279">
        <w:tab/>
        <w:t>naglašava da pristup „jedan za jedan”, koji se u praksi ne provodi u dovoljnoj mjeri, nije dostatan te poziva Komisiju da predloži ambiciozniju strategiju pojednostavljenja kojom bi se osigurala pravna sigurnost i predvidljivost te ujedno preispitalo zakonodavstvo 2. i 3. razine; ističe da cilj Komisije u pogledu smanjenja obveza izvješćivanja od 35 % mora biti mjerljiv i da se rezultati moraju moći pratiti, s jasnim vremenskim okvirom, ključnim pokazateljima uspješnosti i svrsishodnom metodologijom praćenja;</w:t>
      </w:r>
    </w:p>
    <w:p w14:paraId="0AB5DD03" w14:textId="77777777" w:rsidR="00E16977" w:rsidRPr="00806279" w:rsidRDefault="00E16977" w:rsidP="00E16977">
      <w:pPr>
        <w:pStyle w:val="Normal12a24b"/>
      </w:pPr>
      <w:r w:rsidRPr="00806279">
        <w:rPr>
          <w:rStyle w:val="BoldItalic"/>
        </w:rPr>
        <w:t>Oslobađanje privatnog kapitala i štednje</w:t>
      </w:r>
    </w:p>
    <w:p w14:paraId="7DEC842B" w14:textId="77777777" w:rsidR="00E16977" w:rsidRPr="00806279" w:rsidRDefault="00E16977" w:rsidP="00E16977">
      <w:pPr>
        <w:pStyle w:val="NormalHanging12a"/>
      </w:pPr>
      <w:r w:rsidRPr="00806279">
        <w:t>14.</w:t>
      </w:r>
      <w:r w:rsidRPr="00806279">
        <w:tab/>
        <w:t>napominje da je cilj Komisije provedba unije za štednju i ulaganja, koja mora uključivati djelovanje na razini EU-a, ali i razvoj alata, rješenja i najboljih praksi kojima se poštuju i podupiru mjere država članica na nacionalnoj razini te potiče prekogranična dosljednost i postupno smanjenje ključnih razlika;</w:t>
      </w:r>
    </w:p>
    <w:p w14:paraId="75975BC8" w14:textId="77777777" w:rsidR="00E16977" w:rsidRPr="00806279" w:rsidRDefault="00E16977" w:rsidP="00E16977">
      <w:pPr>
        <w:pStyle w:val="NormalHanging12a"/>
      </w:pPr>
      <w:r w:rsidRPr="00806279">
        <w:t>15.</w:t>
      </w:r>
      <w:r w:rsidRPr="00806279">
        <w:tab/>
        <w:t>poziva Komisiju da poboljša pristup ulagatelja informacijama i zaštiti te da pritom iskoristi potencijal pojednostavljenih maloprodajnih proizvoda kako bi pomogla u usmjeravanju štednje kućanstava na tržišta kapitala te podsjeća na važnu ulogu mirovinskih fondova i osiguravajućih društava kao posrednika u tom usmjeravanju; prima na znanje uvođenje oznake „Financiranje Europe”, čime će se štedišama koji svoju štednju žele uložiti u europska poduzeća omogućiti da izravno doprinose financiranju gospodarstva Unije; naglašava da ta oznaka ne bi smjela dovesti do dodatnog administrativnog opterećenja za poduzeća;</w:t>
      </w:r>
    </w:p>
    <w:p w14:paraId="4AA8F2BA" w14:textId="77777777" w:rsidR="00E16977" w:rsidRPr="00806279" w:rsidRDefault="00E16977" w:rsidP="00E16977">
      <w:pPr>
        <w:pStyle w:val="NormalHanging12a"/>
      </w:pPr>
      <w:r w:rsidRPr="00806279">
        <w:t>16.</w:t>
      </w:r>
      <w:r w:rsidRPr="00806279">
        <w:tab/>
        <w:t>žali zbog činjenice da je Uredba o europskim fondovima poduzetničkog kapitala (</w:t>
      </w:r>
      <w:proofErr w:type="spellStart"/>
      <w:r w:rsidRPr="00806279">
        <w:t>EuVECA</w:t>
      </w:r>
      <w:proofErr w:type="spellEnd"/>
      <w:r w:rsidRPr="00806279">
        <w:t>)</w:t>
      </w:r>
      <w:r w:rsidRPr="00806279">
        <w:rPr>
          <w:rStyle w:val="FootnoteReference"/>
        </w:rPr>
        <w:footnoteReference w:id="5"/>
      </w:r>
      <w:r w:rsidRPr="00806279">
        <w:t xml:space="preserve"> imala slab pozitivan učinak na lokalna tržišta poduzetničkog kapitala; pozdravlja usredotočenost na poduzetnički kapital za mlade, inovativne MSP-ove u komunikaciji Komisije o uniji za štednju i ulaganja, no žali zbog činjenice da je prijedlog Komisije o </w:t>
      </w:r>
      <w:proofErr w:type="spellStart"/>
      <w:r w:rsidRPr="00806279">
        <w:t>EuVECA</w:t>
      </w:r>
      <w:proofErr w:type="spellEnd"/>
      <w:r w:rsidRPr="00806279">
        <w:t>-i odgođen do trećeg tromjesečja 2026.; poziva Komisiju da razmotri ukidanje minimalnog praga ulaganja od 100 000 EUR kako bi se privatnim štedišama omogućilo ulaganje u alternativne fondove; potiče Komisiju da države članice potakne da osiguraju privlačne i stabilne porezne i regulatorne okvire za fondove poduzetničkog kapitala koji ulažu u MSP-ove;</w:t>
      </w:r>
    </w:p>
    <w:p w14:paraId="4E74B923" w14:textId="77777777" w:rsidR="00E16977" w:rsidRPr="00806279" w:rsidRDefault="00E16977" w:rsidP="00E16977">
      <w:pPr>
        <w:pStyle w:val="NormalHanging12a"/>
      </w:pPr>
      <w:r w:rsidRPr="00806279">
        <w:t>17.</w:t>
      </w:r>
      <w:r w:rsidRPr="00806279">
        <w:tab/>
        <w:t>snažno ističe potrebu za poboljšanjem financijske pismenosti građana i poduzetnika EU</w:t>
      </w:r>
      <w:r w:rsidRPr="00806279">
        <w:noBreakHyphen/>
        <w:t xml:space="preserve">a te za promicanjem boljih uvjeta štednje i ulaganja kojima se omogućuje informiran i samostalan prijelaz sa štednje na ulaganja; poziva Komisiju da u područje </w:t>
      </w:r>
      <w:r w:rsidRPr="00806279">
        <w:lastRenderedPageBreak/>
        <w:t>primjene nove strategije financijske pismenosti i u skup alata za države članice uključi poduzetništvo kako bi se poboljšala koordinacija u tom pogledu;</w:t>
      </w:r>
    </w:p>
    <w:p w14:paraId="6EEF5F4F" w14:textId="77777777" w:rsidR="00E16977" w:rsidRPr="00806279" w:rsidRDefault="00E16977" w:rsidP="00E16977">
      <w:pPr>
        <w:pStyle w:val="NormalHanging12a"/>
      </w:pPr>
      <w:r w:rsidRPr="00806279">
        <w:t>18.</w:t>
      </w:r>
      <w:r w:rsidRPr="00806279">
        <w:tab/>
        <w:t xml:space="preserve">poziva na to da se javno financiranje ne koristi kao subvencije, već kao pokretač za mobilizaciju privatnih ulaganja i stavljanje većeg broja privatnih sredstava na raspolaganje MMSP-ovima; </w:t>
      </w:r>
      <w:bookmarkStart w:id="8" w:name="_Hlk210313322"/>
      <w:r w:rsidRPr="00806279">
        <w:t>podsjeća da većina tih ulaganja mora biti privatna te naglašava da se to mora poticati atraktivnim i stabilnim poreznim i regulatornim okvirima koji su privlačni i profesionalnim i malim ulagateljima; podsjeća na trenutačnu strukturnu pristranost zajmovima i smatra da treba raspraviti o tome jesu li potrebni porezni poticaji za vlasnički kapital te da treba poticati poduzetnički kapital kao dio poslovnog modela tradicionalnog bankarstva, a da se pritom ne ugrozi financijska stabilnost;</w:t>
      </w:r>
      <w:bookmarkEnd w:id="8"/>
    </w:p>
    <w:p w14:paraId="7028539B" w14:textId="77777777" w:rsidR="00E16977" w:rsidRPr="00806279" w:rsidRDefault="00E16977" w:rsidP="00E16977">
      <w:pPr>
        <w:pStyle w:val="NormalHanging12a"/>
      </w:pPr>
      <w:r w:rsidRPr="00806279">
        <w:t>19.</w:t>
      </w:r>
      <w:r w:rsidRPr="00806279">
        <w:tab/>
        <w:t xml:space="preserve">ističe da javni sektor može imati ključnu ulogu u mobilizaciji privatnog kapitala, posebno u informacijsko-asimetričnim sektorima ili regijama s nedovoljno razvijenim financijskim tržištima; traži da se javni instrumenti osmisle na učinkovit način, uz neutralnost u pogledu tržišnog natjecanja i usmjerenost na učinak, pri čemu bi se u najvećoj mogućoj mjeri povećao učinak privlačenja privatnih ulaganja; u tu svrhu naglašava da se za privlačenje privatnih ulaganja mora u potpunosti iskoristiti potencijal Grupe Europske investicijske banke (EIB) te da ona mora izdvojiti više sredstava za inovacijske projekte MSP-ova,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poduzeća; nadalje, ističe ulogu Fonda za regionalni razvoj, posebno u regijama s ograničenom dostupnošću kredita i s obzirom na činjenicu da se troškovi zajmova razlikuju diljem EU-a, što MSP-ove u nekim državama članicama dovodi u nepovoljan položaj;</w:t>
      </w:r>
    </w:p>
    <w:p w14:paraId="561C4F87" w14:textId="77777777" w:rsidR="00E16977" w:rsidRPr="00806279" w:rsidRDefault="00E16977" w:rsidP="00E16977">
      <w:pPr>
        <w:pStyle w:val="NormalHanging12a"/>
      </w:pPr>
      <w:r w:rsidRPr="00806279">
        <w:t>20.</w:t>
      </w:r>
      <w:r w:rsidRPr="00806279">
        <w:tab/>
        <w:t xml:space="preserve">prima na znanje objavu revizije </w:t>
      </w:r>
      <w:proofErr w:type="spellStart"/>
      <w:r w:rsidRPr="00806279">
        <w:t>sekuritizacijskog</w:t>
      </w:r>
      <w:proofErr w:type="spellEnd"/>
      <w:r w:rsidRPr="00806279">
        <w:t xml:space="preserve"> okvira i poziva Komisiju da ga učini fleksibilnijim kako bi se kreditnim institucijama omogućilo daljnje financiranje poduzeća, uključujući MSP-ove, te podržao njihov rast bez narušavanja transparentnosti i kvalitete kredita; u tu svrhu naglašava da se otpornost okvira za prijenos značajnog rizika mora poboljšati uvođenjem veće osjetljivosti na rizik i poboljšanjem supervizijskog nadzora, što bi doprinijelo pojednostavljenju;</w:t>
      </w:r>
    </w:p>
    <w:p w14:paraId="1723CF61" w14:textId="77777777" w:rsidR="00E16977" w:rsidRPr="00806279" w:rsidRDefault="00E16977" w:rsidP="00E16977">
      <w:pPr>
        <w:pStyle w:val="NormalHanging12a"/>
      </w:pPr>
      <w:r w:rsidRPr="00806279">
        <w:t>21.</w:t>
      </w:r>
      <w:r w:rsidRPr="00806279">
        <w:tab/>
        <w:t>prima na znanje namjeru Komisije da izradi plan investicijskog štednog računa EU-a, koji bi trebao uključivati i. pojednostavnjeni postupak porezne prijave, ii. popratne porezne poticaje te iii. ne uključivati ograničenja u pogledu geografskog položaja ulaganja, sektora, ograničenja depozita ili minimalnih razdoblja držanja;</w:t>
      </w:r>
    </w:p>
    <w:p w14:paraId="53D76DD7" w14:textId="77777777" w:rsidR="00E16977" w:rsidRPr="00806279" w:rsidRDefault="00E16977" w:rsidP="00E16977">
      <w:pPr>
        <w:pStyle w:val="NormalHanging12a"/>
      </w:pPr>
      <w:r w:rsidRPr="00806279">
        <w:t>22.</w:t>
      </w:r>
      <w:r w:rsidRPr="00806279">
        <w:tab/>
        <w:t>uviđa središnju ulogu privatnog sektora u gospodarskom rastu i prosperitetu EU-a; ističe da se svaki napredak prema integraciji tržišta kapitala treba temeljiti na načelima slobode poduzetništva, tržišnog natjecanja i pravne sigurnosti;</w:t>
      </w:r>
    </w:p>
    <w:p w14:paraId="0A9DB464" w14:textId="77777777" w:rsidR="00E16977" w:rsidRPr="00806279" w:rsidRDefault="00E16977" w:rsidP="00E16977">
      <w:pPr>
        <w:pStyle w:val="NormalHanging12a"/>
      </w:pPr>
      <w:r w:rsidRPr="00806279">
        <w:t>23.</w:t>
      </w:r>
      <w:r w:rsidRPr="00806279">
        <w:tab/>
        <w:t xml:space="preserve">ističe da bi europsko tržište za izravne sekundarne transakcije, koje bi omogućilo trgovanje dionicama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poduzeća u kasnijoj fazi i prije inicijalne javne ponude, poboljšalo </w:t>
      </w:r>
      <w:proofErr w:type="spellStart"/>
      <w:r w:rsidRPr="00806279">
        <w:t>Unijin</w:t>
      </w:r>
      <w:proofErr w:type="spellEnd"/>
      <w:r w:rsidRPr="00806279">
        <w:t xml:space="preserve"> ekosustav financiranja dok god osigurava jednake uvjete u državama članicama, sprečava koncentraciju financijskih aktivnosti u samo nekoliko jurisdikcija i u potpunosti poštuje nacionalne nadležnosti;</w:t>
      </w:r>
    </w:p>
    <w:p w14:paraId="5F1E074A" w14:textId="77777777" w:rsidR="00E16977" w:rsidRPr="00806279" w:rsidRDefault="00E16977" w:rsidP="00E16977">
      <w:pPr>
        <w:pStyle w:val="NormalHanging12a"/>
      </w:pPr>
      <w:r w:rsidRPr="00806279">
        <w:lastRenderedPageBreak/>
        <w:t>24.</w:t>
      </w:r>
      <w:r w:rsidRPr="00806279">
        <w:tab/>
        <w:t>napominje da se preinakom Direktive o tržištu financijskih instrumenata</w:t>
      </w:r>
      <w:r w:rsidRPr="00806279">
        <w:rPr>
          <w:rStyle w:val="FootnoteReference"/>
        </w:rPr>
        <w:footnoteReference w:id="6"/>
      </w:r>
      <w:r w:rsidRPr="00806279">
        <w:t xml:space="preserve"> (</w:t>
      </w:r>
      <w:proofErr w:type="spellStart"/>
      <w:r w:rsidRPr="00806279">
        <w:t>MiFID</w:t>
      </w:r>
      <w:proofErr w:type="spellEnd"/>
      <w:r w:rsidRPr="00806279">
        <w:t xml:space="preserve"> II) predviđa posebna kategorija rastućih tržišta MSP-ova koja bi trebala zadovoljiti posebne potrebe manjih poduzeća; poziva Komisiju da dodatno razvije taj instrument osiguravanjem fleksibilnijeg regulatornog režima koji odgovara potrebama malih poduzeća i poduzeća srednje tržišne kapitalizacije;</w:t>
      </w:r>
    </w:p>
    <w:p w14:paraId="1E0A8D1C" w14:textId="77777777" w:rsidR="00E16977" w:rsidRPr="00806279" w:rsidRDefault="00E16977" w:rsidP="00E16977">
      <w:pPr>
        <w:pStyle w:val="Normal12a24b"/>
      </w:pPr>
      <w:r w:rsidRPr="00806279">
        <w:rPr>
          <w:rStyle w:val="BoldItalic"/>
        </w:rPr>
        <w:t xml:space="preserve">Premošćivanje manjka financijskih sredstava za </w:t>
      </w:r>
      <w:proofErr w:type="spellStart"/>
      <w:r w:rsidRPr="00806279">
        <w:rPr>
          <w:rStyle w:val="BoldItalic"/>
        </w:rPr>
        <w:t>scale-up</w:t>
      </w:r>
      <w:proofErr w:type="spellEnd"/>
      <w:r w:rsidRPr="00806279">
        <w:rPr>
          <w:rStyle w:val="BoldItalic"/>
        </w:rPr>
        <w:t xml:space="preserve"> poduzeća</w:t>
      </w:r>
    </w:p>
    <w:p w14:paraId="15D41BE1" w14:textId="77777777" w:rsidR="00E16977" w:rsidRPr="00806279" w:rsidRDefault="00E16977" w:rsidP="00E16977">
      <w:pPr>
        <w:pStyle w:val="NormalHanging12a"/>
      </w:pPr>
      <w:r w:rsidRPr="00806279">
        <w:t>25.</w:t>
      </w:r>
      <w:r w:rsidRPr="00806279">
        <w:tab/>
        <w:t xml:space="preserve">žali što zbog manjka atraktivnih mogućnosti financiranja za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rPr>
          <w:i/>
          <w:iCs/>
        </w:rPr>
        <w:t xml:space="preserve"> </w:t>
      </w:r>
      <w:r w:rsidRPr="00806279">
        <w:t>poduzeća na našem tržištu i konkurentnog regulatornog okruženja mnoga europska poduzeća u konačnici koriste ulagatelje poduzetničkog kapitala sa sjedištem u zemljama izvan EU-a i djeluju na tržištima zemalja izvan EU-a kako bi proširila svoje poslovanje; izražava zabrinutost zbog sve većeg broja neuspješnih MSP-ova u Uniji</w:t>
      </w:r>
      <w:r w:rsidRPr="00806279">
        <w:rPr>
          <w:rStyle w:val="FootnoteReference"/>
        </w:rPr>
        <w:footnoteReference w:id="7"/>
      </w:r>
      <w:r w:rsidRPr="00806279">
        <w:t>; smatra da je prioritet riješiti temeljne uzroke, kao što su nedostatak dugoročnog kapitala, porezni pritisak tijekom rasta i nerazmjerno administrativno opterećenje;</w:t>
      </w:r>
    </w:p>
    <w:p w14:paraId="053E3CC4" w14:textId="77777777" w:rsidR="00E16977" w:rsidRPr="00806279" w:rsidRDefault="00E16977" w:rsidP="00E16977">
      <w:pPr>
        <w:pStyle w:val="NormalHanging12a"/>
      </w:pPr>
      <w:r w:rsidRPr="00806279">
        <w:t>26.</w:t>
      </w:r>
      <w:r w:rsidRPr="00806279">
        <w:tab/>
        <w:t xml:space="preserve">shvaća da je mobilizacija europskih institucionalnih ulagatelja, posebno osiguravajućih društava, banaka i mirovinskih fondova, presudna za smanjenje manjka sredstava za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poduzeća; napominje da je potrebno povećati udio fondova poduzetničkog kapitala u Europi kako bi se osiguralo više sredstava za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rPr>
          <w:i/>
          <w:iCs/>
        </w:rPr>
        <w:t xml:space="preserve"> </w:t>
      </w:r>
      <w:r w:rsidRPr="00806279">
        <w:t>poduzeća, za što je potreban povoljniji okvir za financiranje poduzetničkog kapitala i sigurna izravna strana ulaganja u Europskoj uniji; poziva Komisiju da države članice s nedovoljno razvijenim mirovinskim sustavima potakne da razviju dopunske mirovinske sektore (drugi stup), što bi moglo pomoći u izgradnji tržišta poduzetničkog kapitala, te da stvori regulatorno okruženje kojim se promiču vlasnička ulaganja institucionalnih ulagatelja; podsjeća na obvezu Komisije u pogledu rada na mjerama za apsorbiranje rizika kako bi se privuklo privatno financiranje komercijalnih banaka, ulagatelja i poduzetničkog kapitala;</w:t>
      </w:r>
    </w:p>
    <w:p w14:paraId="3FADDD41" w14:textId="77777777" w:rsidR="00E16977" w:rsidRPr="00806279" w:rsidRDefault="00E16977" w:rsidP="00E16977">
      <w:pPr>
        <w:pStyle w:val="NormalHanging12a"/>
      </w:pPr>
      <w:r w:rsidRPr="00806279">
        <w:t>27.</w:t>
      </w:r>
      <w:r w:rsidRPr="00806279">
        <w:tab/>
        <w:t xml:space="preserve">potiče Komisiju da ojača platforme za zajednička ulaganja, uključujući regionalne instrumente i mreže poslovnih anđela, kako bi se privukao privatni kapital i uklonio trajni manjak sredstava u ranoj fazi financiranja za inovativne MSP-ove s velikim rastom; poziva na odgovarajuću kapitalizaciju predstojeće Inicijative za europske tehnološke predvodnike 2.0 i na namjenske programe financiranja EU-a kojima se podupire prikupljanje sredstava i uvrštavanje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rPr>
          <w:i/>
          <w:iCs/>
        </w:rPr>
        <w:t xml:space="preserve"> </w:t>
      </w:r>
      <w:r w:rsidRPr="00806279">
        <w:t xml:space="preserve">tehnoloških poduzeća; ističe mandat Grupe EIB-a da podupire MSP-ove i potiče je da usvoji fleksibilniji okvir za procjenu rizika i pojednostavljenjem postupaka osigura široku dostupnost nove platforme </w:t>
      </w:r>
      <w:proofErr w:type="spellStart"/>
      <w:r w:rsidRPr="00806279">
        <w:t>TechEU</w:t>
      </w:r>
      <w:proofErr w:type="spellEnd"/>
      <w:r w:rsidRPr="00806279">
        <w:t xml:space="preserve"> u svim državama članicama; slaže se s komunikacijom o uniji za štednju i ulaganja po pitanju važnosti javnih financija na razini EU-a te se stoga zalaže za preusmjeravanje sredstava EU-a prema manjem broju fleksibilnijih programa koji tijekom vremena mogu preusmjeravati sredstva među prioritetima;</w:t>
      </w:r>
    </w:p>
    <w:p w14:paraId="0C0DED58" w14:textId="77777777" w:rsidR="00E16977" w:rsidRPr="00806279" w:rsidRDefault="00E16977" w:rsidP="00E16977">
      <w:pPr>
        <w:pStyle w:val="NormalHanging12a"/>
      </w:pPr>
      <w:r w:rsidRPr="00806279">
        <w:lastRenderedPageBreak/>
        <w:t>28.</w:t>
      </w:r>
      <w:r w:rsidRPr="00806279">
        <w:tab/>
        <w:t xml:space="preserve">ističe da je važno stvoriti prave uvjete kako bi se štednja građana usmjeravala u produktivne investicijske instrumente koji mogu koristiti MSP-ovima 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poduzećima; potiče Komisiju da ukloni regulatorne mjere koje odvraćaju od investicijskih proizvoda za male ulagatelje te da osigura odgovarajuću zaštitu malih ulagatelja pri donošenju odluka o ulaganju; svjestan je da skupno financiranje i tehnologije kao što su pametni ugovori i decentralizirano financiranje mogu proširiti pristup MSP-ova izravnom financiranju te potiče Komisiju da preispita svoj regulatorni okvir pristupom usmjerenim na inovacije s razmjernim rizikom;</w:t>
      </w:r>
    </w:p>
    <w:p w14:paraId="0D56FD92" w14:textId="77777777" w:rsidR="00E16977" w:rsidRPr="00806279" w:rsidRDefault="00E16977" w:rsidP="00E16977">
      <w:pPr>
        <w:pStyle w:val="NormalHanging12a"/>
      </w:pPr>
      <w:r w:rsidRPr="00806279">
        <w:t>29.</w:t>
      </w:r>
      <w:r w:rsidRPr="00806279">
        <w:tab/>
        <w:t xml:space="preserve">naglašava da je za poticanje širenja poduzeća presudan bolje integriran inovacijski ekosustav, s mrežama sveučilišta,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poduzeća, velikih poduzeća i ulagatelja poduzetničkog kapitala, koji se temelji na pristupu objektima za testiranje i tehnološkoj infrastrukturi; ističe pozitivnu ulogu koju forumi poduzetnika, privatni akceleratori i mreže mentora mogu imati u podupiranju rasta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rPr>
          <w:i/>
          <w:iCs/>
        </w:rPr>
        <w:t xml:space="preserve"> </w:t>
      </w:r>
      <w:r w:rsidRPr="00806279">
        <w:t>poduzeća te poziva Komisiju i države članice da se nadovežu na inicijative kao što je mreža pouzdanih ulagatelja, čiji je cilj mobilizacija privatnog kapitala za potporu europskim inovacijskim ambicijama;</w:t>
      </w:r>
    </w:p>
    <w:p w14:paraId="5D4A9125" w14:textId="77777777" w:rsidR="00E16977" w:rsidRPr="00806279" w:rsidRDefault="00E16977" w:rsidP="00E16977">
      <w:pPr>
        <w:pStyle w:val="Normal12a24b"/>
      </w:pPr>
      <w:r w:rsidRPr="00806279">
        <w:rPr>
          <w:rStyle w:val="BoldItalic"/>
        </w:rPr>
        <w:t>Jačanje konkurentnog ekosustava u EU-u</w:t>
      </w:r>
    </w:p>
    <w:p w14:paraId="10AF20BF" w14:textId="77777777" w:rsidR="00E16977" w:rsidRPr="00806279" w:rsidRDefault="00E16977" w:rsidP="00E16977">
      <w:pPr>
        <w:pStyle w:val="NormalHanging12a"/>
      </w:pPr>
      <w:r w:rsidRPr="00806279">
        <w:t>30.</w:t>
      </w:r>
      <w:r w:rsidRPr="00806279">
        <w:tab/>
        <w:t xml:space="preserve">smatra da se konkurentan ekosustav u Uniji mora sastojati i od snažnih nacionalnih tržišta i od snažnog unutarnjeg tržišta te da ih zdravo tržišno natjecanje među državama članicama, posebno u pogledu gospodarskih i regulatornih pristupa, potiče da održe dinamičnost i privlačnost svojih gospodarstava, no podsjeća da države članice ne smiju stvarati prepreke učinkovitoj prekograničnoj raspodjeli kapitala niti određivati prioritete isključivo na temelju zemljopisnog podrijetla financiranja; </w:t>
      </w:r>
      <w:bookmarkStart w:id="9" w:name="_Hlk210313711"/>
      <w:r w:rsidRPr="00806279">
        <w:t>poziva na to da se inicijativama Komisije poštuju i nadograđuju najbolje prakse koje su već uspješne u državama članicama;</w:t>
      </w:r>
    </w:p>
    <w:bookmarkEnd w:id="9"/>
    <w:p w14:paraId="2987ECDF" w14:textId="77777777" w:rsidR="00E16977" w:rsidRPr="00806279" w:rsidRDefault="00E16977" w:rsidP="00E16977">
      <w:pPr>
        <w:pStyle w:val="NormalHanging12a"/>
      </w:pPr>
      <w:r w:rsidRPr="00806279">
        <w:t>31.</w:t>
      </w:r>
      <w:r w:rsidRPr="00806279">
        <w:tab/>
        <w:t>potiče Komisiju da se usredotoči na poticajne uvjete za tržišta, relevantne zajedničke nazivnike za države članice te dobrovoljne i komplementarne okvire usmjerene na postupno smanjenja tržišne fragmentacije;</w:t>
      </w:r>
    </w:p>
    <w:p w14:paraId="5E96E44D" w14:textId="77777777" w:rsidR="00E16977" w:rsidRPr="00806279" w:rsidRDefault="00E16977" w:rsidP="00E16977">
      <w:pPr>
        <w:pStyle w:val="NormalHanging12a"/>
      </w:pPr>
      <w:r w:rsidRPr="00806279">
        <w:t>32.</w:t>
      </w:r>
      <w:r w:rsidRPr="00806279">
        <w:tab/>
        <w:t xml:space="preserve">poziva Komisiju da pojasni od čega bi se sastojao 28. pravni sustav te podsjeća da bi u slučaju njegova uvođenja on trebao biti dobrovoljan, u potpunosti poštovati sustave država članica i biti razvijen u bliskoj suradnji s privatnim sektorom kako bi se ponudio pojednostavljen okvir koji bi privlačio privatne ulagatelje u europska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 i MSP-ove te kako bi se europskim </w:t>
      </w:r>
      <w:r w:rsidRPr="00806279">
        <w:rPr>
          <w:i/>
          <w:iCs/>
        </w:rPr>
        <w:t>start-</w:t>
      </w:r>
      <w:proofErr w:type="spellStart"/>
      <w:r w:rsidRPr="00806279">
        <w:rPr>
          <w:i/>
          <w:iCs/>
        </w:rPr>
        <w:t>up</w:t>
      </w:r>
      <w:proofErr w:type="spellEnd"/>
      <w:r w:rsidRPr="00806279">
        <w:t xml:space="preserve"> poduzećima pomoglo da postanu globalni tehnološki predvodnici;</w:t>
      </w:r>
    </w:p>
    <w:p w14:paraId="5DC14E24" w14:textId="77777777" w:rsidR="00E16977" w:rsidRDefault="00E16977" w:rsidP="00E16977">
      <w:pPr>
        <w:pStyle w:val="NormalHanging12a"/>
      </w:pPr>
      <w:r w:rsidRPr="00806279">
        <w:t>33.</w:t>
      </w:r>
      <w:r w:rsidRPr="00806279">
        <w:tab/>
        <w:t xml:space="preserve">poziva Komisiju da uz potporu tijela država članica razvije pojednostavljene smjernice i jedinstvene kontaktne točke za MSP-ove i </w:t>
      </w:r>
      <w:proofErr w:type="spellStart"/>
      <w:r w:rsidRPr="00806279">
        <w:rPr>
          <w:i/>
          <w:iCs/>
        </w:rPr>
        <w:t>scale-up</w:t>
      </w:r>
      <w:proofErr w:type="spellEnd"/>
      <w:r w:rsidRPr="00806279">
        <w:t xml:space="preserve"> poduzeća kako bi im se pomoglo da se snađu u različitim pravnim sustavima diljem EU-a u pogledu pitanja kao što su pravo trgovačkih društava, radno pravo, stečajno pravo, porezno pravo, prava intelektualnog vlasništva i nacionalne mogućnosti financiranja; nadalje, poziva Komisiju da poboljša alate za praćenje pristupa MSP-ova financiranju, uključujući razvoj pokazatelja i prikaza na razini EU-a koji im mogu pomoći u identifikaciji mogućnosti u državama članicama bez stvaranja novih obveza izvješćivanja ili povećanja administrativnog opterećenja;</w:t>
      </w:r>
    </w:p>
    <w:p w14:paraId="4F6E140D" w14:textId="77777777" w:rsidR="007D6E31" w:rsidRDefault="007D6E31" w:rsidP="00E16977">
      <w:pPr>
        <w:pStyle w:val="NormalHanging12a"/>
      </w:pPr>
    </w:p>
    <w:p w14:paraId="5BDF91B2" w14:textId="77777777" w:rsidR="00E16977" w:rsidRPr="00806279" w:rsidRDefault="00E16977" w:rsidP="00E16977">
      <w:pPr>
        <w:pStyle w:val="NormalCenter12a"/>
      </w:pPr>
      <w:r w:rsidRPr="00806279">
        <w:lastRenderedPageBreak/>
        <w:t>°</w:t>
      </w:r>
    </w:p>
    <w:p w14:paraId="2AE5329B" w14:textId="77777777" w:rsidR="00E16977" w:rsidRPr="00806279" w:rsidRDefault="00E16977" w:rsidP="00E16977">
      <w:pPr>
        <w:pStyle w:val="NormalCenter12a"/>
      </w:pPr>
      <w:r w:rsidRPr="00806279">
        <w:t>°</w:t>
      </w:r>
      <w:r w:rsidRPr="00806279">
        <w:tab/>
        <w:t>°</w:t>
      </w:r>
    </w:p>
    <w:p w14:paraId="35D32F17" w14:textId="769A144D" w:rsidR="00806279" w:rsidRPr="00806279" w:rsidRDefault="00E16977" w:rsidP="00806279">
      <w:pPr>
        <w:pStyle w:val="NormalHanging12a"/>
      </w:pPr>
      <w:r w:rsidRPr="00806279">
        <w:t>34.</w:t>
      </w:r>
      <w:r w:rsidRPr="00806279">
        <w:tab/>
        <w:t>nalaže svojoj predsjednici da ovu Rezoluciju proslijedi Vijeću i Komisiji.</w:t>
      </w:r>
    </w:p>
    <w:p w14:paraId="0D5BEC39" w14:textId="6DB6FC26" w:rsidR="00E365E1" w:rsidRPr="00806279" w:rsidRDefault="00E365E1" w:rsidP="0078763A"/>
    <w:sectPr w:rsidR="00E365E1" w:rsidRPr="00806279" w:rsidSect="008062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9E500" w14:textId="77777777" w:rsidR="0078763A" w:rsidRPr="00806279" w:rsidRDefault="0078763A">
      <w:r w:rsidRPr="00806279">
        <w:separator/>
      </w:r>
    </w:p>
  </w:endnote>
  <w:endnote w:type="continuationSeparator" w:id="0">
    <w:p w14:paraId="78F2F448" w14:textId="77777777" w:rsidR="0078763A" w:rsidRPr="00806279" w:rsidRDefault="0078763A">
      <w:r w:rsidRPr="008062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0A91" w14:textId="77777777" w:rsidR="00064002" w:rsidRPr="008062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B422E" w14:textId="77777777" w:rsidR="00064002" w:rsidRPr="008062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39F7A" w14:textId="77777777" w:rsidR="00064002" w:rsidRPr="008062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387E2" w14:textId="77777777" w:rsidR="0078763A" w:rsidRPr="00806279" w:rsidRDefault="0078763A">
      <w:r w:rsidRPr="00806279">
        <w:separator/>
      </w:r>
    </w:p>
  </w:footnote>
  <w:footnote w:type="continuationSeparator" w:id="0">
    <w:p w14:paraId="267996B1" w14:textId="77777777" w:rsidR="0078763A" w:rsidRPr="00806279" w:rsidRDefault="0078763A">
      <w:r w:rsidRPr="00806279">
        <w:continuationSeparator/>
      </w:r>
    </w:p>
  </w:footnote>
  <w:footnote w:id="1">
    <w:p w14:paraId="01C2437A" w14:textId="76EF7D59" w:rsidR="00E16977" w:rsidRPr="00806279" w:rsidRDefault="00E16977" w:rsidP="00806279">
      <w:pPr>
        <w:pStyle w:val="FootnoteText"/>
        <w:ind w:left="567" w:hanging="567"/>
        <w:rPr>
          <w:sz w:val="24"/>
          <w:lang w:val="hr-HR"/>
        </w:rPr>
      </w:pPr>
      <w:r w:rsidRPr="00806279">
        <w:rPr>
          <w:sz w:val="24"/>
          <w:vertAlign w:val="superscript"/>
          <w:lang w:val="hr-HR"/>
        </w:rPr>
        <w:footnoteRef/>
      </w:r>
      <w:r w:rsidR="00806279" w:rsidRPr="00806279">
        <w:rPr>
          <w:sz w:val="24"/>
          <w:lang w:val="hr-HR"/>
        </w:rPr>
        <w:t xml:space="preserve"> </w:t>
      </w:r>
      <w:r w:rsidR="00806279" w:rsidRPr="00806279">
        <w:rPr>
          <w:sz w:val="24"/>
          <w:lang w:val="hr-HR"/>
        </w:rPr>
        <w:tab/>
      </w:r>
      <w:r w:rsidRPr="00806279">
        <w:rPr>
          <w:sz w:val="24"/>
          <w:lang w:val="hr-HR"/>
        </w:rPr>
        <w:t xml:space="preserve">SL C, C/2024/4182, 2.8.2024., ELI: </w:t>
      </w:r>
      <w:hyperlink r:id="rId1" w:history="1">
        <w:r w:rsidRPr="00806279">
          <w:rPr>
            <w:rStyle w:val="Hyperlink"/>
            <w:sz w:val="24"/>
            <w:lang w:val="hr-HR"/>
          </w:rPr>
          <w:t>http://data.europa.eu/eli/C/2024/4182/oj</w:t>
        </w:r>
      </w:hyperlink>
      <w:r w:rsidRPr="00806279">
        <w:rPr>
          <w:sz w:val="24"/>
          <w:lang w:val="hr-HR"/>
        </w:rPr>
        <w:t>.</w:t>
      </w:r>
    </w:p>
  </w:footnote>
  <w:footnote w:id="2">
    <w:p w14:paraId="14A342B0" w14:textId="4F2DAEEF" w:rsidR="00E16977" w:rsidRPr="00806279" w:rsidRDefault="00E16977" w:rsidP="00806279">
      <w:pPr>
        <w:pStyle w:val="FootnoteText"/>
        <w:ind w:left="567" w:hanging="567"/>
        <w:rPr>
          <w:sz w:val="24"/>
          <w:lang w:val="hr-HR"/>
        </w:rPr>
      </w:pPr>
      <w:r w:rsidRPr="00806279">
        <w:rPr>
          <w:rStyle w:val="FootnoteReference"/>
          <w:sz w:val="24"/>
          <w:lang w:val="hr-HR"/>
        </w:rPr>
        <w:footnoteRef/>
      </w:r>
      <w:r w:rsidR="00806279" w:rsidRPr="00806279">
        <w:rPr>
          <w:sz w:val="24"/>
          <w:lang w:val="hr-HR"/>
        </w:rPr>
        <w:t xml:space="preserve"> </w:t>
      </w:r>
      <w:r w:rsidR="00806279" w:rsidRPr="00806279">
        <w:rPr>
          <w:sz w:val="24"/>
          <w:lang w:val="hr-HR"/>
        </w:rPr>
        <w:tab/>
      </w:r>
      <w:proofErr w:type="spellStart"/>
      <w:r w:rsidRPr="00806279">
        <w:rPr>
          <w:sz w:val="24"/>
          <w:lang w:val="hr-HR"/>
        </w:rPr>
        <w:t>Katsinis</w:t>
      </w:r>
      <w:proofErr w:type="spellEnd"/>
      <w:r w:rsidRPr="00806279">
        <w:rPr>
          <w:sz w:val="24"/>
          <w:lang w:val="hr-HR"/>
        </w:rPr>
        <w:t xml:space="preserve">, A., </w:t>
      </w:r>
      <w:proofErr w:type="spellStart"/>
      <w:r w:rsidRPr="00806279">
        <w:rPr>
          <w:sz w:val="24"/>
          <w:lang w:val="hr-HR"/>
        </w:rPr>
        <w:t>Lagüera-González</w:t>
      </w:r>
      <w:proofErr w:type="spellEnd"/>
      <w:r w:rsidRPr="00806279">
        <w:rPr>
          <w:sz w:val="24"/>
          <w:lang w:val="hr-HR"/>
        </w:rPr>
        <w:t xml:space="preserve">, J., </w:t>
      </w:r>
      <w:proofErr w:type="spellStart"/>
      <w:r w:rsidRPr="00806279">
        <w:rPr>
          <w:sz w:val="24"/>
          <w:lang w:val="hr-HR"/>
        </w:rPr>
        <w:t>Di</w:t>
      </w:r>
      <w:proofErr w:type="spellEnd"/>
      <w:r w:rsidRPr="00806279">
        <w:rPr>
          <w:sz w:val="24"/>
          <w:lang w:val="hr-HR"/>
        </w:rPr>
        <w:t xml:space="preserve"> Bella, L., </w:t>
      </w:r>
      <w:proofErr w:type="spellStart"/>
      <w:r w:rsidRPr="00806279">
        <w:rPr>
          <w:sz w:val="24"/>
          <w:lang w:val="hr-HR"/>
        </w:rPr>
        <w:t>Odenthal</w:t>
      </w:r>
      <w:proofErr w:type="spellEnd"/>
      <w:r w:rsidRPr="00806279">
        <w:rPr>
          <w:sz w:val="24"/>
          <w:lang w:val="hr-HR"/>
        </w:rPr>
        <w:t xml:space="preserve">, L., </w:t>
      </w:r>
      <w:proofErr w:type="spellStart"/>
      <w:r w:rsidRPr="00806279">
        <w:rPr>
          <w:sz w:val="24"/>
          <w:lang w:val="hr-HR"/>
        </w:rPr>
        <w:t>Hell</w:t>
      </w:r>
      <w:proofErr w:type="spellEnd"/>
      <w:r w:rsidRPr="00806279">
        <w:rPr>
          <w:sz w:val="24"/>
          <w:lang w:val="hr-HR"/>
        </w:rPr>
        <w:t>, M. i dr., „</w:t>
      </w:r>
      <w:proofErr w:type="spellStart"/>
      <w:r w:rsidRPr="00806279">
        <w:rPr>
          <w:sz w:val="24"/>
          <w:lang w:val="hr-HR"/>
        </w:rPr>
        <w:t>Annual</w:t>
      </w:r>
      <w:proofErr w:type="spellEnd"/>
      <w:r w:rsidRPr="00806279">
        <w:rPr>
          <w:sz w:val="24"/>
          <w:lang w:val="hr-HR"/>
        </w:rPr>
        <w:t xml:space="preserve"> </w:t>
      </w:r>
      <w:proofErr w:type="spellStart"/>
      <w:r w:rsidRPr="00806279">
        <w:rPr>
          <w:sz w:val="24"/>
          <w:lang w:val="hr-HR"/>
        </w:rPr>
        <w:t>Report</w:t>
      </w:r>
      <w:proofErr w:type="spellEnd"/>
      <w:r w:rsidRPr="00806279">
        <w:rPr>
          <w:sz w:val="24"/>
          <w:lang w:val="hr-HR"/>
        </w:rPr>
        <w:t xml:space="preserve"> on European </w:t>
      </w:r>
      <w:proofErr w:type="spellStart"/>
      <w:r w:rsidRPr="00806279">
        <w:rPr>
          <w:sz w:val="24"/>
          <w:lang w:val="hr-HR"/>
        </w:rPr>
        <w:t>SMEs</w:t>
      </w:r>
      <w:proofErr w:type="spellEnd"/>
      <w:r w:rsidRPr="00806279">
        <w:rPr>
          <w:sz w:val="24"/>
          <w:lang w:val="hr-HR"/>
        </w:rPr>
        <w:t xml:space="preserve"> 2023/2024” (Godišnje izvješće o europskim MSP-ovima za 2023. i 2024.), </w:t>
      </w:r>
      <w:r w:rsidRPr="00806279">
        <w:rPr>
          <w:sz w:val="24"/>
          <w:lang w:val="hr-HR"/>
        </w:rPr>
        <w:t xml:space="preserve">Ured za publikacije Europske unije, 2024., </w:t>
      </w:r>
      <w:hyperlink r:id="rId2" w:history="1">
        <w:r w:rsidRPr="00806279">
          <w:rPr>
            <w:rStyle w:val="Hyperlink"/>
            <w:sz w:val="24"/>
            <w:lang w:val="hr-HR"/>
          </w:rPr>
          <w:t>https://single-market-economy.ec.europa.eu/document/download/2bef0eda-2f75-497d-982e-c0d1cea57c0e_en?filename=Annual%20Report%20on%20European%20SMEs%202024.pdf</w:t>
        </w:r>
      </w:hyperlink>
      <w:r w:rsidRPr="00806279">
        <w:rPr>
          <w:sz w:val="24"/>
          <w:lang w:val="hr-HR"/>
        </w:rPr>
        <w:t>.</w:t>
      </w:r>
    </w:p>
  </w:footnote>
  <w:footnote w:id="3">
    <w:p w14:paraId="56422996" w14:textId="6D663447" w:rsidR="00E16977" w:rsidRPr="00806279" w:rsidRDefault="00E16977" w:rsidP="00806279">
      <w:pPr>
        <w:ind w:left="567" w:hanging="567"/>
      </w:pPr>
      <w:r w:rsidRPr="00806279">
        <w:rPr>
          <w:rStyle w:val="FootnoteReference"/>
        </w:rPr>
        <w:footnoteRef/>
      </w:r>
      <w:r w:rsidR="00806279" w:rsidRPr="00806279">
        <w:t xml:space="preserve"> </w:t>
      </w:r>
      <w:r w:rsidR="00806279" w:rsidRPr="00806279">
        <w:tab/>
      </w:r>
      <w:proofErr w:type="spellStart"/>
      <w:r w:rsidRPr="00806279">
        <w:t>Draghi</w:t>
      </w:r>
      <w:proofErr w:type="spellEnd"/>
      <w:r w:rsidRPr="00806279">
        <w:t>, Mario, „</w:t>
      </w:r>
      <w:proofErr w:type="spellStart"/>
      <w:r w:rsidRPr="00806279">
        <w:t>The</w:t>
      </w:r>
      <w:proofErr w:type="spellEnd"/>
      <w:r w:rsidRPr="00806279">
        <w:t xml:space="preserve"> Future </w:t>
      </w:r>
      <w:proofErr w:type="spellStart"/>
      <w:r w:rsidRPr="00806279">
        <w:t>of</w:t>
      </w:r>
      <w:proofErr w:type="spellEnd"/>
      <w:r w:rsidRPr="00806279">
        <w:t xml:space="preserve"> European </w:t>
      </w:r>
      <w:proofErr w:type="spellStart"/>
      <w:r w:rsidRPr="00806279">
        <w:t>Competitiveness</w:t>
      </w:r>
      <w:proofErr w:type="spellEnd"/>
      <w:r w:rsidRPr="00806279">
        <w:t xml:space="preserve"> – A </w:t>
      </w:r>
      <w:proofErr w:type="spellStart"/>
      <w:r w:rsidRPr="00806279">
        <w:t>Competitiveness</w:t>
      </w:r>
      <w:proofErr w:type="spellEnd"/>
      <w:r w:rsidRPr="00806279">
        <w:t xml:space="preserve"> </w:t>
      </w:r>
      <w:proofErr w:type="spellStart"/>
      <w:r w:rsidRPr="00806279">
        <w:t>Strategy</w:t>
      </w:r>
      <w:proofErr w:type="spellEnd"/>
      <w:r w:rsidRPr="00806279">
        <w:t xml:space="preserve"> for Europe (Budućnost europske konkurentnosti – strategija konkurentnosti za Europu), 2024., </w:t>
      </w:r>
      <w:hyperlink r:id="rId3" w:history="1">
        <w:r w:rsidRPr="00806279">
          <w:rPr>
            <w:rStyle w:val="Hyperlink"/>
          </w:rPr>
          <w:t>https://commission.europa.eu/document/97e481fd-2dc3-412d-be4c-f152a8232961_en</w:t>
        </w:r>
      </w:hyperlink>
      <w:r w:rsidRPr="00806279">
        <w:t>.</w:t>
      </w:r>
    </w:p>
  </w:footnote>
  <w:footnote w:id="4">
    <w:p w14:paraId="4342538E" w14:textId="193C8338" w:rsidR="00E16977" w:rsidRPr="00806279" w:rsidRDefault="00E16977" w:rsidP="00806279">
      <w:pPr>
        <w:pStyle w:val="FootnoteText"/>
        <w:ind w:left="567" w:hanging="567"/>
        <w:rPr>
          <w:sz w:val="24"/>
          <w:lang w:val="hr-HR"/>
        </w:rPr>
      </w:pPr>
      <w:r w:rsidRPr="00806279">
        <w:rPr>
          <w:rStyle w:val="FootnoteReference"/>
          <w:sz w:val="24"/>
          <w:lang w:val="hr-HR"/>
        </w:rPr>
        <w:footnoteRef/>
      </w:r>
      <w:bookmarkStart w:id="7" w:name="_Hlk210313079"/>
      <w:r w:rsidR="00806279" w:rsidRPr="00806279">
        <w:rPr>
          <w:sz w:val="24"/>
          <w:lang w:val="hr-HR"/>
        </w:rPr>
        <w:t xml:space="preserve"> </w:t>
      </w:r>
      <w:r w:rsidR="00806279" w:rsidRPr="00806279">
        <w:rPr>
          <w:sz w:val="24"/>
          <w:lang w:val="hr-HR"/>
        </w:rPr>
        <w:tab/>
      </w:r>
      <w:r w:rsidRPr="00806279">
        <w:rPr>
          <w:sz w:val="24"/>
          <w:lang w:val="hr-HR"/>
        </w:rPr>
        <w:t xml:space="preserve">Akt o uvrštenju sastoji se od Uredbe (EU) 2024/2809 Europskog parlamenta i Vijeća od 23. listopada 2024. o izmjeni uredaba (EU) 2017/1129, (EU) br. 596/2014 i (EU) br. </w:t>
      </w:r>
      <w:r w:rsidRPr="00806279">
        <w:rPr>
          <w:sz w:val="24"/>
          <w:lang w:val="hr-HR"/>
        </w:rPr>
        <w:t xml:space="preserve">600/2014 radi povećanja privlačnosti javnih tržišta kapitala u Uniji za poduzeća i olakšavanja pristupa kapitalu za mala i srednja poduzeća (SL L, 2024/2809, 14.11.2024., ELI: </w:t>
      </w:r>
      <w:hyperlink r:id="rId4" w:history="1">
        <w:r w:rsidRPr="00806279">
          <w:rPr>
            <w:rStyle w:val="Hyperlink"/>
            <w:sz w:val="24"/>
            <w:lang w:val="hr-HR"/>
          </w:rPr>
          <w:t>http://data.europa.eu/eli/reg/2024/2809/oj</w:t>
        </w:r>
      </w:hyperlink>
      <w:r w:rsidRPr="00806279">
        <w:rPr>
          <w:sz w:val="24"/>
          <w:lang w:val="hr-HR"/>
        </w:rPr>
        <w:t xml:space="preserve">), Direktive (EU) 2024/2810 Europskog parlamenta i Vijeća od 23. listopada 2024. o strukturama dionica s višestrukim pravom glasa u društvima koja traže uvrštenje svojih dionica za trgovanje na multilateralnoj trgovinskoj platformi (SL L, 2024/2810, 14.11.2024., ELI: </w:t>
      </w:r>
      <w:hyperlink r:id="rId5" w:history="1">
        <w:r w:rsidRPr="00806279">
          <w:rPr>
            <w:rStyle w:val="Hyperlink"/>
            <w:sz w:val="24"/>
            <w:lang w:val="hr-HR"/>
          </w:rPr>
          <w:t>http://data.europa.eu/eli/dir/2024/2810/oj</w:t>
        </w:r>
      </w:hyperlink>
      <w:r w:rsidRPr="00806279">
        <w:rPr>
          <w:sz w:val="24"/>
          <w:lang w:val="hr-HR"/>
        </w:rPr>
        <w:t xml:space="preserve">) i Direktive (EU) 2024/2811 Europskog parlamenta i Vijeća od 23. listopada 2024. o izmjeni Direktive 2014/65/EU radi povećanja privlačnosti javnih tržišta kapitala u Uniji za društva i olakšavanja pristupa kapitalu za mala i srednja poduzeća i o stavljanju izvan snage Direktive 2001/34/EZ (SL L, 2024/2811, 14.11.2024., ELI: </w:t>
      </w:r>
      <w:hyperlink r:id="rId6" w:history="1">
        <w:r w:rsidRPr="00806279">
          <w:rPr>
            <w:rStyle w:val="Hyperlink"/>
            <w:sz w:val="24"/>
            <w:lang w:val="hr-HR"/>
          </w:rPr>
          <w:t>http://data.europa</w:t>
        </w:r>
        <w:r w:rsidRPr="00806279">
          <w:rPr>
            <w:rStyle w:val="Hyperlink"/>
            <w:sz w:val="24"/>
            <w:lang w:val="hr-HR"/>
          </w:rPr>
          <w:t>.</w:t>
        </w:r>
        <w:r w:rsidRPr="00806279">
          <w:rPr>
            <w:rStyle w:val="Hyperlink"/>
            <w:sz w:val="24"/>
            <w:lang w:val="hr-HR"/>
          </w:rPr>
          <w:t>eu/eli/dir/2024/2811/oj</w:t>
        </w:r>
      </w:hyperlink>
      <w:r w:rsidRPr="00806279">
        <w:rPr>
          <w:sz w:val="24"/>
          <w:lang w:val="hr-HR"/>
        </w:rPr>
        <w:t>).</w:t>
      </w:r>
      <w:bookmarkEnd w:id="7"/>
    </w:p>
  </w:footnote>
  <w:footnote w:id="5">
    <w:p w14:paraId="628C5649" w14:textId="4EA192A4" w:rsidR="00E16977" w:rsidRPr="00806279" w:rsidRDefault="00E16977" w:rsidP="00806279">
      <w:pPr>
        <w:pStyle w:val="FootnoteText"/>
        <w:ind w:left="567" w:hanging="567"/>
        <w:rPr>
          <w:sz w:val="24"/>
          <w:lang w:val="hr-HR"/>
        </w:rPr>
      </w:pPr>
      <w:r w:rsidRPr="00806279">
        <w:rPr>
          <w:rStyle w:val="FootnoteReference"/>
          <w:sz w:val="24"/>
          <w:lang w:val="hr-HR"/>
        </w:rPr>
        <w:footnoteRef/>
      </w:r>
      <w:r w:rsidR="00806279" w:rsidRPr="00806279">
        <w:rPr>
          <w:sz w:val="24"/>
          <w:lang w:val="hr-HR"/>
        </w:rPr>
        <w:t xml:space="preserve"> </w:t>
      </w:r>
      <w:r w:rsidR="00806279" w:rsidRPr="00806279">
        <w:rPr>
          <w:sz w:val="24"/>
          <w:lang w:val="hr-HR"/>
        </w:rPr>
        <w:tab/>
      </w:r>
      <w:r w:rsidRPr="00806279">
        <w:rPr>
          <w:sz w:val="24"/>
          <w:lang w:val="hr-HR"/>
        </w:rPr>
        <w:t>Uredba (EU) br. 345/2013 Europskog parlamenta i Vijeća od 17. travnja 2013. o europskim fondovima poduzetničkog kapitala (SL L 115, 25.4.2013., str. </w:t>
      </w:r>
      <w:r w:rsidRPr="00806279">
        <w:rPr>
          <w:sz w:val="24"/>
          <w:lang w:val="hr-HR"/>
        </w:rPr>
        <w:t xml:space="preserve">1., ELI: </w:t>
      </w:r>
      <w:hyperlink r:id="rId7" w:history="1">
        <w:r w:rsidRPr="00806279">
          <w:rPr>
            <w:rStyle w:val="Hyperlink"/>
            <w:sz w:val="24"/>
            <w:lang w:val="hr-HR"/>
          </w:rPr>
          <w:t>http://data.europa.eu/eli/reg/2013/345/oj</w:t>
        </w:r>
      </w:hyperlink>
      <w:r w:rsidRPr="00806279">
        <w:rPr>
          <w:sz w:val="24"/>
          <w:lang w:val="hr-HR"/>
        </w:rPr>
        <w:t>).</w:t>
      </w:r>
    </w:p>
  </w:footnote>
  <w:footnote w:id="6">
    <w:p w14:paraId="3CD71758" w14:textId="7918FA95" w:rsidR="00E16977" w:rsidRPr="00806279" w:rsidRDefault="00E16977" w:rsidP="00806279">
      <w:pPr>
        <w:pStyle w:val="FootnoteText"/>
        <w:ind w:left="567" w:hanging="567"/>
        <w:rPr>
          <w:sz w:val="24"/>
          <w:lang w:val="hr-HR"/>
        </w:rPr>
      </w:pPr>
      <w:r w:rsidRPr="00806279">
        <w:rPr>
          <w:rStyle w:val="FootnoteReference"/>
          <w:sz w:val="24"/>
          <w:lang w:val="hr-HR"/>
        </w:rPr>
        <w:footnoteRef/>
      </w:r>
      <w:r w:rsidR="00806279" w:rsidRPr="00806279">
        <w:rPr>
          <w:sz w:val="24"/>
          <w:lang w:val="hr-HR"/>
        </w:rPr>
        <w:t xml:space="preserve"> </w:t>
      </w:r>
      <w:r w:rsidR="00806279" w:rsidRPr="00806279">
        <w:rPr>
          <w:sz w:val="24"/>
          <w:lang w:val="hr-HR"/>
        </w:rPr>
        <w:tab/>
      </w:r>
      <w:r w:rsidRPr="00806279">
        <w:rPr>
          <w:sz w:val="24"/>
          <w:lang w:val="hr-HR"/>
        </w:rPr>
        <w:t>Direktiva 2014/65/EU Europskog parlamenta i Vijeća od 15. svibnja 2014. o tržištu financijskih instrumenata i izmjeni Direktive 2002/92/EZ i Direktive 2011/61/EU (SL L 173, 12.6.2014., str. </w:t>
      </w:r>
      <w:r w:rsidRPr="00806279">
        <w:rPr>
          <w:sz w:val="24"/>
          <w:lang w:val="hr-HR"/>
        </w:rPr>
        <w:t xml:space="preserve">349., ELI: </w:t>
      </w:r>
      <w:hyperlink r:id="rId8" w:history="1">
        <w:r w:rsidRPr="00806279">
          <w:rPr>
            <w:rStyle w:val="Hyperlink"/>
            <w:sz w:val="24"/>
            <w:lang w:val="hr-HR"/>
          </w:rPr>
          <w:t>http://data.europa.eu/eli/dir/2014/65/oj</w:t>
        </w:r>
      </w:hyperlink>
      <w:r w:rsidRPr="00806279">
        <w:rPr>
          <w:sz w:val="24"/>
          <w:lang w:val="hr-HR"/>
        </w:rPr>
        <w:t>).</w:t>
      </w:r>
    </w:p>
  </w:footnote>
  <w:footnote w:id="7">
    <w:p w14:paraId="22A7693B" w14:textId="419AF0EF" w:rsidR="00E16977" w:rsidRPr="00806279" w:rsidRDefault="00E16977" w:rsidP="00806279">
      <w:pPr>
        <w:pStyle w:val="FootnoteText"/>
        <w:ind w:left="567" w:hanging="567"/>
        <w:rPr>
          <w:sz w:val="24"/>
          <w:lang w:val="hr-HR"/>
        </w:rPr>
      </w:pPr>
      <w:r w:rsidRPr="00806279">
        <w:rPr>
          <w:rStyle w:val="FootnoteReference"/>
          <w:sz w:val="24"/>
          <w:lang w:val="hr-HR"/>
        </w:rPr>
        <w:footnoteRef/>
      </w:r>
      <w:r w:rsidR="00806279" w:rsidRPr="00806279">
        <w:rPr>
          <w:sz w:val="24"/>
          <w:lang w:val="hr-HR"/>
        </w:rPr>
        <w:t xml:space="preserve"> </w:t>
      </w:r>
      <w:r w:rsidR="00806279" w:rsidRPr="00806279">
        <w:rPr>
          <w:sz w:val="24"/>
          <w:lang w:val="hr-HR"/>
        </w:rPr>
        <w:tab/>
      </w:r>
      <w:proofErr w:type="spellStart"/>
      <w:r w:rsidRPr="00806279">
        <w:rPr>
          <w:sz w:val="24"/>
          <w:lang w:val="hr-HR"/>
        </w:rPr>
        <w:t>Katsinis</w:t>
      </w:r>
      <w:proofErr w:type="spellEnd"/>
      <w:r w:rsidRPr="00806279">
        <w:rPr>
          <w:sz w:val="24"/>
          <w:lang w:val="hr-HR"/>
        </w:rPr>
        <w:t xml:space="preserve">, A., </w:t>
      </w:r>
      <w:proofErr w:type="spellStart"/>
      <w:r w:rsidRPr="00806279">
        <w:rPr>
          <w:sz w:val="24"/>
          <w:lang w:val="hr-HR"/>
        </w:rPr>
        <w:t>Lagüera-González</w:t>
      </w:r>
      <w:proofErr w:type="spellEnd"/>
      <w:r w:rsidRPr="00806279">
        <w:rPr>
          <w:sz w:val="24"/>
          <w:lang w:val="hr-HR"/>
        </w:rPr>
        <w:t xml:space="preserve">, J., </w:t>
      </w:r>
      <w:proofErr w:type="spellStart"/>
      <w:r w:rsidRPr="00806279">
        <w:rPr>
          <w:sz w:val="24"/>
          <w:lang w:val="hr-HR"/>
        </w:rPr>
        <w:t>Di</w:t>
      </w:r>
      <w:proofErr w:type="spellEnd"/>
      <w:r w:rsidRPr="00806279">
        <w:rPr>
          <w:sz w:val="24"/>
          <w:lang w:val="hr-HR"/>
        </w:rPr>
        <w:t xml:space="preserve"> Bella, L., </w:t>
      </w:r>
      <w:proofErr w:type="spellStart"/>
      <w:r w:rsidRPr="00806279">
        <w:rPr>
          <w:sz w:val="24"/>
          <w:lang w:val="hr-HR"/>
        </w:rPr>
        <w:t>Odenthal</w:t>
      </w:r>
      <w:proofErr w:type="spellEnd"/>
      <w:r w:rsidRPr="00806279">
        <w:rPr>
          <w:sz w:val="24"/>
          <w:lang w:val="hr-HR"/>
        </w:rPr>
        <w:t xml:space="preserve">, L., </w:t>
      </w:r>
      <w:proofErr w:type="spellStart"/>
      <w:r w:rsidRPr="00806279">
        <w:rPr>
          <w:sz w:val="24"/>
          <w:lang w:val="hr-HR"/>
        </w:rPr>
        <w:t>Hell</w:t>
      </w:r>
      <w:proofErr w:type="spellEnd"/>
      <w:r w:rsidRPr="00806279">
        <w:rPr>
          <w:sz w:val="24"/>
          <w:lang w:val="hr-HR"/>
        </w:rPr>
        <w:t>, M. i dr., „</w:t>
      </w:r>
      <w:proofErr w:type="spellStart"/>
      <w:r w:rsidRPr="00806279">
        <w:rPr>
          <w:sz w:val="24"/>
          <w:lang w:val="hr-HR"/>
        </w:rPr>
        <w:t>Annual</w:t>
      </w:r>
      <w:proofErr w:type="spellEnd"/>
      <w:r w:rsidRPr="00806279">
        <w:rPr>
          <w:sz w:val="24"/>
          <w:lang w:val="hr-HR"/>
        </w:rPr>
        <w:t xml:space="preserve"> </w:t>
      </w:r>
      <w:proofErr w:type="spellStart"/>
      <w:r w:rsidRPr="00806279">
        <w:rPr>
          <w:sz w:val="24"/>
          <w:lang w:val="hr-HR"/>
        </w:rPr>
        <w:t>Report</w:t>
      </w:r>
      <w:proofErr w:type="spellEnd"/>
      <w:r w:rsidRPr="00806279">
        <w:rPr>
          <w:sz w:val="24"/>
          <w:lang w:val="hr-HR"/>
        </w:rPr>
        <w:t xml:space="preserve"> on European </w:t>
      </w:r>
      <w:proofErr w:type="spellStart"/>
      <w:r w:rsidRPr="00806279">
        <w:rPr>
          <w:sz w:val="24"/>
          <w:lang w:val="hr-HR"/>
        </w:rPr>
        <w:t>SMEs</w:t>
      </w:r>
      <w:proofErr w:type="spellEnd"/>
      <w:r w:rsidRPr="00806279">
        <w:rPr>
          <w:sz w:val="24"/>
          <w:lang w:val="hr-HR"/>
        </w:rPr>
        <w:t xml:space="preserve"> 2023/2024” (Godišnje izvješće o europskim MSP-ovima za 2023. i 2024.), </w:t>
      </w:r>
      <w:r w:rsidRPr="00806279">
        <w:rPr>
          <w:sz w:val="24"/>
          <w:lang w:val="hr-HR"/>
        </w:rPr>
        <w:t xml:space="preserve">Ured za publikacije Europske unije, 2024., </w:t>
      </w:r>
      <w:hyperlink r:id="rId9" w:history="1">
        <w:r w:rsidRPr="00806279">
          <w:rPr>
            <w:rStyle w:val="Hyperlink"/>
            <w:sz w:val="24"/>
            <w:lang w:val="hr-HR"/>
          </w:rPr>
          <w:t>https://single-market-economy.ec.europa.eu/document/download/2bef0eda-2f75-497d-982e-c0d1cea57c0e_en?filename=Annual%20Report%20on%20European%20SMEs%202024.pdf</w:t>
        </w:r>
      </w:hyperlink>
      <w:r w:rsidRPr="00806279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D7B4F" w14:textId="77777777" w:rsidR="00064002" w:rsidRPr="008062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8362" w14:textId="77777777" w:rsidR="00064002" w:rsidRPr="008062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19D52" w14:textId="77777777" w:rsidR="00064002" w:rsidRPr="008062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02197517">
    <w:abstractNumId w:val="9"/>
  </w:num>
  <w:num w:numId="2" w16cid:durableId="245502392">
    <w:abstractNumId w:val="9"/>
  </w:num>
  <w:num w:numId="3" w16cid:durableId="1856918968">
    <w:abstractNumId w:val="7"/>
  </w:num>
  <w:num w:numId="4" w16cid:durableId="800002153">
    <w:abstractNumId w:val="7"/>
  </w:num>
  <w:num w:numId="5" w16cid:durableId="1666667584">
    <w:abstractNumId w:val="6"/>
  </w:num>
  <w:num w:numId="6" w16cid:durableId="2146001569">
    <w:abstractNumId w:val="6"/>
  </w:num>
  <w:num w:numId="7" w16cid:durableId="502472562">
    <w:abstractNumId w:val="5"/>
  </w:num>
  <w:num w:numId="8" w16cid:durableId="347220280">
    <w:abstractNumId w:val="5"/>
  </w:num>
  <w:num w:numId="9" w16cid:durableId="1380205623">
    <w:abstractNumId w:val="4"/>
  </w:num>
  <w:num w:numId="10" w16cid:durableId="1741513123">
    <w:abstractNumId w:val="4"/>
  </w:num>
  <w:num w:numId="11" w16cid:durableId="1190602904">
    <w:abstractNumId w:val="8"/>
  </w:num>
  <w:num w:numId="12" w16cid:durableId="1250506194">
    <w:abstractNumId w:val="8"/>
  </w:num>
  <w:num w:numId="13" w16cid:durableId="404651161">
    <w:abstractNumId w:val="3"/>
  </w:num>
  <w:num w:numId="14" w16cid:durableId="2146501662">
    <w:abstractNumId w:val="3"/>
  </w:num>
  <w:num w:numId="15" w16cid:durableId="1465463891">
    <w:abstractNumId w:val="2"/>
  </w:num>
  <w:num w:numId="16" w16cid:durableId="562568917">
    <w:abstractNumId w:val="2"/>
  </w:num>
  <w:num w:numId="17" w16cid:durableId="982271540">
    <w:abstractNumId w:val="1"/>
  </w:num>
  <w:num w:numId="18" w16cid:durableId="660426821">
    <w:abstractNumId w:val="1"/>
  </w:num>
  <w:num w:numId="19" w16cid:durableId="1037316643">
    <w:abstractNumId w:val="0"/>
  </w:num>
  <w:num w:numId="20" w16cid:durableId="221795237">
    <w:abstractNumId w:val="0"/>
  </w:num>
  <w:num w:numId="21" w16cid:durableId="269163005">
    <w:abstractNumId w:val="9"/>
  </w:num>
  <w:num w:numId="22" w16cid:durableId="998733970">
    <w:abstractNumId w:val="7"/>
  </w:num>
  <w:num w:numId="23" w16cid:durableId="1092626166">
    <w:abstractNumId w:val="6"/>
  </w:num>
  <w:num w:numId="24" w16cid:durableId="1361052776">
    <w:abstractNumId w:val="5"/>
  </w:num>
  <w:num w:numId="25" w16cid:durableId="2071420762">
    <w:abstractNumId w:val="4"/>
  </w:num>
  <w:num w:numId="26" w16cid:durableId="172308945">
    <w:abstractNumId w:val="8"/>
  </w:num>
  <w:num w:numId="27" w16cid:durableId="743186362">
    <w:abstractNumId w:val="3"/>
  </w:num>
  <w:num w:numId="28" w16cid:durableId="1845973390">
    <w:abstractNumId w:val="2"/>
  </w:num>
  <w:num w:numId="29" w16cid:durableId="1955167496">
    <w:abstractNumId w:val="1"/>
  </w:num>
  <w:num w:numId="30" w16cid:durableId="37973044">
    <w:abstractNumId w:val="0"/>
  </w:num>
  <w:num w:numId="31" w16cid:durableId="1562211139">
    <w:abstractNumId w:val="9"/>
  </w:num>
  <w:num w:numId="32" w16cid:durableId="301274185">
    <w:abstractNumId w:val="7"/>
  </w:num>
  <w:num w:numId="33" w16cid:durableId="1248536620">
    <w:abstractNumId w:val="6"/>
  </w:num>
  <w:num w:numId="34" w16cid:durableId="1414472884">
    <w:abstractNumId w:val="5"/>
  </w:num>
  <w:num w:numId="35" w16cid:durableId="1290354719">
    <w:abstractNumId w:val="4"/>
  </w:num>
  <w:num w:numId="36" w16cid:durableId="1627543535">
    <w:abstractNumId w:val="8"/>
  </w:num>
  <w:num w:numId="37" w16cid:durableId="853805737">
    <w:abstractNumId w:val="3"/>
  </w:num>
  <w:num w:numId="38" w16cid:durableId="1263341279">
    <w:abstractNumId w:val="2"/>
  </w:num>
  <w:num w:numId="39" w16cid:durableId="774253646">
    <w:abstractNumId w:val="1"/>
  </w:num>
  <w:num w:numId="40" w16cid:durableId="1513253821">
    <w:abstractNumId w:val="0"/>
  </w:num>
  <w:num w:numId="41" w16cid:durableId="1973947274">
    <w:abstractNumId w:val="10"/>
  </w:num>
  <w:num w:numId="42" w16cid:durableId="862330401">
    <w:abstractNumId w:val="10"/>
  </w:num>
  <w:num w:numId="43" w16cid:durableId="1032804971">
    <w:abstractNumId w:val="10"/>
  </w:num>
  <w:num w:numId="44" w16cid:durableId="13686793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5/2025"/>
    <w:docVar w:name="dvlangue" w:val="HR"/>
    <w:docVar w:name="dvnumam" w:val="0"/>
    <w:docVar w:name="dvpe" w:val="772.123"/>
    <w:docVar w:name="dvrapporteur" w:val="Izvjestitelj: "/>
    <w:docVar w:name="dvtitre" w:val="Rezolucija Europskog parlamenta od .... 2025. o pristupu financiranju za MSP-ove i scale-up poduzeća(2025/2072(INI))"/>
  </w:docVars>
  <w:rsids>
    <w:rsidRoot w:val="0078763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320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763A"/>
    <w:rsid w:val="007D1690"/>
    <w:rsid w:val="007D6E31"/>
    <w:rsid w:val="007E22AD"/>
    <w:rsid w:val="0080627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388"/>
    <w:rsid w:val="009B4B3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FB8"/>
    <w:rsid w:val="00CC2357"/>
    <w:rsid w:val="00CF071A"/>
    <w:rsid w:val="00D058B8"/>
    <w:rsid w:val="00D56C11"/>
    <w:rsid w:val="00D834A0"/>
    <w:rsid w:val="00D872DF"/>
    <w:rsid w:val="00D91E21"/>
    <w:rsid w:val="00DA7FCD"/>
    <w:rsid w:val="00E1697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D959F"/>
  <w15:chartTrackingRefBased/>
  <w15:docId w15:val="{6BD3B723-F377-4CD3-9874-3D4A9877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16977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E16977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E16977"/>
    <w:pPr>
      <w:spacing w:after="240"/>
      <w:jc w:val="center"/>
    </w:pPr>
  </w:style>
  <w:style w:type="character" w:customStyle="1" w:styleId="BoldItalic">
    <w:name w:val="BoldItalic"/>
    <w:uiPriority w:val="1"/>
    <w:rsid w:val="00E16977"/>
    <w:rPr>
      <w:b/>
      <w:i/>
      <w:u w:val="none"/>
    </w:rPr>
  </w:style>
  <w:style w:type="character" w:customStyle="1" w:styleId="Italic">
    <w:name w:val="Italic"/>
    <w:uiPriority w:val="1"/>
    <w:rsid w:val="00E16977"/>
    <w:rPr>
      <w:i/>
    </w:rPr>
  </w:style>
  <w:style w:type="paragraph" w:customStyle="1" w:styleId="Normal12a24b">
    <w:name w:val="Normal12a24b"/>
    <w:basedOn w:val="Normal"/>
    <w:rsid w:val="00E16977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E16977"/>
    <w:rPr>
      <w:color w:val="0000FF"/>
      <w:u w:val="single"/>
    </w:rPr>
  </w:style>
  <w:style w:type="character" w:styleId="FollowedHyperlink">
    <w:name w:val="FollowedHyperlink"/>
    <w:basedOn w:val="DefaultParagraphFont"/>
    <w:rsid w:val="00C96F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14/65/oj" TargetMode="External"/><Relationship Id="rId3" Type="http://schemas.openxmlformats.org/officeDocument/2006/relationships/hyperlink" Target="https://commission.europa.eu/document/97e481fd-2dc3-412d-be4c-f152a8232961_en" TargetMode="External"/><Relationship Id="rId7" Type="http://schemas.openxmlformats.org/officeDocument/2006/relationships/hyperlink" Target="http://data.europa.eu/eli/reg/2013/345/oj" TargetMode="External"/><Relationship Id="rId2" Type="http://schemas.openxmlformats.org/officeDocument/2006/relationships/hyperlink" Target="https://single-market-economy.ec.europa.eu/document/download/2bef0eda-2f75-497d-982e-c0d1cea57c0e_en?filename=Annual%20Report%20on%20European%20SMEs%202024.pdf" TargetMode="External"/><Relationship Id="rId1" Type="http://schemas.openxmlformats.org/officeDocument/2006/relationships/hyperlink" Target="http://data.europa.eu/eli/C/2024/4182/oj" TargetMode="External"/><Relationship Id="rId6" Type="http://schemas.openxmlformats.org/officeDocument/2006/relationships/hyperlink" Target="http://data.europa.eu/eli/dir/2024/2811/oj" TargetMode="External"/><Relationship Id="rId5" Type="http://schemas.openxmlformats.org/officeDocument/2006/relationships/hyperlink" Target="http://data.europa.eu/eli/dir/2024/2810/oj" TargetMode="External"/><Relationship Id="rId4" Type="http://schemas.openxmlformats.org/officeDocument/2006/relationships/hyperlink" Target="http://data.europa.eu/eli/reg/2024/2809/oj" TargetMode="External"/><Relationship Id="rId9" Type="http://schemas.openxmlformats.org/officeDocument/2006/relationships/hyperlink" Target="https://single-market-economy.ec.europa.eu/document/download/2bef0eda-2f75-497d-982e-c0d1cea57c0e_en?filename=Annual%20Report%20on%20European%20SMEs%20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3528</Words>
  <Characters>22348</Characters>
  <Application>Microsoft Office Word</Application>
  <DocSecurity>0</DocSecurity>
  <Lines>186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2025-11-26T14:23:00Z</dcterms:created>
  <dcterms:modified xsi:type="dcterms:W3CDTF">2025-11-26T14:23:00Z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A10-0185/2025</vt:lpwstr>
  </property>
  <property fmtid="{D5CDD505-2E9C-101B-9397-08002B2CF9AE}" pid="4" name="&lt;Type&gt;">
    <vt:lpwstr>RR</vt:lpwstr>
  </property>
</Properties>
</file>