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35A" w14:paraId="1AB04A69" w14:textId="77777777" w:rsidTr="0010095E">
        <w:trPr>
          <w:trHeight w:hRule="exact" w:val="1418"/>
        </w:trPr>
        <w:tc>
          <w:tcPr>
            <w:tcW w:w="6804" w:type="dxa"/>
            <w:shd w:val="clear" w:color="auto" w:fill="auto"/>
            <w:vAlign w:val="center"/>
          </w:tcPr>
          <w:p w14:paraId="4A2FB6BB" w14:textId="77777777" w:rsidR="00751A4A" w:rsidRPr="002E535A" w:rsidRDefault="009221EE" w:rsidP="0010095E">
            <w:pPr>
              <w:pStyle w:val="EPName"/>
            </w:pPr>
            <w:r w:rsidRPr="002E535A">
              <w:t>Europees Parlement</w:t>
            </w:r>
          </w:p>
          <w:p w14:paraId="23820EDC" w14:textId="77777777" w:rsidR="00751A4A" w:rsidRPr="002E535A" w:rsidRDefault="005F1B17" w:rsidP="005F1B17">
            <w:pPr>
              <w:pStyle w:val="EPTerm"/>
              <w:rPr>
                <w:rStyle w:val="HideTWBExt"/>
                <w:noProof w:val="0"/>
                <w:vanish w:val="0"/>
                <w:color w:val="auto"/>
              </w:rPr>
            </w:pPr>
            <w:r w:rsidRPr="002E535A">
              <w:t>2024</w:t>
            </w:r>
            <w:r w:rsidR="00817416" w:rsidRPr="002E535A">
              <w:t>-202</w:t>
            </w:r>
            <w:r w:rsidRPr="002E535A">
              <w:t>9</w:t>
            </w:r>
          </w:p>
        </w:tc>
        <w:tc>
          <w:tcPr>
            <w:tcW w:w="2268" w:type="dxa"/>
            <w:shd w:val="clear" w:color="auto" w:fill="auto"/>
          </w:tcPr>
          <w:p w14:paraId="4F80C91D" w14:textId="77777777" w:rsidR="00751A4A" w:rsidRPr="002E535A" w:rsidRDefault="00187494" w:rsidP="0010095E">
            <w:pPr>
              <w:pStyle w:val="EPLogo"/>
            </w:pPr>
            <w:r w:rsidRPr="002E535A">
              <w:rPr>
                <w:noProof/>
                <w:lang w:eastAsia="ja-JP"/>
              </w:rPr>
              <w:drawing>
                <wp:inline distT="0" distB="0" distL="0" distR="0" wp14:anchorId="696417DB" wp14:editId="3FF421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234EB2" w14:textId="77777777" w:rsidR="00D058B8" w:rsidRPr="002E535A" w:rsidRDefault="00D058B8" w:rsidP="004C5D52">
      <w:pPr>
        <w:pStyle w:val="LineTop"/>
      </w:pPr>
    </w:p>
    <w:p w14:paraId="7D8EF779" w14:textId="77777777" w:rsidR="00680577" w:rsidRPr="002E535A" w:rsidRDefault="009221EE" w:rsidP="00680577">
      <w:pPr>
        <w:pStyle w:val="EPBodyTA1"/>
      </w:pPr>
      <w:r w:rsidRPr="002E535A">
        <w:t>AANGENOMEN TEKSTEN</w:t>
      </w:r>
    </w:p>
    <w:p w14:paraId="70B8E40D" w14:textId="77777777" w:rsidR="00D058B8" w:rsidRPr="002E535A" w:rsidRDefault="00D058B8" w:rsidP="00D058B8">
      <w:pPr>
        <w:pStyle w:val="LineBottom"/>
      </w:pPr>
    </w:p>
    <w:p w14:paraId="0011B3BF" w14:textId="2C5793D5" w:rsidR="009221EE" w:rsidRPr="002E535A" w:rsidRDefault="009221EE" w:rsidP="009221EE">
      <w:pPr>
        <w:pStyle w:val="ATHeading1"/>
      </w:pPr>
      <w:bookmarkStart w:id="0" w:name="TANumber"/>
      <w:r w:rsidRPr="002E535A">
        <w:t>P10_TA(2025)0</w:t>
      </w:r>
      <w:r w:rsidR="002E535A" w:rsidRPr="002E535A">
        <w:t>3</w:t>
      </w:r>
      <w:r w:rsidRPr="002E535A">
        <w:t>00</w:t>
      </w:r>
      <w:bookmarkEnd w:id="0"/>
    </w:p>
    <w:p w14:paraId="422964F4" w14:textId="77777777" w:rsidR="009221EE" w:rsidRPr="002E535A" w:rsidRDefault="009221EE" w:rsidP="009221EE">
      <w:pPr>
        <w:pStyle w:val="ATHeading2"/>
      </w:pPr>
      <w:bookmarkStart w:id="1" w:name="title"/>
      <w:r w:rsidRPr="002E535A">
        <w:t xml:space="preserve">Toegang tot financiering voor kmo’s en </w:t>
      </w:r>
      <w:proofErr w:type="spellStart"/>
      <w:r w:rsidRPr="002E535A">
        <w:t>scale</w:t>
      </w:r>
      <w:proofErr w:type="spellEnd"/>
      <w:r w:rsidRPr="002E535A">
        <w:t>-ups</w:t>
      </w:r>
      <w:bookmarkEnd w:id="1"/>
    </w:p>
    <w:p w14:paraId="4912B1D1" w14:textId="77777777" w:rsidR="009221EE" w:rsidRPr="002E535A" w:rsidRDefault="009221EE" w:rsidP="009221EE">
      <w:pPr>
        <w:rPr>
          <w:i/>
          <w:vanish/>
        </w:rPr>
      </w:pPr>
      <w:r w:rsidRPr="002E535A">
        <w:rPr>
          <w:i/>
        </w:rPr>
        <w:fldChar w:fldCharType="begin"/>
      </w:r>
      <w:r w:rsidRPr="002E535A">
        <w:rPr>
          <w:i/>
        </w:rPr>
        <w:instrText xml:space="preserve"> TC"(</w:instrText>
      </w:r>
      <w:bookmarkStart w:id="2" w:name="DocNumber"/>
      <w:r w:rsidRPr="002E535A">
        <w:rPr>
          <w:i/>
        </w:rPr>
        <w:instrText>A10-0185/2025</w:instrText>
      </w:r>
      <w:bookmarkEnd w:id="2"/>
      <w:r w:rsidRPr="002E535A">
        <w:rPr>
          <w:i/>
        </w:rPr>
        <w:instrText xml:space="preserve"> - Rapporteur: Jorge Martín Frías)"\l3 \n&gt; \* MERGEFORMAT </w:instrText>
      </w:r>
      <w:r w:rsidRPr="002E535A">
        <w:rPr>
          <w:i/>
        </w:rPr>
        <w:fldChar w:fldCharType="end"/>
      </w:r>
    </w:p>
    <w:p w14:paraId="6D3C89D9" w14:textId="77777777" w:rsidR="009221EE" w:rsidRPr="002E535A" w:rsidRDefault="009221EE" w:rsidP="009221EE">
      <w:pPr>
        <w:rPr>
          <w:vanish/>
        </w:rPr>
      </w:pPr>
      <w:bookmarkStart w:id="3" w:name="Commission"/>
      <w:r w:rsidRPr="002E535A">
        <w:rPr>
          <w:vanish/>
        </w:rPr>
        <w:t>Commissie economische en monetaire zaken</w:t>
      </w:r>
      <w:bookmarkEnd w:id="3"/>
    </w:p>
    <w:p w14:paraId="46812B63" w14:textId="77777777" w:rsidR="009221EE" w:rsidRPr="002E535A" w:rsidRDefault="009221EE" w:rsidP="009221EE">
      <w:pPr>
        <w:rPr>
          <w:vanish/>
        </w:rPr>
      </w:pPr>
      <w:bookmarkStart w:id="4" w:name="PE"/>
      <w:r w:rsidRPr="002E535A">
        <w:rPr>
          <w:vanish/>
        </w:rPr>
        <w:t>PE772.123</w:t>
      </w:r>
      <w:bookmarkEnd w:id="4"/>
    </w:p>
    <w:p w14:paraId="646A61FC" w14:textId="2FD21452" w:rsidR="009221EE" w:rsidRPr="002E535A" w:rsidRDefault="009221EE" w:rsidP="009221EE">
      <w:pPr>
        <w:pStyle w:val="ATHeading3"/>
      </w:pPr>
      <w:bookmarkStart w:id="5" w:name="Sujet"/>
      <w:r w:rsidRPr="002E535A">
        <w:t xml:space="preserve">Resolutie van het Europees Parlement van </w:t>
      </w:r>
      <w:r w:rsidR="003732BD" w:rsidRPr="002E535A">
        <w:t xml:space="preserve">26 </w:t>
      </w:r>
      <w:r w:rsidRPr="002E535A">
        <w:t xml:space="preserve">november 2025 over de toegang tot financiering voor kmo’s en </w:t>
      </w:r>
      <w:proofErr w:type="spellStart"/>
      <w:r w:rsidRPr="002E535A">
        <w:t>scale</w:t>
      </w:r>
      <w:proofErr w:type="spellEnd"/>
      <w:r w:rsidRPr="002E535A">
        <w:t>-ups</w:t>
      </w:r>
      <w:bookmarkEnd w:id="5"/>
      <w:r w:rsidRPr="002E535A">
        <w:t xml:space="preserve"> </w:t>
      </w:r>
      <w:bookmarkStart w:id="6" w:name="References"/>
      <w:r w:rsidRPr="002E535A">
        <w:t>(2025/2072(INI))</w:t>
      </w:r>
      <w:bookmarkEnd w:id="6"/>
    </w:p>
    <w:p w14:paraId="57FCC681" w14:textId="77777777" w:rsidR="00EA66F3" w:rsidRPr="002E535A" w:rsidRDefault="00EA66F3" w:rsidP="00EA66F3">
      <w:pPr>
        <w:pStyle w:val="EPComma"/>
        <w:widowControl/>
      </w:pPr>
      <w:r w:rsidRPr="002E535A">
        <w:rPr>
          <w:rStyle w:val="Italic"/>
        </w:rPr>
        <w:t>Het Europees Parlement</w:t>
      </w:r>
      <w:r w:rsidRPr="002E535A">
        <w:t>,</w:t>
      </w:r>
    </w:p>
    <w:p w14:paraId="17582ACB" w14:textId="77777777" w:rsidR="00EA66F3" w:rsidRPr="002E535A" w:rsidRDefault="00EA66F3" w:rsidP="00EA66F3">
      <w:pPr>
        <w:pStyle w:val="NormalHanging12a"/>
      </w:pPr>
      <w:r w:rsidRPr="002E535A">
        <w:t>–</w:t>
      </w:r>
      <w:r w:rsidRPr="002E535A">
        <w:tab/>
        <w:t>gezien de mededeling van de Commissie van 29 januari 2025 getiteld “Het EU-kompas voor concurrentievermogen” (COM(2025)0030),</w:t>
      </w:r>
    </w:p>
    <w:p w14:paraId="2C6E5EC0" w14:textId="77777777" w:rsidR="00EA66F3" w:rsidRPr="002E535A" w:rsidRDefault="00EA66F3" w:rsidP="00EA66F3">
      <w:pPr>
        <w:pStyle w:val="NormalHanging12a"/>
        <w:rPr>
          <w:snapToGrid/>
        </w:rPr>
      </w:pPr>
      <w:r w:rsidRPr="002E535A">
        <w:t>–</w:t>
      </w:r>
      <w:r w:rsidRPr="002E535A">
        <w:tab/>
        <w:t xml:space="preserve">gezien de mededeling van de Commissie van 28 mei 2025 getiteld “De EU-strategie voor </w:t>
      </w:r>
      <w:proofErr w:type="spellStart"/>
      <w:r w:rsidRPr="002E535A">
        <w:t>start-ups</w:t>
      </w:r>
      <w:proofErr w:type="spellEnd"/>
      <w:r w:rsidRPr="002E535A">
        <w:t xml:space="preserve"> en </w:t>
      </w:r>
      <w:proofErr w:type="spellStart"/>
      <w:r w:rsidRPr="002E535A">
        <w:t>scale</w:t>
      </w:r>
      <w:proofErr w:type="spellEnd"/>
      <w:r w:rsidRPr="002E535A">
        <w:t>-ups – Kies Europa voor het opstarten en opschalen van uw bedrijf” (COM(2025)0270),</w:t>
      </w:r>
    </w:p>
    <w:p w14:paraId="2135BDA6" w14:textId="77777777" w:rsidR="00EA66F3" w:rsidRPr="002E535A" w:rsidRDefault="00EA66F3" w:rsidP="00EA66F3">
      <w:pPr>
        <w:pStyle w:val="NormalHanging12a"/>
      </w:pPr>
      <w:r w:rsidRPr="002E535A">
        <w:t>–</w:t>
      </w:r>
      <w:r w:rsidRPr="002E535A">
        <w:tab/>
        <w:t>gezien de mededeling van de Commissie van 21 mei 2025 getiteld “De eengemaakte markt: onze Europese thuismarkt in een onzekere wereld – Een strategie om de eengemaakte markt eenvoudig, naadloos en sterk te maken” (COM(2025)0500),</w:t>
      </w:r>
    </w:p>
    <w:p w14:paraId="25B9513D" w14:textId="77777777" w:rsidR="00EA66F3" w:rsidRPr="002E535A" w:rsidRDefault="00EA66F3" w:rsidP="00EA66F3">
      <w:pPr>
        <w:pStyle w:val="NormalHanging12a"/>
      </w:pPr>
      <w:r w:rsidRPr="002E535A">
        <w:t>–</w:t>
      </w:r>
      <w:r w:rsidRPr="002E535A">
        <w:tab/>
        <w:t>gezien de Verklaring van Boedapest die werd aangenomen tijdens de informele bijeenkomst van de staatshoofden en regeringsleiders op 8 november 2024,</w:t>
      </w:r>
    </w:p>
    <w:p w14:paraId="516E5305" w14:textId="77777777" w:rsidR="00EA66F3" w:rsidRPr="002E535A" w:rsidRDefault="00EA66F3" w:rsidP="00EA66F3">
      <w:pPr>
        <w:pStyle w:val="NormalHanging12a"/>
      </w:pPr>
      <w:r w:rsidRPr="002E535A">
        <w:t>–</w:t>
      </w:r>
      <w:r w:rsidRPr="002E535A">
        <w:tab/>
        <w:t>gezien de publicatie van Commissievoorzitter Von der Leyen van 18 juli 2024 getiteld “De keuze van Europa – Politieke beleidslijnen voor de volgende Europese Commissie 2024-2029”,</w:t>
      </w:r>
    </w:p>
    <w:p w14:paraId="1073DA0F" w14:textId="77777777" w:rsidR="00EA66F3" w:rsidRPr="002E535A" w:rsidRDefault="00EA66F3" w:rsidP="00EA66F3">
      <w:pPr>
        <w:pStyle w:val="NormalHanging12a"/>
      </w:pPr>
      <w:r w:rsidRPr="002E535A">
        <w:t>–</w:t>
      </w:r>
      <w:r w:rsidRPr="002E535A">
        <w:tab/>
        <w:t xml:space="preserve">gezien het verslag van de Europese Centrale Bank getiteld “Survey on </w:t>
      </w:r>
      <w:proofErr w:type="spellStart"/>
      <w:r w:rsidRPr="002E535A">
        <w:t>the</w:t>
      </w:r>
      <w:proofErr w:type="spellEnd"/>
      <w:r w:rsidRPr="002E535A">
        <w:t xml:space="preserve"> Access </w:t>
      </w:r>
      <w:proofErr w:type="spellStart"/>
      <w:r w:rsidRPr="002E535A">
        <w:t>to</w:t>
      </w:r>
      <w:proofErr w:type="spellEnd"/>
      <w:r w:rsidRPr="002E535A">
        <w:t xml:space="preserve"> Finance of Enterprises in </w:t>
      </w:r>
      <w:proofErr w:type="spellStart"/>
      <w:r w:rsidRPr="002E535A">
        <w:t>the</w:t>
      </w:r>
      <w:proofErr w:type="spellEnd"/>
      <w:r w:rsidRPr="002E535A">
        <w:t xml:space="preserve"> euro area – First </w:t>
      </w:r>
      <w:proofErr w:type="spellStart"/>
      <w:r w:rsidRPr="002E535A">
        <w:t>Quarter</w:t>
      </w:r>
      <w:proofErr w:type="spellEnd"/>
      <w:r w:rsidRPr="002E535A">
        <w:t xml:space="preserve"> of 2025” (Enquête over de toegang van ondernemingen in de eurozone tot financiering – eerste kwartaal 2025), gepubliceerd in april 2025,</w:t>
      </w:r>
    </w:p>
    <w:p w14:paraId="478132DD" w14:textId="77777777" w:rsidR="00EA66F3" w:rsidRPr="002E535A" w:rsidRDefault="00EA66F3" w:rsidP="00EA66F3">
      <w:pPr>
        <w:pStyle w:val="NormalHanging12a"/>
      </w:pPr>
      <w:r w:rsidRPr="002E535A">
        <w:t>–</w:t>
      </w:r>
      <w:r w:rsidRPr="002E535A">
        <w:tab/>
        <w:t>gezien de mededeling van de Commissie van 19 maart 2025 getiteld “Spaar- en investeringsunie – Een strategie om in de EU de welvaart van burgers en het economische concurrentievermogen te stimuleren” (COM(2025)0124),</w:t>
      </w:r>
    </w:p>
    <w:p w14:paraId="428911B7" w14:textId="77777777" w:rsidR="00EA66F3" w:rsidRPr="002E535A" w:rsidRDefault="00EA66F3" w:rsidP="00EA66F3">
      <w:pPr>
        <w:pStyle w:val="NormalHanging12a"/>
      </w:pPr>
      <w:r w:rsidRPr="002E535A">
        <w:t>–</w:t>
      </w:r>
      <w:r w:rsidRPr="002E535A">
        <w:tab/>
        <w:t xml:space="preserve">gezien het verslag van de Commissie getiteld “Survey on </w:t>
      </w:r>
      <w:proofErr w:type="spellStart"/>
      <w:r w:rsidRPr="002E535A">
        <w:t>the</w:t>
      </w:r>
      <w:proofErr w:type="spellEnd"/>
      <w:r w:rsidRPr="002E535A">
        <w:t xml:space="preserve"> access </w:t>
      </w:r>
      <w:proofErr w:type="spellStart"/>
      <w:r w:rsidRPr="002E535A">
        <w:t>to</w:t>
      </w:r>
      <w:proofErr w:type="spellEnd"/>
      <w:r w:rsidRPr="002E535A">
        <w:t xml:space="preserve"> </w:t>
      </w:r>
      <w:proofErr w:type="spellStart"/>
      <w:r w:rsidRPr="002E535A">
        <w:t>finance</w:t>
      </w:r>
      <w:proofErr w:type="spellEnd"/>
      <w:r w:rsidRPr="002E535A">
        <w:t xml:space="preserve"> of </w:t>
      </w:r>
      <w:proofErr w:type="spellStart"/>
      <w:r w:rsidRPr="002E535A">
        <w:t>enterprises</w:t>
      </w:r>
      <w:proofErr w:type="spellEnd"/>
      <w:r w:rsidRPr="002E535A">
        <w:t xml:space="preserve"> (SAFE) – </w:t>
      </w:r>
      <w:proofErr w:type="spellStart"/>
      <w:r w:rsidRPr="002E535A">
        <w:t>Analytical</w:t>
      </w:r>
      <w:proofErr w:type="spellEnd"/>
      <w:r w:rsidRPr="002E535A">
        <w:t xml:space="preserve"> report 2024” (Enquête over de toegang van ondernemingen tot financiering (SAFE) – Analytisch verslag 2024), gepubliceerd in januari 2025,</w:t>
      </w:r>
    </w:p>
    <w:p w14:paraId="1F79739F" w14:textId="081E96BA" w:rsidR="00EA66F3" w:rsidRPr="002E535A" w:rsidRDefault="00EA66F3" w:rsidP="00EA66F3">
      <w:pPr>
        <w:pStyle w:val="NormalHanging12a"/>
      </w:pPr>
      <w:r w:rsidRPr="002E535A">
        <w:lastRenderedPageBreak/>
        <w:t>–</w:t>
      </w:r>
      <w:r w:rsidRPr="002E535A">
        <w:tab/>
        <w:t xml:space="preserve">gezien het </w:t>
      </w:r>
      <w:r w:rsidR="00EF2C57" w:rsidRPr="002E535A">
        <w:t xml:space="preserve">rapport </w:t>
      </w:r>
      <w:r w:rsidRPr="002E535A">
        <w:t>van Mario </w:t>
      </w:r>
      <w:proofErr w:type="spellStart"/>
      <w:r w:rsidRPr="002E535A">
        <w:t>Draghi</w:t>
      </w:r>
      <w:proofErr w:type="spellEnd"/>
      <w:r w:rsidRPr="002E535A">
        <w:t xml:space="preserve"> getiteld “The </w:t>
      </w:r>
      <w:proofErr w:type="spellStart"/>
      <w:r w:rsidRPr="002E535A">
        <w:t>future</w:t>
      </w:r>
      <w:proofErr w:type="spellEnd"/>
      <w:r w:rsidRPr="002E535A">
        <w:t xml:space="preserve"> of European </w:t>
      </w:r>
      <w:proofErr w:type="spellStart"/>
      <w:r w:rsidRPr="002E535A">
        <w:t>competitiveness</w:t>
      </w:r>
      <w:proofErr w:type="spellEnd"/>
      <w:r w:rsidRPr="002E535A">
        <w:t>” (</w:t>
      </w:r>
      <w:r w:rsidR="00EF2C57" w:rsidRPr="002E535A">
        <w:t>rapport</w:t>
      </w:r>
      <w:r w:rsidRPr="002E535A">
        <w:t>-</w:t>
      </w:r>
      <w:proofErr w:type="spellStart"/>
      <w:r w:rsidRPr="002E535A">
        <w:t>Draghi</w:t>
      </w:r>
      <w:proofErr w:type="spellEnd"/>
      <w:r w:rsidRPr="002E535A">
        <w:t>), gepubliceerd in september 2024,</w:t>
      </w:r>
    </w:p>
    <w:p w14:paraId="115561F2" w14:textId="77777777" w:rsidR="00EA66F3" w:rsidRPr="002E535A" w:rsidRDefault="00EA66F3" w:rsidP="00EA66F3">
      <w:pPr>
        <w:pStyle w:val="NormalHanging12a"/>
      </w:pPr>
      <w:r w:rsidRPr="002E535A">
        <w:t>–</w:t>
      </w:r>
      <w:r w:rsidRPr="002E535A">
        <w:tab/>
        <w:t>gezien het verslag van de Commissie van 25 juli 2024 getiteld “</w:t>
      </w:r>
      <w:proofErr w:type="spellStart"/>
      <w:r w:rsidRPr="002E535A">
        <w:t>Annual</w:t>
      </w:r>
      <w:proofErr w:type="spellEnd"/>
      <w:r w:rsidRPr="002E535A">
        <w:t xml:space="preserve"> report on European </w:t>
      </w:r>
      <w:proofErr w:type="spellStart"/>
      <w:r w:rsidRPr="002E535A">
        <w:t>SMEs</w:t>
      </w:r>
      <w:proofErr w:type="spellEnd"/>
      <w:r w:rsidRPr="002E535A">
        <w:t xml:space="preserve"> 2023/2024” (Jaarverslag over Europese kmo’s 2023/2024),</w:t>
      </w:r>
    </w:p>
    <w:p w14:paraId="139B49D3" w14:textId="188921C2" w:rsidR="00EA66F3" w:rsidRPr="002E535A" w:rsidRDefault="00EA66F3" w:rsidP="00EA66F3">
      <w:pPr>
        <w:pStyle w:val="NormalHanging12a"/>
      </w:pPr>
      <w:r w:rsidRPr="002E535A">
        <w:t>–</w:t>
      </w:r>
      <w:r w:rsidRPr="002E535A">
        <w:tab/>
        <w:t xml:space="preserve">gezien het rapport van </w:t>
      </w:r>
      <w:proofErr w:type="spellStart"/>
      <w:r w:rsidRPr="002E535A">
        <w:t>Enrico</w:t>
      </w:r>
      <w:proofErr w:type="spellEnd"/>
      <w:r w:rsidRPr="002E535A">
        <w:t> </w:t>
      </w:r>
      <w:proofErr w:type="spellStart"/>
      <w:r w:rsidRPr="002E535A">
        <w:t>Letta</w:t>
      </w:r>
      <w:proofErr w:type="spellEnd"/>
      <w:r w:rsidRPr="002E535A">
        <w:t xml:space="preserve"> getiteld “</w:t>
      </w:r>
      <w:proofErr w:type="spellStart"/>
      <w:r w:rsidRPr="002E535A">
        <w:t>Much</w:t>
      </w:r>
      <w:proofErr w:type="spellEnd"/>
      <w:r w:rsidRPr="002E535A">
        <w:t xml:space="preserve"> more </w:t>
      </w:r>
      <w:proofErr w:type="spellStart"/>
      <w:r w:rsidRPr="002E535A">
        <w:t>than</w:t>
      </w:r>
      <w:proofErr w:type="spellEnd"/>
      <w:r w:rsidRPr="002E535A">
        <w:t xml:space="preserve"> a market” (</w:t>
      </w:r>
      <w:r w:rsidR="00EF2C57" w:rsidRPr="002E535A">
        <w:t>rapport</w:t>
      </w:r>
      <w:r w:rsidRPr="002E535A">
        <w:t>-</w:t>
      </w:r>
      <w:proofErr w:type="spellStart"/>
      <w:r w:rsidRPr="002E535A">
        <w:t>Letta</w:t>
      </w:r>
      <w:proofErr w:type="spellEnd"/>
      <w:r w:rsidRPr="002E535A">
        <w:t>), gepubliceerd in april 2024,</w:t>
      </w:r>
    </w:p>
    <w:p w14:paraId="476BCD03" w14:textId="77777777" w:rsidR="00EA66F3" w:rsidRPr="002E535A" w:rsidRDefault="00EA66F3" w:rsidP="00EA66F3">
      <w:pPr>
        <w:pStyle w:val="NormalHanging12a"/>
      </w:pPr>
      <w:r w:rsidRPr="002E535A">
        <w:t>–</w:t>
      </w:r>
      <w:r w:rsidRPr="002E535A">
        <w:tab/>
        <w:t>gezien de conclusies van de buitengewone bijeenkomst van de Europese Raad van 17 en 18 april 2024,</w:t>
      </w:r>
    </w:p>
    <w:p w14:paraId="0DA4D01F" w14:textId="77777777" w:rsidR="00EA66F3" w:rsidRPr="002E535A" w:rsidRDefault="00EA66F3" w:rsidP="00EA66F3">
      <w:pPr>
        <w:pStyle w:val="NormalHanging12a"/>
      </w:pPr>
      <w:r w:rsidRPr="002E535A">
        <w:t>–</w:t>
      </w:r>
      <w:r w:rsidRPr="002E535A">
        <w:tab/>
        <w:t xml:space="preserve">gezien zijn resolutie van 14 december 2023 over bevordering van innovatie en industrieel en technologisch concurrentievermogen door middel van een gunstig klimaat voor </w:t>
      </w:r>
      <w:proofErr w:type="spellStart"/>
      <w:r w:rsidRPr="002E535A">
        <w:t>start-ups</w:t>
      </w:r>
      <w:proofErr w:type="spellEnd"/>
      <w:r w:rsidRPr="002E535A">
        <w:t xml:space="preserve"> en </w:t>
      </w:r>
      <w:proofErr w:type="spellStart"/>
      <w:r w:rsidRPr="002E535A">
        <w:t>scale</w:t>
      </w:r>
      <w:proofErr w:type="spellEnd"/>
      <w:r w:rsidRPr="002E535A">
        <w:t>-ups</w:t>
      </w:r>
      <w:r w:rsidRPr="002E535A">
        <w:rPr>
          <w:rStyle w:val="FootnoteReference"/>
        </w:rPr>
        <w:footnoteReference w:id="1"/>
      </w:r>
      <w:r w:rsidRPr="002E535A">
        <w:t>,</w:t>
      </w:r>
    </w:p>
    <w:p w14:paraId="06D0FB8C" w14:textId="77777777" w:rsidR="00EA66F3" w:rsidRPr="002E535A" w:rsidRDefault="00EA66F3" w:rsidP="00EA66F3">
      <w:pPr>
        <w:pStyle w:val="NormalHanging12a"/>
      </w:pPr>
      <w:r w:rsidRPr="002E535A">
        <w:t>–</w:t>
      </w:r>
      <w:r w:rsidRPr="002E535A">
        <w:tab/>
        <w:t>gezien de mededeling van de Commissie van 12 september 2023 getiteld “Steunpakket voor kleine en middelgrote ondernemingen” (COM(2023)0535),</w:t>
      </w:r>
    </w:p>
    <w:p w14:paraId="1A4EEBE0" w14:textId="77777777" w:rsidR="00EA66F3" w:rsidRPr="002E535A" w:rsidRDefault="00EA66F3" w:rsidP="00EA66F3">
      <w:pPr>
        <w:pStyle w:val="NormalHanging12a"/>
      </w:pPr>
      <w:r w:rsidRPr="002E535A">
        <w:t>–</w:t>
      </w:r>
      <w:r w:rsidRPr="002E535A">
        <w:tab/>
        <w:t>gezien artikel 55 van zijn Reglement,</w:t>
      </w:r>
    </w:p>
    <w:p w14:paraId="60BBA4D3" w14:textId="77777777" w:rsidR="00EA66F3" w:rsidRPr="002E535A" w:rsidRDefault="00EA66F3" w:rsidP="00EA66F3">
      <w:pPr>
        <w:pStyle w:val="NormalHanging12a"/>
        <w:rPr>
          <w:snapToGrid/>
        </w:rPr>
      </w:pPr>
      <w:r w:rsidRPr="002E535A">
        <w:t>–</w:t>
      </w:r>
      <w:r w:rsidRPr="002E535A">
        <w:tab/>
        <w:t>gezien het verslag van de Commissie economische en monetaire zaken (A10‑0185/2025),</w:t>
      </w:r>
    </w:p>
    <w:p w14:paraId="19AF1230" w14:textId="77777777" w:rsidR="00EA66F3" w:rsidRPr="002E535A" w:rsidRDefault="00EA66F3" w:rsidP="00EA66F3">
      <w:pPr>
        <w:pStyle w:val="NormalHanging12a"/>
      </w:pPr>
      <w:r w:rsidRPr="002E535A">
        <w:t>A.</w:t>
      </w:r>
      <w:r w:rsidRPr="002E535A">
        <w:tab/>
        <w:t>overwegende dat micro-, kleine en middelgrote ondernemingen (</w:t>
      </w:r>
      <w:proofErr w:type="spellStart"/>
      <w:r w:rsidRPr="002E535A">
        <w:t>mkmo’s</w:t>
      </w:r>
      <w:proofErr w:type="spellEnd"/>
      <w:r w:rsidRPr="002E535A">
        <w:t>) de ruggengraat van het Europese bedrijfsleven vormen, aangezien kmo’s in 2023 goed waren voor 99,8 % van alle ondernemingen, 65,2 % van de werkgelegenheid en 53,1 % van de toegevoegde waarde in de niet-financiële sector in de EU</w:t>
      </w:r>
      <w:r w:rsidRPr="002E535A">
        <w:rPr>
          <w:rStyle w:val="FootnoteReference"/>
        </w:rPr>
        <w:footnoteReference w:id="2"/>
      </w:r>
      <w:r w:rsidRPr="002E535A">
        <w:t>;</w:t>
      </w:r>
    </w:p>
    <w:p w14:paraId="6C59859D" w14:textId="77777777" w:rsidR="00EA66F3" w:rsidRPr="002E535A" w:rsidRDefault="00EA66F3" w:rsidP="00EA66F3">
      <w:pPr>
        <w:pStyle w:val="NormalHanging12a"/>
        <w:rPr>
          <w:snapToGrid/>
        </w:rPr>
      </w:pPr>
      <w:r w:rsidRPr="002E535A">
        <w:t>B.</w:t>
      </w:r>
      <w:r w:rsidRPr="002E535A">
        <w:tab/>
        <w:t>overwegende dat de EU als geheel – en met name haar grootste economieën – momenteel te kampen hebben met trage economische groei en met problemen, doordat bedrijven aan concurrentievermogen verliezen ten opzichte van derde landen, wat nog verergerd wordt door de gevolgen van de pandemie, de energiecrisis en de Russische agressie tegen Oekraïne, die met name gevolgen hebben voor kmo’s en voor de economieën van de landen aan de oostgrens van de EU;</w:t>
      </w:r>
    </w:p>
    <w:p w14:paraId="4167D17F" w14:textId="77777777" w:rsidR="00EA66F3" w:rsidRPr="002E535A" w:rsidRDefault="00EA66F3" w:rsidP="00EA66F3">
      <w:pPr>
        <w:pStyle w:val="NormalHanging12a"/>
      </w:pPr>
      <w:r w:rsidRPr="002E535A">
        <w:t>C.</w:t>
      </w:r>
      <w:r w:rsidRPr="002E535A">
        <w:tab/>
        <w:t xml:space="preserve">overwegende dat Europese kmo’s verschillen wat hun activiteitenterrein, sector, financiële behoeften, locatie, eigendomsstructuur, zakenmodel en innovatiecapaciteit betreft, waardoor zij te maken hebben met verschillende uitdagingen en financieringsbehoeften, terwijl hun vermogen om hieraan het hoofd te bieden beperkt is; overwegende dat de meeste Europese kmo’s hoofdzakelijk actief zijn op nationaal niveau; overwegende dat er betrekkelijk weinig kmo’s zijn die grensoverschrijdende </w:t>
      </w:r>
      <w:r w:rsidRPr="002E535A">
        <w:lastRenderedPageBreak/>
        <w:t>activiteiten binnen de EU ontplooien en dat de kmo’s die naar landen buiten de Unie exporteren een minderheid vormen;</w:t>
      </w:r>
    </w:p>
    <w:p w14:paraId="46DCB98C" w14:textId="43D1C418" w:rsidR="00EA66F3" w:rsidRPr="002E535A" w:rsidRDefault="00EA66F3" w:rsidP="00EA66F3">
      <w:pPr>
        <w:pStyle w:val="NormalHanging12a"/>
      </w:pPr>
      <w:r w:rsidRPr="002E535A">
        <w:t>D.</w:t>
      </w:r>
      <w:r w:rsidRPr="002E535A">
        <w:tab/>
        <w:t xml:space="preserve">overwegende dat in het </w:t>
      </w:r>
      <w:r w:rsidR="00EF2C57" w:rsidRPr="002E535A">
        <w:t>rapport</w:t>
      </w:r>
      <w:r w:rsidRPr="002E535A">
        <w:t>-</w:t>
      </w:r>
      <w:proofErr w:type="spellStart"/>
      <w:r w:rsidRPr="002E535A">
        <w:t>Draghi</w:t>
      </w:r>
      <w:proofErr w:type="spellEnd"/>
      <w:r w:rsidRPr="002E535A">
        <w:t xml:space="preserve"> wordt aangegeven dat regelgevingsbelemmeringen en administratieve lasten tot de grootste uitdagingen behoren waarmee kmo’s worden geconfronteerd, waarbij rapportagevoorschriften, voornamelijk in het kader van de Europese Green Deal, door meer dan 60 % van de EU-ondernemingen als een belemmering voor investeringen worden beschouwd en 55 % van de kmo’s regelgevingsbelemmeringen en administratieve lasten als zijn grootste uitdaging noemt, een aandeel dat nog groter is voor </w:t>
      </w:r>
      <w:proofErr w:type="spellStart"/>
      <w:r w:rsidRPr="002E535A">
        <w:t>start-ups</w:t>
      </w:r>
      <w:proofErr w:type="spellEnd"/>
      <w:r w:rsidRPr="002E535A">
        <w:t xml:space="preserve"> en micro-ondernemingen, en dat in het </w:t>
      </w:r>
      <w:r w:rsidR="00EF2C57" w:rsidRPr="002E535A">
        <w:t>rapport</w:t>
      </w:r>
      <w:r w:rsidRPr="002E535A">
        <w:t>-</w:t>
      </w:r>
      <w:proofErr w:type="spellStart"/>
      <w:r w:rsidRPr="002E535A">
        <w:t>Draghi</w:t>
      </w:r>
      <w:proofErr w:type="spellEnd"/>
      <w:r w:rsidRPr="002E535A">
        <w:t xml:space="preserve"> wordt aanbevolen kmo’s om redenen van evenredigheid vrij te stellen van bepaalde regelgeving, waarbij een eenvoudiger, voorspelbaarder en concurrerender regelgevingskader en een herziening van de Europese Green Deal van cruciaal belang zijn voor hun welvaart;</w:t>
      </w:r>
    </w:p>
    <w:p w14:paraId="1CC7037B" w14:textId="77777777" w:rsidR="00EA66F3" w:rsidRPr="002E535A" w:rsidRDefault="00EA66F3" w:rsidP="00EA66F3">
      <w:pPr>
        <w:pStyle w:val="NormalHanging12a"/>
      </w:pPr>
      <w:r w:rsidRPr="002E535A">
        <w:t>E.</w:t>
      </w:r>
      <w:r w:rsidRPr="002E535A">
        <w:tab/>
        <w:t>overwegende dat de Commissie ernaar streeft de toegang tot financiering voor kmo’s te verbeteren teneinde de omvang van kmo’s te vergroten, de inefficiëntie te verminderen en interoperabiliteit te bevorderen en zich ten doel heeft gesteld de rapportagelast voor kmo’s met ten minste 35 % te verminderen, en dat zij heeft aangekondigd in de toekomst in effectbeoordelingen te zullen nagaan wat de gevolgen zijn voor het concurrentievermogen van kmo’s; overwegende dat deze initiatieven gepaard moeten gaan met een goed ontwikkeld ecosysteem voor durfkapitaal, rekening houdend met het feit dat institutionele beleggers zoals verzekeringsmaatschappijen een belangrijke bijdrage leveren aan de financiering van kmo’s door de overdracht en transformatie van risico’s, en rekening houdend met het feit dat, anders dan in de Verenigde Staten, het grootste deel van de financiering in de Europese Unie afkomstig is van banken en dat er aanzienlijke verschillen bestaan in investeringscultuur tussen Europa en andere regio’s in de wereld, met name wat durfkapitaal en investeringen door business angels betreft; overwegende dat deze situatie kmo’s bijzonder kwetsbaar maakt voor een aanscherping van de kredietverlening door banken;</w:t>
      </w:r>
    </w:p>
    <w:p w14:paraId="19DD5470" w14:textId="77777777" w:rsidR="00EA66F3" w:rsidRPr="002E535A" w:rsidRDefault="00EA66F3" w:rsidP="00EA66F3">
      <w:pPr>
        <w:pStyle w:val="NormalHanging12a"/>
      </w:pPr>
      <w:r w:rsidRPr="002E535A">
        <w:t>F.</w:t>
      </w:r>
      <w:r w:rsidRPr="002E535A">
        <w:tab/>
        <w:t>overwegende dat het Europa ontbreekt aan een dynamischer en gunstiger klimaat waardoor innovatieve bedrijven kunnen opschalen en er verdere investeringen kunnen worden gedaan en verdere vooruitgang kan worden geboekt op het gebied van digitale infrastructuur, met als gevolg dat bijna 30 % van de eenhoorns verhuist naar het buitenland</w:t>
      </w:r>
      <w:r w:rsidRPr="002E535A">
        <w:rPr>
          <w:rStyle w:val="FootnoteReference"/>
        </w:rPr>
        <w:footnoteReference w:id="3"/>
      </w:r>
      <w:r w:rsidRPr="002E535A">
        <w:t>;</w:t>
      </w:r>
    </w:p>
    <w:p w14:paraId="5AFCFC7E" w14:textId="77777777" w:rsidR="00EA66F3" w:rsidRPr="002E535A" w:rsidRDefault="00EA66F3" w:rsidP="00EA66F3">
      <w:pPr>
        <w:pStyle w:val="NormalHanging12a"/>
      </w:pPr>
      <w:r w:rsidRPr="002E535A">
        <w:t>G.</w:t>
      </w:r>
      <w:r w:rsidRPr="002E535A">
        <w:tab/>
        <w:t xml:space="preserve">overwegende dat de Commissie een strategie voor </w:t>
      </w:r>
      <w:proofErr w:type="spellStart"/>
      <w:r w:rsidRPr="002E535A">
        <w:t>start-ups</w:t>
      </w:r>
      <w:proofErr w:type="spellEnd"/>
      <w:r w:rsidRPr="002E535A">
        <w:t xml:space="preserve"> en </w:t>
      </w:r>
      <w:proofErr w:type="spellStart"/>
      <w:r w:rsidRPr="002E535A">
        <w:t>scale</w:t>
      </w:r>
      <w:proofErr w:type="spellEnd"/>
      <w:r w:rsidRPr="002E535A">
        <w:t xml:space="preserve">-ups heeft gepubliceerd en dat er verschillende initiatieven worden ontplooid om ondernemerschap, innovatie en digitale transformatie in de EU te bevorderen, zoals de strategie voor </w:t>
      </w:r>
      <w:proofErr w:type="spellStart"/>
      <w:r w:rsidRPr="002E535A">
        <w:t>start-ups</w:t>
      </w:r>
      <w:proofErr w:type="spellEnd"/>
      <w:r w:rsidRPr="002E535A">
        <w:t xml:space="preserve"> en </w:t>
      </w:r>
      <w:proofErr w:type="spellStart"/>
      <w:r w:rsidRPr="002E535A">
        <w:t>scale</w:t>
      </w:r>
      <w:proofErr w:type="spellEnd"/>
      <w:r w:rsidRPr="002E535A">
        <w:t>-ups, het “</w:t>
      </w:r>
      <w:proofErr w:type="spellStart"/>
      <w:r w:rsidRPr="002E535A">
        <w:t>Eco-innovation</w:t>
      </w:r>
      <w:proofErr w:type="spellEnd"/>
      <w:r w:rsidRPr="002E535A">
        <w:t xml:space="preserve"> Scoreboard”, de kennis- en innovatiegemeenschappen, het Europees platform voor clustersamenwerking, het digitaal decennium en de strategie voor een digitale eengemaakte markt, evenals specifieke financieringsprogramma’s voor innovatie op andere beleidsgebieden;</w:t>
      </w:r>
    </w:p>
    <w:p w14:paraId="366F4344" w14:textId="77777777" w:rsidR="00EA66F3" w:rsidRPr="002E535A" w:rsidRDefault="00EA66F3" w:rsidP="00EA66F3">
      <w:pPr>
        <w:pStyle w:val="Normal12a24b"/>
        <w:widowControl/>
      </w:pPr>
      <w:r w:rsidRPr="002E535A">
        <w:rPr>
          <w:rStyle w:val="BoldItalic"/>
        </w:rPr>
        <w:t>Algemene overwegingen</w:t>
      </w:r>
    </w:p>
    <w:p w14:paraId="65746B35" w14:textId="77777777" w:rsidR="00EA66F3" w:rsidRPr="002E535A" w:rsidRDefault="00EA66F3" w:rsidP="00EA66F3">
      <w:pPr>
        <w:pStyle w:val="NormalHanging12a"/>
      </w:pPr>
      <w:r w:rsidRPr="002E535A">
        <w:lastRenderedPageBreak/>
        <w:t>1.</w:t>
      </w:r>
      <w:r w:rsidRPr="002E535A">
        <w:tab/>
        <w:t xml:space="preserve">is van mening dat het creëren van gunstige marktvoorwaarden voor Europese bedrijven om in Europa te innoveren, op te starten, te creëren, te groeien en op te schalen van essentieel belang is om het volledige potentieel van onze markt te ontsluiten en onze economieën concurrerender te maken; erkent dat versnippering van de regelgeving een van de belemmeringen is die </w:t>
      </w:r>
      <w:proofErr w:type="spellStart"/>
      <w:r w:rsidRPr="002E535A">
        <w:t>scale</w:t>
      </w:r>
      <w:proofErr w:type="spellEnd"/>
      <w:r w:rsidRPr="002E535A">
        <w:t xml:space="preserve">-ups ervan weerhouden het volledige potentieel van de eengemaakte markt te benutten; erkent dat kmo’s te maken hebben met ongelijke financieringsvoorwaarden en -vereisten in de lidstaten en regio’s, als gevolg van factoren die specifiek zijn voor elke onderneming en geografische locatie – zoals het feit dat een onderneming actief is in een afgelegen, </w:t>
      </w:r>
      <w:proofErr w:type="spellStart"/>
      <w:r w:rsidRPr="002E535A">
        <w:t>ultraperifeer</w:t>
      </w:r>
      <w:proofErr w:type="spellEnd"/>
      <w:r w:rsidRPr="002E535A">
        <w:t xml:space="preserve"> of insulair gebied – en als gevolg van het economisch klimaat, en dat zij daarom oplossingen nodig hebben die zijn toegesneden op dergelijke specifieke kenmerken en op de behoeften van de kleinere economieën;</w:t>
      </w:r>
    </w:p>
    <w:p w14:paraId="3E41B27C" w14:textId="797AABFD" w:rsidR="00EA66F3" w:rsidRPr="002E535A" w:rsidRDefault="00EA66F3" w:rsidP="00EA66F3">
      <w:pPr>
        <w:pStyle w:val="NormalHanging12a"/>
      </w:pPr>
      <w:r w:rsidRPr="002E535A">
        <w:t>2.</w:t>
      </w:r>
      <w:r w:rsidRPr="002E535A">
        <w:tab/>
        <w:t xml:space="preserve">is ingenomen met het feit dat naar aanleiding van het </w:t>
      </w:r>
      <w:r w:rsidR="00EF2C57" w:rsidRPr="002E535A">
        <w:t>rapport</w:t>
      </w:r>
      <w:r w:rsidRPr="002E535A">
        <w:t>-</w:t>
      </w:r>
      <w:proofErr w:type="spellStart"/>
      <w:r w:rsidRPr="002E535A">
        <w:t>Draghi</w:t>
      </w:r>
      <w:proofErr w:type="spellEnd"/>
      <w:r w:rsidRPr="002E535A">
        <w:t xml:space="preserve"> en het </w:t>
      </w:r>
      <w:r w:rsidR="00EF2C57" w:rsidRPr="002E535A">
        <w:t>rapport</w:t>
      </w:r>
      <w:r w:rsidRPr="002E535A">
        <w:t>-</w:t>
      </w:r>
      <w:proofErr w:type="spellStart"/>
      <w:r w:rsidRPr="002E535A">
        <w:t>Letta</w:t>
      </w:r>
      <w:proofErr w:type="spellEnd"/>
      <w:r w:rsidRPr="002E535A">
        <w:t xml:space="preserve"> wordt erkend dat er behoefte is aan een meer concurrerende, minder versnipperde en minder bureaucratische interne markt; verzoekt de Commissie rekening te houden met de aanbevelingen in deze </w:t>
      </w:r>
      <w:r w:rsidR="00EF2C57" w:rsidRPr="002E535A">
        <w:t>rapporten</w:t>
      </w:r>
      <w:r w:rsidRPr="002E535A">
        <w:t xml:space="preserve">, waarin wordt gesteld dat onmiddellijke en doortastende maatregelen op zowel regelgevend als politiek niveau vereist zijn; betreurt in dit verband de buitensporige lasten die kmo’s ondervinden door de tenuitvoerlegging van diverse verplichtingen in het kader van de Europese Green Deal; is ervan overtuigd dat specifieke definities van </w:t>
      </w:r>
      <w:proofErr w:type="spellStart"/>
      <w:r w:rsidRPr="002E535A">
        <w:t>start-up</w:t>
      </w:r>
      <w:proofErr w:type="spellEnd"/>
      <w:r w:rsidRPr="002E535A">
        <w:t xml:space="preserve"> en </w:t>
      </w:r>
      <w:proofErr w:type="spellStart"/>
      <w:r w:rsidRPr="002E535A">
        <w:t>scale</w:t>
      </w:r>
      <w:proofErr w:type="spellEnd"/>
      <w:r w:rsidRPr="002E535A">
        <w:t>-up de mogelijkheden voor steun zouden vergroten door middel van maatregelen die zijn afgestemd op hun specifieke behoeften;</w:t>
      </w:r>
    </w:p>
    <w:p w14:paraId="79691DE7" w14:textId="77777777" w:rsidR="00EA66F3" w:rsidRPr="002E535A" w:rsidRDefault="00EA66F3" w:rsidP="00EA66F3">
      <w:pPr>
        <w:pStyle w:val="NormalHanging12a"/>
        <w:rPr>
          <w:bCs/>
          <w:iCs/>
        </w:rPr>
      </w:pPr>
      <w:r w:rsidRPr="002E535A">
        <w:t>3.</w:t>
      </w:r>
      <w:r w:rsidRPr="002E535A">
        <w:tab/>
        <w:t>wijst erop dat bankleningen de belangrijkste externe financieringsbron voor kmo’s in de Unie blijven; benadrukt de cruciale rol van traditionele bankmodellen, met inbegrip van kleine regionale banken, spaarbanken, coöperatieve banken en overheidsinstellingen;</w:t>
      </w:r>
    </w:p>
    <w:p w14:paraId="50AD2579" w14:textId="77777777" w:rsidR="00EA66F3" w:rsidRPr="002E535A" w:rsidRDefault="00EA66F3" w:rsidP="00EA66F3">
      <w:pPr>
        <w:pStyle w:val="NormalHanging12a"/>
      </w:pPr>
      <w:r w:rsidRPr="002E535A">
        <w:t>4.</w:t>
      </w:r>
      <w:r w:rsidRPr="002E535A">
        <w:tab/>
        <w:t xml:space="preserve">benadrukt dat de EU ernaar moet streven het ondernemingsklimaat eenvoudiger en aantrekkelijker te maken, zodat er kapitaal en investeringen kunnen worden aangetrokken, zowel uit Europa als internationaal; benadrukt dat een ecosysteem voor opschaling moet worden bevorderd dat in de eerste plaats gevoed wordt door particuliere investeringen en publiek-private samenwerkingen, wat kan helpen kapitaal aan te trekken en de toegang van bedrijven tot financiering te vergemakkelijken; beklemtoont dat banken die over specifieke regionale en lokale kennis beschikken een belangrijke en goed ontwikkelde rol vervullen bij het verstrekken van leningen aan kmo’s vanwege hun </w:t>
      </w:r>
      <w:proofErr w:type="spellStart"/>
      <w:r w:rsidRPr="002E535A">
        <w:t>langetermijnrelatie</w:t>
      </w:r>
      <w:proofErr w:type="spellEnd"/>
      <w:r w:rsidRPr="002E535A">
        <w:t xml:space="preserve"> met deze ondernemingen;</w:t>
      </w:r>
    </w:p>
    <w:p w14:paraId="1D8364DB" w14:textId="77777777" w:rsidR="00EA66F3" w:rsidRPr="002E535A" w:rsidRDefault="00EA66F3" w:rsidP="00EA66F3">
      <w:pPr>
        <w:pStyle w:val="NormalHanging12a"/>
      </w:pPr>
      <w:r w:rsidRPr="002E535A">
        <w:t>5.</w:t>
      </w:r>
      <w:r w:rsidRPr="002E535A">
        <w:tab/>
        <w:t xml:space="preserve">vestigt de aandacht op de bijzondere uitdagingen waarmee Europese </w:t>
      </w:r>
      <w:proofErr w:type="spellStart"/>
      <w:r w:rsidRPr="002E535A">
        <w:t>scale</w:t>
      </w:r>
      <w:proofErr w:type="spellEnd"/>
      <w:r w:rsidRPr="002E535A">
        <w:t xml:space="preserve">-ups worden geconfronteerd bij het verkrijgen van financiering in de late groeifase; merkt op dat veel EU-bedrijven met een groot potentieel nog steeds afhankelijk zijn van buitenlands durfkapitaal en buitenlandse investeerders, waarbij een groot deel van de latere financieringsrondes wordt geleid door niet-Europese investeerders; benadrukt dat aantrekkelijker voorwaarden moeten worden gecreëerd voor investeringen binnen de Unie; benadrukt dat toegang tot financiering gebaseerd moet zijn op criteria van economische efficiëntie, winstgevendheid en schaalbaarheid, ongeacht de herkomst van het kapitaal, en herinnert eraan dat open en wereldwijde concurrentie om het aantrekken van investeringen bedrijven en innovatie ten goede komt; wijst in dit verband op de </w:t>
      </w:r>
      <w:r w:rsidRPr="002E535A">
        <w:lastRenderedPageBreak/>
        <w:t>recente vaststelling van de EU-wetgeving inzake beursnotering</w:t>
      </w:r>
      <w:r w:rsidRPr="002E535A">
        <w:rPr>
          <w:rStyle w:val="FootnoteReference"/>
        </w:rPr>
        <w:footnoteReference w:id="4"/>
      </w:r>
      <w:r w:rsidRPr="002E535A">
        <w:t>, die het voor bedrijven van elke omvang, met inbegrip van kmo’s, eenvoudiger maakt om genoteerd te worden op een Europese beurs;</w:t>
      </w:r>
    </w:p>
    <w:p w14:paraId="54C0ED7D" w14:textId="77777777" w:rsidR="00EA66F3" w:rsidRPr="002E535A" w:rsidRDefault="00EA66F3" w:rsidP="00EA66F3">
      <w:pPr>
        <w:pStyle w:val="NormalHanging12a"/>
      </w:pPr>
      <w:r w:rsidRPr="002E535A">
        <w:t>6.</w:t>
      </w:r>
      <w:r w:rsidRPr="002E535A">
        <w:tab/>
        <w:t xml:space="preserve">neemt kennis van de publicatie door de Commissie van de Europese strategie voor </w:t>
      </w:r>
      <w:proofErr w:type="spellStart"/>
      <w:r w:rsidRPr="002E535A">
        <w:t>start-ups</w:t>
      </w:r>
      <w:proofErr w:type="spellEnd"/>
      <w:r w:rsidRPr="002E535A">
        <w:t xml:space="preserve"> en </w:t>
      </w:r>
      <w:proofErr w:type="spellStart"/>
      <w:r w:rsidRPr="002E535A">
        <w:t>scale</w:t>
      </w:r>
      <w:proofErr w:type="spellEnd"/>
      <w:r w:rsidRPr="002E535A">
        <w:t xml:space="preserve">-ups, die innovatie moet bevorderen en de uitdagingen moet aanpakken waarmee individuele </w:t>
      </w:r>
      <w:proofErr w:type="spellStart"/>
      <w:r w:rsidRPr="002E535A">
        <w:t>innovatoren</w:t>
      </w:r>
      <w:proofErr w:type="spellEnd"/>
      <w:r w:rsidRPr="002E535A">
        <w:t xml:space="preserve">, oprichters, </w:t>
      </w:r>
      <w:proofErr w:type="spellStart"/>
      <w:r w:rsidRPr="002E535A">
        <w:t>start-ups</w:t>
      </w:r>
      <w:proofErr w:type="spellEnd"/>
      <w:r w:rsidRPr="002E535A">
        <w:t xml:space="preserve"> en </w:t>
      </w:r>
      <w:proofErr w:type="spellStart"/>
      <w:r w:rsidRPr="002E535A">
        <w:t>scale</w:t>
      </w:r>
      <w:proofErr w:type="spellEnd"/>
      <w:r w:rsidRPr="002E535A">
        <w:t>-ups in de EU worden geconfronteerd; benadrukt dat, hoewel de diagnose in de strategie deels correct is, de voorgestelde maatregelen ambitieuzer moeten zijn, met de nadruk op het intrekken van alle Europese regelgeving die onnodige bureaucratische belemmeringen opwerpt voor de oprichting en uitbreiding van bedrijven; verzoekt de Commissie landbouw op te nemen in de in de strategie vastgestelde prioritaire sectoren;</w:t>
      </w:r>
    </w:p>
    <w:p w14:paraId="0863BCA4" w14:textId="77777777" w:rsidR="00EA66F3" w:rsidRPr="002E535A" w:rsidRDefault="00EA66F3" w:rsidP="00EA66F3">
      <w:pPr>
        <w:pStyle w:val="NormalHanging12a"/>
      </w:pPr>
      <w:r w:rsidRPr="002E535A">
        <w:t>7.</w:t>
      </w:r>
      <w:r w:rsidRPr="002E535A">
        <w:tab/>
        <w:t xml:space="preserve">is van mening dat het vergemakkelijken van de toegang tot financiering voor kmo’s en </w:t>
      </w:r>
      <w:proofErr w:type="spellStart"/>
      <w:r w:rsidRPr="002E535A">
        <w:t>scale</w:t>
      </w:r>
      <w:proofErr w:type="spellEnd"/>
      <w:r w:rsidRPr="002E535A">
        <w:t xml:space="preserve">-ups zal afhangen van i) een aanzienlijke en continue vermindering van de bureaucratische en regeldruk, zoals langdurige vergunningsprocedures, kostbare rapportage, en de complexiteit en onvoorspelbaarheid van de regelgevingsomgeving, ii) een grotere capaciteit om particuliere investeringen en particulier spaargeld aan te trekken, iii) het dichten van de financieringskloof voor </w:t>
      </w:r>
      <w:proofErr w:type="spellStart"/>
      <w:r w:rsidRPr="002E535A">
        <w:t>scale</w:t>
      </w:r>
      <w:proofErr w:type="spellEnd"/>
      <w:r w:rsidRPr="002E535A">
        <w:t>-ups, en iv) het versterken van een concurrerend ecosysteem van kapitaalmarkten binnen de EU; benadrukt dat het einddoel van de Commissie daartoe de voltooiing moet zijn van een spaar- en investeringsunie, met eerbiediging van de bevoegdheden van de lidstaten en het subsidiariteitsbeginsel;</w:t>
      </w:r>
    </w:p>
    <w:p w14:paraId="75488617" w14:textId="77777777" w:rsidR="00EA66F3" w:rsidRPr="002E535A" w:rsidRDefault="00EA66F3" w:rsidP="00EA66F3">
      <w:pPr>
        <w:pStyle w:val="Normal12a24b"/>
        <w:widowControl/>
      </w:pPr>
      <w:r w:rsidRPr="002E535A">
        <w:rPr>
          <w:rStyle w:val="BoldItalic"/>
        </w:rPr>
        <w:t>Vermindering van bureaucratische en regeldruk</w:t>
      </w:r>
    </w:p>
    <w:p w14:paraId="7A4D0821" w14:textId="77777777" w:rsidR="00EA66F3" w:rsidRPr="002E535A" w:rsidRDefault="00EA66F3" w:rsidP="00EA66F3">
      <w:pPr>
        <w:pStyle w:val="NormalHanging12a"/>
      </w:pPr>
      <w:r w:rsidRPr="002E535A">
        <w:t>8.</w:t>
      </w:r>
      <w:r w:rsidRPr="002E535A">
        <w:tab/>
        <w:t xml:space="preserve">herinnert eraan dat veel veelbelovende Europese </w:t>
      </w:r>
      <w:proofErr w:type="spellStart"/>
      <w:r w:rsidRPr="002E535A">
        <w:t>start-ups</w:t>
      </w:r>
      <w:proofErr w:type="spellEnd"/>
      <w:r w:rsidRPr="002E535A">
        <w:t xml:space="preserve"> en </w:t>
      </w:r>
      <w:proofErr w:type="spellStart"/>
      <w:r w:rsidRPr="002E535A">
        <w:t>scale</w:t>
      </w:r>
      <w:proofErr w:type="spellEnd"/>
      <w:r w:rsidRPr="002E535A">
        <w:t xml:space="preserve">-ups verhuizen naar niet-EU-landen vanwege een omslachtig, traag, versnipperd en onvoorspelbaar Europees regelgevingslandschap; onderstreept dat, tenzij deze trend wordt omgebogen door een aanzienlijke vereenvoudiging, Europa voort bedrijven in hun meest strategische groeifase zal blijven verliezen, met als gevolg minder creatie van banen en een langzamere economische groei; betreurt het feit dat belasting- en regelgevingsdrempels bedrijven ontmoedigen om te groeien, door een zwaardere </w:t>
      </w:r>
      <w:r w:rsidRPr="002E535A">
        <w:lastRenderedPageBreak/>
        <w:t>behandeling op te leggen zodra bepaalde niveaus op het gebied van omvang of omzet worden overschreden;</w:t>
      </w:r>
    </w:p>
    <w:p w14:paraId="783DC9DA" w14:textId="77777777" w:rsidR="00EA66F3" w:rsidRPr="002E535A" w:rsidRDefault="00EA66F3" w:rsidP="00EA66F3">
      <w:pPr>
        <w:pStyle w:val="NormalHanging12a"/>
      </w:pPr>
      <w:r w:rsidRPr="002E535A">
        <w:t>9.</w:t>
      </w:r>
      <w:r w:rsidRPr="002E535A">
        <w:tab/>
        <w:t xml:space="preserve">dringt aan op bijkomende vereenvoudigingsinspanningen en moedigt de Commissie aan nadere voorstellen in te dienen die verder gaan dan haar omnibuspakketten, om startersvriendelijke regelgeving en kaders vast te stellen die de groei, schaalbaarheid en grensoverschrijdende activiteiten van </w:t>
      </w:r>
      <w:proofErr w:type="spellStart"/>
      <w:r w:rsidRPr="002E535A">
        <w:t>start-ups</w:t>
      </w:r>
      <w:proofErr w:type="spellEnd"/>
      <w:r w:rsidRPr="002E535A">
        <w:t xml:space="preserve"> en </w:t>
      </w:r>
      <w:proofErr w:type="spellStart"/>
      <w:r w:rsidRPr="002E535A">
        <w:t>scale</w:t>
      </w:r>
      <w:proofErr w:type="spellEnd"/>
      <w:r w:rsidRPr="002E535A">
        <w:t>-ups vergemakkelijken en tegelijkertijd consumentenbescherming, gegevensbescherming en eerlijke concurrentie waarborgen; herinnert aan de toezegging van de Commissie om door middel van een horizontale aanpak de bureaucratie op alle gebieden te verminderen, en dringt aan op een systematische doorlichting van het EU-</w:t>
      </w:r>
      <w:proofErr w:type="spellStart"/>
      <w:r w:rsidRPr="002E535A">
        <w:t>acquis</w:t>
      </w:r>
      <w:proofErr w:type="spellEnd"/>
      <w:r w:rsidRPr="002E535A">
        <w:t xml:space="preserve"> om regelgevingsbelemmeringen voor kmo’s te identificeren en weg te nemen;</w:t>
      </w:r>
    </w:p>
    <w:p w14:paraId="7575B7BD" w14:textId="77777777" w:rsidR="00EA66F3" w:rsidRPr="002E535A" w:rsidRDefault="00EA66F3" w:rsidP="00EA66F3">
      <w:pPr>
        <w:pStyle w:val="NormalHanging12a"/>
      </w:pPr>
      <w:r w:rsidRPr="002E535A">
        <w:t>10.</w:t>
      </w:r>
      <w:r w:rsidRPr="002E535A">
        <w:tab/>
        <w:t xml:space="preserve">benadrukt dat er na de goedkeuring door de Commissie van het tweede omnibuspakket gestroomlijnde processen nodig zijn voor de uitvoering van het </w:t>
      </w:r>
      <w:proofErr w:type="spellStart"/>
      <w:r w:rsidRPr="002E535A">
        <w:t>InvestEU</w:t>
      </w:r>
      <w:proofErr w:type="spellEnd"/>
      <w:r w:rsidRPr="002E535A">
        <w:t xml:space="preserve">-programma, om ervoor te zorgen dat kmo’s – met inbegrip van de kleinste onder hen – gemakkelijker toegang kunnen krijgen tot de financiële steun die zij nodig hebben om te groeien en te innoveren; benadrukt dat het belangrijk is ervoor te zorgen dat regelgevingskaders en door de EU gefinancierde instrumenten in verhouding staan tot de omvang en de administratieve capaciteit van kmo’s en dat zij op de juiste wijze aan kmo’s worden aangepast, in plaats van dat louter de voorschriften worden overgenomen die gelden voor grotere ondernemingen; </w:t>
      </w:r>
    </w:p>
    <w:p w14:paraId="4016BE21" w14:textId="77777777" w:rsidR="00EA66F3" w:rsidRPr="002E535A" w:rsidRDefault="00EA66F3" w:rsidP="00EA66F3">
      <w:pPr>
        <w:pStyle w:val="NormalHanging12a"/>
      </w:pPr>
      <w:r w:rsidRPr="002E535A">
        <w:t>11.</w:t>
      </w:r>
      <w:r w:rsidRPr="002E535A">
        <w:tab/>
        <w:t xml:space="preserve">merkt op dat het opleggen van grote aantallen regelgevingsvereisten aan banken negatieve gevolgen kan hebben voor de kredietverlening aan kmo’s; benadrukt dat het belangrijk is dubbele rapportagevereisten en meerdere meldingskanalen te vermijden, omdat dat onnodige administratieve lasten met zich meebrengt, met name voor kleinere banken; verzoekt de Commissie om, met de hulp van de Europese Bankautoriteit en het gemeenschappelijk </w:t>
      </w:r>
      <w:proofErr w:type="spellStart"/>
      <w:r w:rsidRPr="002E535A">
        <w:t>toezichtsmechanisme</w:t>
      </w:r>
      <w:proofErr w:type="spellEnd"/>
      <w:r w:rsidRPr="002E535A">
        <w:t>, de effecten van de huidige regelgeving op de kredietverlening aan kmo’s te beoordelen; onderstreept dat in de regelgeving voor banken het evenredigheidsbeginsel moet worden toegepast;</w:t>
      </w:r>
    </w:p>
    <w:p w14:paraId="4388C431" w14:textId="77777777" w:rsidR="00EA66F3" w:rsidRPr="002E535A" w:rsidRDefault="00EA66F3" w:rsidP="00EA66F3">
      <w:pPr>
        <w:pStyle w:val="NormalHanging12a"/>
      </w:pPr>
      <w:r w:rsidRPr="002E535A">
        <w:t>12.</w:t>
      </w:r>
      <w:r w:rsidRPr="002E535A">
        <w:tab/>
        <w:t>dringt er bij de Commissie op aan bestaande wettelijke verplichtingen die voor bedrijven een belasting vormen, zoals het kader voor duurzame financiering, dat slecht is afgestemd op Europese kmo’s, en andere verplichtingen in het kader van de Europese Green Deal, aan een beoordeling te onderwerpen en evenredigheidsdrempels te ontwikkelen om kmo’s vrij te stellen van buitensporige verplichtingen; is ingenomen met de voorgestelde nieuwe beoordeling van de gevolgen van regelgeving voor het concurrentievermogen van kmo’s; verzoekt de Commissie ervoor te zorgen dat normen inzake duurzaamheidsrapportage eenvoudig en vrijwillig zijn, en verzoekt haar een evaluatie uit te voeren van de openbaarmakingsvereisten voor banken in het kader van pijler 3, waarmee indirect onevenredige informatieverplichtingen kunnen worden opgelegd aan kmo-klanten;</w:t>
      </w:r>
    </w:p>
    <w:p w14:paraId="70DB5B39" w14:textId="77777777" w:rsidR="00EA66F3" w:rsidRPr="002E535A" w:rsidRDefault="00EA66F3" w:rsidP="00EA66F3">
      <w:pPr>
        <w:pStyle w:val="NormalHanging12a"/>
      </w:pPr>
      <w:r w:rsidRPr="002E535A">
        <w:t>13.</w:t>
      </w:r>
      <w:r w:rsidRPr="002E535A">
        <w:tab/>
        <w:t>benadrukt dat de “</w:t>
      </w:r>
      <w:proofErr w:type="spellStart"/>
      <w:r w:rsidRPr="002E535A">
        <w:t>one</w:t>
      </w:r>
      <w:proofErr w:type="spellEnd"/>
      <w:r w:rsidRPr="002E535A">
        <w:t xml:space="preserve"> in, </w:t>
      </w:r>
      <w:proofErr w:type="spellStart"/>
      <w:r w:rsidRPr="002E535A">
        <w:t>one</w:t>
      </w:r>
      <w:proofErr w:type="spellEnd"/>
      <w:r w:rsidRPr="002E535A">
        <w:t xml:space="preserve"> out”-benadering, die in de praktijk onvoldoende wordt toegepast, niet volstaat en verzoekt de Commissie een ambitieuzere vereenvoudigingsstrategie voor te stellen die rechtszekerheid en voorspelbaarheid biedt en die ook een herziening omvat van de wetgeving van niveau 2 en niveau 3; benadrukt dat de doelstelling van de Commissie om de verslagleggingsverplichtingen met 35 % te verminderen meetbaar moet zijn en dat de resultaten traceerbaar moeten zijn, met een </w:t>
      </w:r>
      <w:r w:rsidRPr="002E535A">
        <w:lastRenderedPageBreak/>
        <w:t>duidelijk tijdschema, kernprestatie-indicatoren en een traceringsmethode die geschikt is voor het beoogde doel;</w:t>
      </w:r>
    </w:p>
    <w:p w14:paraId="2A47883A" w14:textId="77777777" w:rsidR="00EA66F3" w:rsidRPr="002E535A" w:rsidRDefault="00EA66F3" w:rsidP="00EA66F3">
      <w:pPr>
        <w:pStyle w:val="Normal12a24b"/>
        <w:widowControl/>
      </w:pPr>
      <w:r w:rsidRPr="002E535A">
        <w:rPr>
          <w:rStyle w:val="BoldItalic"/>
        </w:rPr>
        <w:t>Ontsluiting van particulier kapitaal en spaargeld</w:t>
      </w:r>
    </w:p>
    <w:p w14:paraId="1541EFEA" w14:textId="77777777" w:rsidR="00EA66F3" w:rsidRPr="002E535A" w:rsidRDefault="00EA66F3" w:rsidP="00EA66F3">
      <w:pPr>
        <w:pStyle w:val="NormalHanging12a"/>
      </w:pPr>
      <w:r w:rsidRPr="002E535A">
        <w:t>14.</w:t>
      </w:r>
      <w:r w:rsidRPr="002E535A">
        <w:tab/>
        <w:t>merkt op dat de Commissie streeft naar de totstandbrenging van een spaar- en investeringsunie, die niet alleen maatregelen op EU-niveau moet omvatten, maar ook de ontwikkeling van instrumenten, oplossingen en optimale werkwijzen die de acties van de lidstaten op nationaal niveau eerbiedigen en ondersteunen en die grensoverschrijdende samenhang en de geleidelijke vermindering van kritieke verschillen bevorderen;</w:t>
      </w:r>
    </w:p>
    <w:p w14:paraId="1D9DAB7E" w14:textId="77777777" w:rsidR="00EA66F3" w:rsidRPr="002E535A" w:rsidRDefault="00EA66F3" w:rsidP="00EA66F3">
      <w:pPr>
        <w:pStyle w:val="NormalHanging12a"/>
      </w:pPr>
      <w:r w:rsidRPr="002E535A">
        <w:t>15.</w:t>
      </w:r>
      <w:r w:rsidRPr="002E535A">
        <w:tab/>
        <w:t xml:space="preserve">verzoekt de Commissie de toegang van beleggers tot informatie en bescherming te verbeteren en tegelijkertijd het potentieel van vereenvoudigde </w:t>
      </w:r>
      <w:proofErr w:type="spellStart"/>
      <w:r w:rsidRPr="002E535A">
        <w:t>retailproducten</w:t>
      </w:r>
      <w:proofErr w:type="spellEnd"/>
      <w:r w:rsidRPr="002E535A">
        <w:t xml:space="preserve"> te benutten, teneinde het spaargeld van gezinnen naar de kapitaalmarkten te leiden, en herinnert aan de belangrijke rol die pensioenfondsen en verzekeringsmaatschappijen hierbij spelen als facilitator; neemt kennis van de invoering van het “Finance Europe”-keurmerk, dat spaarders die dit wensen in staat moet stellen hun spaargeld te investeren in Europese bedrijven en zo rechtstreeks bij te dragen aan de financiering van de economie van de Unie; benadrukt dat dit keurmerk geen verdere administratieve lasten voor bedrijven met zich mee mag brengen;</w:t>
      </w:r>
    </w:p>
    <w:p w14:paraId="44C8BF30" w14:textId="77777777" w:rsidR="00EA66F3" w:rsidRPr="002E535A" w:rsidRDefault="00EA66F3" w:rsidP="00EA66F3">
      <w:pPr>
        <w:pStyle w:val="NormalHanging12a"/>
      </w:pPr>
      <w:r w:rsidRPr="002E535A">
        <w:t>16.</w:t>
      </w:r>
      <w:r w:rsidRPr="002E535A">
        <w:tab/>
        <w:t>betreurt dat de verordening betreffende Europese durfkapitaalfondsen (</w:t>
      </w:r>
      <w:proofErr w:type="spellStart"/>
      <w:r w:rsidRPr="002E535A">
        <w:t>EuVECA</w:t>
      </w:r>
      <w:proofErr w:type="spellEnd"/>
      <w:r w:rsidRPr="002E535A">
        <w:t>-verordening)</w:t>
      </w:r>
      <w:r w:rsidRPr="002E535A">
        <w:rPr>
          <w:rStyle w:val="FootnoteReference"/>
        </w:rPr>
        <w:footnoteReference w:id="5"/>
      </w:r>
      <w:r w:rsidRPr="002E535A">
        <w:t xml:space="preserve"> weinig positieve gevolgen heeft gehad voor de lokale durfkapitaalmarkten; is ingenomen met de nadruk op durfkapitaal voor jonge, innovatieve kmo’s in de mededeling van de Commissie over de spaar- en investeringsunie, maar betreurt het feit dat het voorstel van de Commissie inzake </w:t>
      </w:r>
      <w:proofErr w:type="spellStart"/>
      <w:r w:rsidRPr="002E535A">
        <w:t>EuVECA</w:t>
      </w:r>
      <w:proofErr w:type="spellEnd"/>
      <w:r w:rsidRPr="002E535A">
        <w:t xml:space="preserve"> is uitgesteld tot het derde kwartaal van 2026; verzoekt de Commissie te overwegen de minimale investeringsdrempel van 100 000 EUR te schrappen, om particuliere spaarders in staat te stellen in alternatieve fondsen te investeren; dringt er bij de Commissie op aan de lidstaten aan te moedigen te voorzien in aantrekkelijke en stabiele belasting- en regelgevingskaders voor durfkapitaalfondsen die investeren in kmo’s;</w:t>
      </w:r>
    </w:p>
    <w:p w14:paraId="645B7A0A" w14:textId="77777777" w:rsidR="00EA66F3" w:rsidRPr="002E535A" w:rsidRDefault="00EA66F3" w:rsidP="00EA66F3">
      <w:pPr>
        <w:pStyle w:val="NormalHanging12a"/>
      </w:pPr>
      <w:r w:rsidRPr="002E535A">
        <w:t>17.</w:t>
      </w:r>
      <w:r w:rsidRPr="002E535A">
        <w:tab/>
        <w:t xml:space="preserve">benadrukt met klem dat de financiële geletterdheid van de EU-burgers en -ondernemers moet worden verbeterd en dat betere spaar- en investeringsvoorwaarden moeten worden bevorderd, om het mogelijk te maken op geïnformeerde en onafhankelijke wijze om te schakelen van sparen naar investeren; verzoekt de Commissie ondernemerschap op te nemen in het toepassingsgebied van de komende strategie voor financiële geletterdheid en in een </w:t>
      </w:r>
      <w:proofErr w:type="spellStart"/>
      <w:r w:rsidRPr="002E535A">
        <w:t>toolkit</w:t>
      </w:r>
      <w:proofErr w:type="spellEnd"/>
      <w:r w:rsidRPr="002E535A">
        <w:t xml:space="preserve"> voor de lidstaten, met het oog op een betere coördinatie op dit gebied;</w:t>
      </w:r>
    </w:p>
    <w:p w14:paraId="2465B72A" w14:textId="77777777" w:rsidR="00EA66F3" w:rsidRPr="002E535A" w:rsidRDefault="00EA66F3" w:rsidP="00EA66F3">
      <w:pPr>
        <w:pStyle w:val="NormalHanging12a"/>
      </w:pPr>
      <w:r w:rsidRPr="002E535A">
        <w:t>18.</w:t>
      </w:r>
      <w:r w:rsidRPr="002E535A">
        <w:tab/>
        <w:t xml:space="preserve">dringt erop aan dat overheidsfinanciering niet wordt gebruikt als subsidie, maar als katalysator om particuliere investeringen aan te trekken en meer particuliere financiering beschikbaar te stellen voor </w:t>
      </w:r>
      <w:proofErr w:type="spellStart"/>
      <w:r w:rsidRPr="002E535A">
        <w:t>mkmo’s</w:t>
      </w:r>
      <w:proofErr w:type="spellEnd"/>
      <w:r w:rsidRPr="002E535A">
        <w:t xml:space="preserve">; </w:t>
      </w:r>
      <w:bookmarkStart w:id="8" w:name="_Hlk210313322"/>
      <w:r w:rsidRPr="002E535A">
        <w:t xml:space="preserve">herinnert eraan dat het merendeel van deze investeringen particuliere investeringen moeten zijn en onderstreept dat dit moet worden gestimuleerd door aantrekkelijke en stabiele belasting- en regelgevingskaders die interessant zijn voor zowel professionele als </w:t>
      </w:r>
      <w:proofErr w:type="spellStart"/>
      <w:r w:rsidRPr="002E535A">
        <w:t>retailbeleggers</w:t>
      </w:r>
      <w:proofErr w:type="spellEnd"/>
      <w:r w:rsidRPr="002E535A">
        <w:t xml:space="preserve">; herinnert aan de </w:t>
      </w:r>
      <w:r w:rsidRPr="002E535A">
        <w:lastRenderedPageBreak/>
        <w:t>huidige structurele voorkeur voor leningen en acht het noodzakelijk een debat op gang te brengen over de noodzaak van fiscale prikkels voor eigen vermogen, alsook durfkapitaal aan te moedigen als onderdeel van het bedrijfsmodel van traditioneel bankieren zonder de financiële stabiliteit in gevaar te brengen</w:t>
      </w:r>
      <w:bookmarkEnd w:id="8"/>
      <w:r w:rsidRPr="002E535A">
        <w:t>;</w:t>
      </w:r>
    </w:p>
    <w:p w14:paraId="6D307E74" w14:textId="77777777" w:rsidR="00EA66F3" w:rsidRPr="002E535A" w:rsidRDefault="00EA66F3" w:rsidP="00EA66F3">
      <w:pPr>
        <w:pStyle w:val="NormalHanging12a"/>
      </w:pPr>
      <w:r w:rsidRPr="002E535A">
        <w:t>19.</w:t>
      </w:r>
      <w:r w:rsidRPr="002E535A">
        <w:tab/>
        <w:t xml:space="preserve">benadrukt dat de publieke sector een sleutelrol kan spelen bij het aantrekken van particulier kapitaal, met name in sectoren met asymmetrie in de informatieverstrekking of regio’s met onderontwikkelde financiële markten; dringt erop aan dat overheidsinstrumenten worden ontworpen op efficiënte wijze, met mededingingsneutraliteit en met focus op de impact, zodat het </w:t>
      </w:r>
      <w:proofErr w:type="spellStart"/>
      <w:r w:rsidRPr="002E535A">
        <w:t>crowding</w:t>
      </w:r>
      <w:proofErr w:type="spellEnd"/>
      <w:r w:rsidRPr="002E535A">
        <w:t xml:space="preserve"> in-effect op particuliere investeringen wordt gemaximaliseerd; benadrukt in dit verband dat het potentieel van de EIB-groep (Europese Investeringsbank) volledig moet worden benut om particuliere investeringen aan te trekken, en dat zij meer middelen moet uittrekken voor innovatieprojecten van kmo’s, </w:t>
      </w:r>
      <w:proofErr w:type="spellStart"/>
      <w:r w:rsidRPr="002E535A">
        <w:t>start-ups</w:t>
      </w:r>
      <w:proofErr w:type="spellEnd"/>
      <w:r w:rsidRPr="002E535A">
        <w:t xml:space="preserve"> en </w:t>
      </w:r>
      <w:proofErr w:type="spellStart"/>
      <w:r w:rsidRPr="002E535A">
        <w:t>scale</w:t>
      </w:r>
      <w:proofErr w:type="spellEnd"/>
      <w:r w:rsidRPr="002E535A">
        <w:t>-ups; wijst voorts op de rol van het Fonds voor regionale ontwikkeling, met name in regio’s met een beperkte beschikbaarheid van kredieten en gezien het feit dat de kosten van leningen binnen de EU uiteenlopen, wat nadelig is voor kmo’s in sommige lidstaten;</w:t>
      </w:r>
    </w:p>
    <w:p w14:paraId="78700AD1" w14:textId="77777777" w:rsidR="00EA66F3" w:rsidRPr="002E535A" w:rsidRDefault="00EA66F3" w:rsidP="00EA66F3">
      <w:pPr>
        <w:pStyle w:val="NormalHanging12a"/>
      </w:pPr>
      <w:r w:rsidRPr="002E535A">
        <w:t>20.</w:t>
      </w:r>
      <w:r w:rsidRPr="002E535A">
        <w:tab/>
        <w:t xml:space="preserve">neemt kennis van de publicatie van de evaluatie van het </w:t>
      </w:r>
      <w:proofErr w:type="spellStart"/>
      <w:r w:rsidRPr="002E535A">
        <w:t>securitisatiekader</w:t>
      </w:r>
      <w:proofErr w:type="spellEnd"/>
      <w:r w:rsidRPr="002E535A">
        <w:t xml:space="preserve"> en verzoekt de Commissie dit flexibeler te maken, zodat kredietinstellingen meer financiering kunnen verstrekken aan bedrijven, met inbegrip van kmo’s, en hun groei kunnen ondersteunen zonder dat de transparantie en de kredietkwaliteit worden aangetast; benadrukt in dit verband dat de degelijkheid van het raamwerk voor significante risico-overdracht moet worden verbeterd door de invoering van een grotere risicogevoeligheid en een verbetering van het toezicht, wat zou bijdragen tot vereenvoudiging;</w:t>
      </w:r>
    </w:p>
    <w:p w14:paraId="7D5BFCAB" w14:textId="77777777" w:rsidR="00EA66F3" w:rsidRPr="002E535A" w:rsidRDefault="00EA66F3" w:rsidP="00EA66F3">
      <w:pPr>
        <w:pStyle w:val="NormalHanging12a"/>
      </w:pPr>
      <w:r w:rsidRPr="002E535A">
        <w:t>21.</w:t>
      </w:r>
      <w:r w:rsidRPr="002E535A">
        <w:tab/>
        <w:t>neemt kennis van het plan van de Commissie om een blauwdruk voor een EU-beleggingsrekening te ontwikkelen, die het volgende moet omvatten: i) een vereenvoudigde procedure voor belastingaangifte, ii) begeleidende fiscale stimuleringsmaatregelen en iii) het ontbreken van geografische beperkingen voor beleggingen en beperkingen wat sector, stortingslimieten of minimale aanhoudingsperioden betreft;</w:t>
      </w:r>
    </w:p>
    <w:p w14:paraId="4CF918FE" w14:textId="77777777" w:rsidR="00EA66F3" w:rsidRPr="002E535A" w:rsidRDefault="00EA66F3" w:rsidP="00EA66F3">
      <w:pPr>
        <w:pStyle w:val="NormalHanging12a"/>
      </w:pPr>
      <w:r w:rsidRPr="002E535A">
        <w:t>22.</w:t>
      </w:r>
      <w:r w:rsidRPr="002E535A">
        <w:tab/>
        <w:t>erkent dat de particuliere sector een centrale rol speelt in de economische groei en de welvaart van de EU; benadrukt dat vorderingen in de richting van de integratie van kapitaalmarkten gebaseerd moeten zijn op de beginselen van economische vrijheid, concurrentie en rechtszekerheid;</w:t>
      </w:r>
    </w:p>
    <w:p w14:paraId="0B409F45" w14:textId="77777777" w:rsidR="00EA66F3" w:rsidRPr="002E535A" w:rsidRDefault="00EA66F3" w:rsidP="00EA66F3">
      <w:pPr>
        <w:pStyle w:val="NormalHanging12a"/>
      </w:pPr>
      <w:r w:rsidRPr="002E535A">
        <w:t>23.</w:t>
      </w:r>
      <w:r w:rsidRPr="002E535A">
        <w:tab/>
        <w:t xml:space="preserve">benadrukt dat een Europese marktplaats voor directe secundaire transacties, die handel mogelijk zou maken in aandelen van </w:t>
      </w:r>
      <w:proofErr w:type="spellStart"/>
      <w:r w:rsidRPr="002E535A">
        <w:t>start-ups</w:t>
      </w:r>
      <w:proofErr w:type="spellEnd"/>
      <w:r w:rsidRPr="002E535A">
        <w:t xml:space="preserve"> die zich in de laatste fase bevinden en voor een beursintroductie staan, het financieringsecosysteem van de Unie zou verbeteren, mits gezorgd wordt voor een gelijk speelveld tussen de lidstaten, voorkomen wordt dat de financiële activiteit geconcentreerd wordt in slechts enkele rechtsgebieden en de nationale bevoegdheden volledig worden geëerbiedigd;</w:t>
      </w:r>
    </w:p>
    <w:p w14:paraId="492AC91F" w14:textId="77777777" w:rsidR="00EA66F3" w:rsidRPr="002E535A" w:rsidRDefault="00EA66F3" w:rsidP="00EA66F3">
      <w:pPr>
        <w:pStyle w:val="NormalHanging12a"/>
      </w:pPr>
      <w:r w:rsidRPr="002E535A">
        <w:lastRenderedPageBreak/>
        <w:t>24.</w:t>
      </w:r>
      <w:r w:rsidRPr="002E535A">
        <w:tab/>
        <w:t>merkt op dat de herschikking van de richtlijn markten voor financiële instrumenten</w:t>
      </w:r>
      <w:r w:rsidRPr="002E535A">
        <w:rPr>
          <w:rStyle w:val="FootnoteReference"/>
        </w:rPr>
        <w:footnoteReference w:id="6"/>
      </w:r>
      <w:r w:rsidRPr="002E535A">
        <w:t xml:space="preserve"> (</w:t>
      </w:r>
      <w:proofErr w:type="spellStart"/>
      <w:r w:rsidRPr="002E535A">
        <w:t>MiFID</w:t>
      </w:r>
      <w:proofErr w:type="spellEnd"/>
      <w:r w:rsidRPr="002E535A">
        <w:t xml:space="preserve"> II) voorziet in een specifieke categorie kmo-groeimarkten die geacht worden tegemoet te komen aan de specifieke behoeften van kleinere ondernemingen; verzoekt de Commissie dit instrument verder te ontwikkelen door te voorzien in een flexibeler regelgevingskader dat aansluit bij de behoeften van kleine en </w:t>
      </w:r>
      <w:proofErr w:type="spellStart"/>
      <w:r w:rsidRPr="002E535A">
        <w:t>midcap</w:t>
      </w:r>
      <w:proofErr w:type="spellEnd"/>
      <w:r w:rsidRPr="002E535A">
        <w:t>-ondernemingen;</w:t>
      </w:r>
    </w:p>
    <w:p w14:paraId="097286CD" w14:textId="77777777" w:rsidR="00EA66F3" w:rsidRPr="002E535A" w:rsidRDefault="00EA66F3" w:rsidP="00EA66F3">
      <w:pPr>
        <w:pStyle w:val="Normal12a24b"/>
        <w:widowControl/>
      </w:pPr>
      <w:r w:rsidRPr="002E535A">
        <w:rPr>
          <w:rStyle w:val="BoldItalic"/>
        </w:rPr>
        <w:t xml:space="preserve">Overbrugging van de financieringskloof voor </w:t>
      </w:r>
      <w:proofErr w:type="spellStart"/>
      <w:r w:rsidRPr="002E535A">
        <w:rPr>
          <w:rStyle w:val="BoldItalic"/>
        </w:rPr>
        <w:t>scale</w:t>
      </w:r>
      <w:proofErr w:type="spellEnd"/>
      <w:r w:rsidRPr="002E535A">
        <w:rPr>
          <w:rStyle w:val="BoldItalic"/>
        </w:rPr>
        <w:t>-ups</w:t>
      </w:r>
    </w:p>
    <w:p w14:paraId="09AA2677" w14:textId="77777777" w:rsidR="00EA66F3" w:rsidRPr="002E535A" w:rsidRDefault="00EA66F3" w:rsidP="00EA66F3">
      <w:pPr>
        <w:pStyle w:val="NormalHanging12a"/>
      </w:pPr>
      <w:r w:rsidRPr="002E535A">
        <w:t>25.</w:t>
      </w:r>
      <w:r w:rsidRPr="002E535A">
        <w:tab/>
        <w:t xml:space="preserve">betreurt het feit dat veel Europese bedrijven, door het gebrek aan aantrekkelijke financieringsopties voor </w:t>
      </w:r>
      <w:proofErr w:type="spellStart"/>
      <w:r w:rsidRPr="002E535A">
        <w:t>scale</w:t>
      </w:r>
      <w:proofErr w:type="spellEnd"/>
      <w:r w:rsidRPr="002E535A">
        <w:t>-ups in onze markt en aan een concurrerende regelgevingsomgeving, voor de opschaling van hun activiteiten uiteindelijk een beroep doen op durfkapitalisten die gevestigd zijn in niet-EU-landen, en zich vestigen op markten buiten de EU; uit zijn bezorgdheid over het toenemende aantal faillissementen van kmo’s in de EU</w:t>
      </w:r>
      <w:r w:rsidRPr="002E535A">
        <w:rPr>
          <w:rStyle w:val="FootnoteReference"/>
        </w:rPr>
        <w:footnoteReference w:id="7"/>
      </w:r>
      <w:r w:rsidRPr="002E535A">
        <w:t xml:space="preserve">; beschouwt het als een prioriteit om de onderliggende oorzaken aan te pakken, zoals het gebrek aan </w:t>
      </w:r>
      <w:proofErr w:type="spellStart"/>
      <w:r w:rsidRPr="002E535A">
        <w:t>langetermijnkapitaal</w:t>
      </w:r>
      <w:proofErr w:type="spellEnd"/>
      <w:r w:rsidRPr="002E535A">
        <w:t>, belastingdruk bij schaalvergroting en onevenredige administratieve lasten;</w:t>
      </w:r>
    </w:p>
    <w:p w14:paraId="5F925B5A" w14:textId="77777777" w:rsidR="00EA66F3" w:rsidRPr="002E535A" w:rsidRDefault="00EA66F3" w:rsidP="00EA66F3">
      <w:pPr>
        <w:pStyle w:val="NormalHanging12a"/>
      </w:pPr>
      <w:r w:rsidRPr="002E535A">
        <w:t>26.</w:t>
      </w:r>
      <w:r w:rsidRPr="002E535A">
        <w:tab/>
        <w:t xml:space="preserve">begrijpt dat het mobiliseren van Europese institutionele beleggers, met name verzekeringsmaatschappijen, banken en pensioenfondsen, van cruciaal belang is om de opschalingskloof te verkleinen; merkt op dat een verhoging van het aandeel durfkapitaalfondsen in Europa nodig is om meer financiering te verstrekken aan </w:t>
      </w:r>
      <w:proofErr w:type="spellStart"/>
      <w:r w:rsidRPr="002E535A">
        <w:t>scale</w:t>
      </w:r>
      <w:proofErr w:type="spellEnd"/>
      <w:r w:rsidRPr="002E535A">
        <w:t xml:space="preserve">-ups, waarvoor een gunstiger kader voor durfkapitaalfinanciering en veilige buitenlandse directe investeringen in de EU nodig is; verzoekt de Commissie de lidstaten met onderontwikkelde pensioenstelsels aan te moedigen tot het ontwikkelen van sectoren voor aanvullend pensioen (pijler 2), die kunnen bijdragen aan het opbouwen van durfkapitaalmarkten, en een regelgevingskader te creëren dat investeringen in aandelen door institutionele beleggers bevordert; herinnert aan de toezegging van de Commissie om te werken aan </w:t>
      </w:r>
      <w:proofErr w:type="spellStart"/>
      <w:r w:rsidRPr="002E535A">
        <w:t>risicoabsorberende</w:t>
      </w:r>
      <w:proofErr w:type="spellEnd"/>
      <w:r w:rsidRPr="002E535A">
        <w:t xml:space="preserve"> maatregelen om particuliere financiering van commerciële banken, investeerders en durfkapitaal aan te trekken;</w:t>
      </w:r>
    </w:p>
    <w:p w14:paraId="0CC76769" w14:textId="77777777" w:rsidR="00EA66F3" w:rsidRPr="002E535A" w:rsidRDefault="00EA66F3" w:rsidP="00EA66F3">
      <w:pPr>
        <w:pStyle w:val="NormalHanging12a"/>
      </w:pPr>
      <w:r w:rsidRPr="002E535A">
        <w:t>27.</w:t>
      </w:r>
      <w:r w:rsidRPr="002E535A">
        <w:tab/>
        <w:t>moedigt de Commissie aan platforms voor co-investering te versterken, met inbegrip van regionaal verankerde constructies en netwerken van business angels, teneinde particulier kapitaal aan te trekken en de aanhoudende tekorten wat financiering in het vroege stadium voor snelgroeiende, door innovatie gedreven kmo’s betreft te remediëren; dringt erop aan dat het komende European Tech-</w:t>
      </w:r>
      <w:proofErr w:type="spellStart"/>
      <w:r w:rsidRPr="002E535A">
        <w:t>Champions</w:t>
      </w:r>
      <w:proofErr w:type="spellEnd"/>
      <w:r w:rsidRPr="002E535A">
        <w:t xml:space="preserve"> </w:t>
      </w:r>
      <w:proofErr w:type="spellStart"/>
      <w:r w:rsidRPr="002E535A">
        <w:t>Initiative</w:t>
      </w:r>
      <w:proofErr w:type="spellEnd"/>
      <w:r w:rsidRPr="002E535A">
        <w:t xml:space="preserve"> 2.0 naar behoren wordt gekapitaliseerd en dat er specifieke EU-financieringsregelingen worden opgezet ter ondersteuning van de fondsenwerving en het opstellen van lijsten van technologische </w:t>
      </w:r>
      <w:proofErr w:type="spellStart"/>
      <w:r w:rsidRPr="002E535A">
        <w:t>start-ups</w:t>
      </w:r>
      <w:proofErr w:type="spellEnd"/>
      <w:r w:rsidRPr="002E535A">
        <w:t xml:space="preserve"> en </w:t>
      </w:r>
      <w:proofErr w:type="spellStart"/>
      <w:r w:rsidRPr="002E535A">
        <w:t>scale</w:t>
      </w:r>
      <w:proofErr w:type="spellEnd"/>
      <w:r w:rsidRPr="002E535A">
        <w:t xml:space="preserve">-ups; onderstreept het mandaat van de EIB-groep om kmo’s te steunen en dringt er bij de EIB-groep op aan een flexibeler kader voor risicobeoordeling vast te stellen en ervoor te zorgen dat het nieuwe </w:t>
      </w:r>
      <w:proofErr w:type="spellStart"/>
      <w:r w:rsidRPr="002E535A">
        <w:t>TechEU</w:t>
      </w:r>
      <w:proofErr w:type="spellEnd"/>
      <w:r w:rsidRPr="002E535A">
        <w:t xml:space="preserve">-platform in </w:t>
      </w:r>
      <w:r w:rsidRPr="002E535A">
        <w:lastRenderedPageBreak/>
        <w:t>alle lidstaten ruim toegankelijk is door middel van gestroomlijnde procedures; is het eens met de stelling in de mededeling over de spaar- en investeringsunie dat overheidsfinanciën op EU-niveau belangrijk zijn en pleit daarom voor een heroriëntering van de EU-middelen naar minder, flexibelere programma’s die middelen mettertijd tussen prioriteiten kunnen verschuiven;</w:t>
      </w:r>
    </w:p>
    <w:p w14:paraId="58D6E735" w14:textId="77777777" w:rsidR="00EA66F3" w:rsidRPr="002E535A" w:rsidRDefault="00EA66F3" w:rsidP="00EA66F3">
      <w:pPr>
        <w:pStyle w:val="NormalHanging12a"/>
      </w:pPr>
      <w:r w:rsidRPr="002E535A">
        <w:t>28.</w:t>
      </w:r>
      <w:r w:rsidRPr="002E535A">
        <w:tab/>
        <w:t xml:space="preserve">benadrukt dat het belangrijk is de juiste omstandigheden te creëren om het spaargeld van burgers naar investeringen te leiden in productieve beleggingsinstrumenten die ten goede kunnen komen aan kmo’s en </w:t>
      </w:r>
      <w:proofErr w:type="spellStart"/>
      <w:r w:rsidRPr="002E535A">
        <w:t>scale</w:t>
      </w:r>
      <w:proofErr w:type="spellEnd"/>
      <w:r w:rsidRPr="002E535A">
        <w:t xml:space="preserve">-ups; moedigt de Commissie aan negatieve regelgevingsprikkels weg te nemen en ervoor te zorgen dat </w:t>
      </w:r>
      <w:proofErr w:type="spellStart"/>
      <w:r w:rsidRPr="002E535A">
        <w:t>retailbeleggers</w:t>
      </w:r>
      <w:proofErr w:type="spellEnd"/>
      <w:r w:rsidRPr="002E535A">
        <w:t xml:space="preserve"> adequaat worden beschermd wanneer zij beleggingsbeslissingen nemen; erkent dat </w:t>
      </w:r>
      <w:proofErr w:type="spellStart"/>
      <w:r w:rsidRPr="002E535A">
        <w:t>crowdfunding</w:t>
      </w:r>
      <w:proofErr w:type="spellEnd"/>
      <w:r w:rsidRPr="002E535A">
        <w:t xml:space="preserve"> en technologieën zoals slimme contracten en gedecentraliseerde financiering de toegang van kmo’s tot directe financiering kunnen verruimen, en dringt er bij de Commissie op aan haar regelgevingskader te herzien met een op innovatie gerichte, evenredige risicobenadering;</w:t>
      </w:r>
    </w:p>
    <w:p w14:paraId="4770C1B5" w14:textId="77777777" w:rsidR="00EA66F3" w:rsidRPr="002E535A" w:rsidRDefault="00EA66F3" w:rsidP="00EA66F3">
      <w:pPr>
        <w:pStyle w:val="NormalHanging12a"/>
      </w:pPr>
      <w:r w:rsidRPr="002E535A">
        <w:t>29.</w:t>
      </w:r>
      <w:r w:rsidRPr="002E535A">
        <w:tab/>
        <w:t xml:space="preserve">benadrukt het feit dat een meer geïntegreerd innovatie-ecosysteem, met netwerken van universiteiten, </w:t>
      </w:r>
      <w:proofErr w:type="spellStart"/>
      <w:r w:rsidRPr="002E535A">
        <w:t>start-ups</w:t>
      </w:r>
      <w:proofErr w:type="spellEnd"/>
      <w:r w:rsidRPr="002E535A">
        <w:t xml:space="preserve">, grote ondernemingen en durfkapitalisten, ondersteund door toegang tot testvoorzieningen en technologische infrastructuur, van groot belang is om bedrijven te helpen opschalen; wijst op de positieve rol die ondernemersfora, particuliere accelerators en mentornetwerken kunnen spelen bij het ondersteunen van de groei van </w:t>
      </w:r>
      <w:proofErr w:type="spellStart"/>
      <w:r w:rsidRPr="002E535A">
        <w:t>start-ups</w:t>
      </w:r>
      <w:proofErr w:type="spellEnd"/>
      <w:r w:rsidRPr="002E535A">
        <w:t>, en verzoekt de Commissie en de lidstaten voort te bouwen op initiatieven zoals het netwerk van betrouwbare investeerders, dat tot doel heeft particulier kapitaal aan te trekken ter ondersteuning van de innovatieambities van Europa;</w:t>
      </w:r>
    </w:p>
    <w:p w14:paraId="4BC41458" w14:textId="77777777" w:rsidR="00EA66F3" w:rsidRPr="002E535A" w:rsidRDefault="00EA66F3" w:rsidP="00EA66F3">
      <w:pPr>
        <w:pStyle w:val="Normal12a24b"/>
        <w:widowControl/>
      </w:pPr>
      <w:r w:rsidRPr="002E535A">
        <w:rPr>
          <w:rStyle w:val="BoldItalic"/>
        </w:rPr>
        <w:t>Versterking van een concurrerend ecosysteem in de EU</w:t>
      </w:r>
    </w:p>
    <w:p w14:paraId="3C4D5AC5" w14:textId="77777777" w:rsidR="00EA66F3" w:rsidRPr="002E535A" w:rsidRDefault="00EA66F3" w:rsidP="00EA66F3">
      <w:pPr>
        <w:pStyle w:val="NormalHanging12a"/>
      </w:pPr>
      <w:r w:rsidRPr="002E535A">
        <w:t>30.</w:t>
      </w:r>
      <w:r w:rsidRPr="002E535A">
        <w:tab/>
        <w:t xml:space="preserve">is van mening dat een concurrerend ecosysteem in de EU moet bestaan uit zowel sterke nationale markten als een sterke interne markt, en dat gezonde mededinging tussen de lidstaten, met name wat de aanpak van de economie en de aanpak op het gebied van regelgeving betreft, hen ertoe aanzet hun economieën dynamisch en aantrekkelijk te houden, maar herinnert eraan dat de lidstaten geen belemmeringen mogen opwerpen voor een efficiënte grensoverschrijdende toewijzing van kapitaal, noch prioriteiten mogen stellen louter op basis van de geografische oorsprong van financiering; </w:t>
      </w:r>
      <w:bookmarkStart w:id="9" w:name="_Hlk210313711"/>
      <w:r w:rsidRPr="002E535A">
        <w:t>dringt erop aan dat de initiatieven van de Commissie de beste praktijken die in de lidstaten al succesvol zijn gebleken, eerbiedigen en daarop voortbouwen;</w:t>
      </w:r>
    </w:p>
    <w:bookmarkEnd w:id="9"/>
    <w:p w14:paraId="7EA0197F" w14:textId="77777777" w:rsidR="00EA66F3" w:rsidRPr="002E535A" w:rsidRDefault="00EA66F3" w:rsidP="00EA66F3">
      <w:pPr>
        <w:pStyle w:val="NormalHanging12a"/>
      </w:pPr>
      <w:r w:rsidRPr="002E535A">
        <w:t>31.</w:t>
      </w:r>
      <w:r w:rsidRPr="002E535A">
        <w:tab/>
        <w:t>dringt er bij de Commissie op aan te focussen op randvoorwaarden voor markten, relevante gemeenschappelijke noemers voor de lidstaten en vrijwillige en aanvullende kaders, met als doel een geleidelijke vermindering van de versnippering van de markt;</w:t>
      </w:r>
    </w:p>
    <w:p w14:paraId="5EFF067C" w14:textId="77777777" w:rsidR="00EA66F3" w:rsidRPr="002E535A" w:rsidRDefault="00EA66F3" w:rsidP="00EA66F3">
      <w:pPr>
        <w:pStyle w:val="NormalHanging12a"/>
      </w:pPr>
      <w:r w:rsidRPr="002E535A">
        <w:t>32.</w:t>
      </w:r>
      <w:r w:rsidRPr="002E535A">
        <w:tab/>
        <w:t xml:space="preserve">verzoekt de Commissie te verduidelijken waaruit het 28e regime zou bestaan en herinnert eraan dat dit regime, als het zou worden ingevoerd, een vrijwillig karakter moet hebben, de regelingen van de lidstaten volledig moet eerbiedigen en in nauwe samenwerking met de particuliere sector moet worden ontwikkeld, teneinde een vereenvoudigd kader te bieden dat particuliere investeerders naar Europese </w:t>
      </w:r>
      <w:proofErr w:type="spellStart"/>
      <w:r w:rsidRPr="002E535A">
        <w:t>start-ups</w:t>
      </w:r>
      <w:proofErr w:type="spellEnd"/>
      <w:r w:rsidRPr="002E535A">
        <w:t xml:space="preserve">, </w:t>
      </w:r>
      <w:proofErr w:type="spellStart"/>
      <w:r w:rsidRPr="002E535A">
        <w:t>scale</w:t>
      </w:r>
      <w:proofErr w:type="spellEnd"/>
      <w:r w:rsidRPr="002E535A">
        <w:t xml:space="preserve">-ups en kmo’s leidt en Europese </w:t>
      </w:r>
      <w:proofErr w:type="spellStart"/>
      <w:r w:rsidRPr="002E535A">
        <w:t>start-ups</w:t>
      </w:r>
      <w:proofErr w:type="spellEnd"/>
      <w:r w:rsidRPr="002E535A">
        <w:t xml:space="preserve"> helpt om mondiale technologiekampioenen te worden;</w:t>
      </w:r>
    </w:p>
    <w:p w14:paraId="78A8ABDE" w14:textId="77777777" w:rsidR="00EA66F3" w:rsidRPr="002E535A" w:rsidRDefault="00EA66F3" w:rsidP="00EA66F3">
      <w:pPr>
        <w:pStyle w:val="NormalHanging12a"/>
      </w:pPr>
      <w:r w:rsidRPr="002E535A">
        <w:lastRenderedPageBreak/>
        <w:t>33.</w:t>
      </w:r>
      <w:r w:rsidRPr="002E535A">
        <w:tab/>
        <w:t xml:space="preserve">verzoekt de Commissie om, met de steun van de autoriteiten van de lidstaten, vereenvoudigde begeleidingsinstrumenten en centrale aanspreekpunten voor kmo’s en </w:t>
      </w:r>
      <w:proofErr w:type="spellStart"/>
      <w:r w:rsidRPr="002E535A">
        <w:t>scale</w:t>
      </w:r>
      <w:proofErr w:type="spellEnd"/>
      <w:r w:rsidRPr="002E535A">
        <w:t>-ups te ontwikkelen, om hen te helpen hun weg te vinden in de verschillende wettelijke regelingen in de EU op gebieden als vennootschapsrecht, arbeidsrecht, insolventierecht, belastingrecht, intellectuele-eigendomsrechten en nationale financieringsmogelijkheden; verzoekt de Commissie voorts de instrumenten voor het toezicht op de toegang tot financiering voor kmo’s te verbeteren, met inbegrip van de ontwikkeling van indicatoren en dashboards voor de hele EU die hen kunnen helpen kansen in de lidstaten te identificeren, zonder nieuwe rapportageverplichtingen in het leven te roepen of de administratieve lasten te verhogen;</w:t>
      </w:r>
    </w:p>
    <w:p w14:paraId="79D66845" w14:textId="77777777" w:rsidR="00EA66F3" w:rsidRPr="002E535A" w:rsidRDefault="00EA66F3" w:rsidP="00EA66F3">
      <w:pPr>
        <w:pStyle w:val="NormalCenter12a"/>
        <w:widowControl/>
      </w:pPr>
      <w:r w:rsidRPr="002E535A">
        <w:t>°</w:t>
      </w:r>
    </w:p>
    <w:p w14:paraId="316B0C63" w14:textId="77777777" w:rsidR="00EA66F3" w:rsidRPr="002E535A" w:rsidRDefault="00EA66F3" w:rsidP="00EA66F3">
      <w:pPr>
        <w:pStyle w:val="NormalCenter12a"/>
        <w:widowControl/>
      </w:pPr>
      <w:r w:rsidRPr="002E535A">
        <w:t>°</w:t>
      </w:r>
      <w:r w:rsidRPr="002E535A">
        <w:tab/>
        <w:t>°</w:t>
      </w:r>
    </w:p>
    <w:p w14:paraId="72C70C67" w14:textId="26F06C70" w:rsidR="0001174A" w:rsidRPr="002E535A" w:rsidRDefault="00EA66F3" w:rsidP="0001174A">
      <w:pPr>
        <w:pStyle w:val="NormalHanging12a"/>
      </w:pPr>
      <w:r w:rsidRPr="002E535A">
        <w:t>34.</w:t>
      </w:r>
      <w:r w:rsidRPr="002E535A">
        <w:tab/>
        <w:t>verzoekt zijn Voorzitter deze resolutie te doen toekomen aan de Raad en de Commissie.</w:t>
      </w:r>
    </w:p>
    <w:p w14:paraId="41EBE988" w14:textId="61BB8249" w:rsidR="00E365E1" w:rsidRPr="002E535A" w:rsidRDefault="00E365E1" w:rsidP="009221EE"/>
    <w:sectPr w:rsidR="00E365E1" w:rsidRPr="002E535A" w:rsidSect="000117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D3F80" w14:textId="77777777" w:rsidR="009221EE" w:rsidRPr="0001174A" w:rsidRDefault="009221EE">
      <w:r w:rsidRPr="0001174A">
        <w:separator/>
      </w:r>
    </w:p>
  </w:endnote>
  <w:endnote w:type="continuationSeparator" w:id="0">
    <w:p w14:paraId="31483632" w14:textId="77777777" w:rsidR="009221EE" w:rsidRPr="0001174A" w:rsidRDefault="009221EE">
      <w:r w:rsidRPr="000117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5CA18" w14:textId="77777777" w:rsidR="00064002" w:rsidRPr="0001174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BECB" w14:textId="77777777" w:rsidR="00064002" w:rsidRPr="0001174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E6039" w14:textId="77777777" w:rsidR="00064002" w:rsidRPr="000117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8F5D2" w14:textId="77777777" w:rsidR="009221EE" w:rsidRPr="0001174A" w:rsidRDefault="009221EE">
      <w:r w:rsidRPr="0001174A">
        <w:separator/>
      </w:r>
    </w:p>
  </w:footnote>
  <w:footnote w:type="continuationSeparator" w:id="0">
    <w:p w14:paraId="59CDC012" w14:textId="77777777" w:rsidR="009221EE" w:rsidRPr="0001174A" w:rsidRDefault="009221EE">
      <w:r w:rsidRPr="0001174A">
        <w:continuationSeparator/>
      </w:r>
    </w:p>
  </w:footnote>
  <w:footnote w:id="1">
    <w:p w14:paraId="2EB936E4" w14:textId="7D23723C" w:rsidR="00EA66F3" w:rsidRPr="002E535A" w:rsidRDefault="00EA66F3" w:rsidP="0001174A">
      <w:pPr>
        <w:pStyle w:val="FootnoteText"/>
        <w:ind w:left="567" w:hanging="567"/>
        <w:rPr>
          <w:sz w:val="24"/>
          <w:lang w:val="nl-NL"/>
        </w:rPr>
      </w:pPr>
      <w:r w:rsidRPr="0001174A">
        <w:rPr>
          <w:sz w:val="24"/>
          <w:vertAlign w:val="superscript"/>
          <w:lang w:val="nl-NL"/>
        </w:rPr>
        <w:footnoteRef/>
      </w:r>
      <w:r w:rsidR="0001174A" w:rsidRPr="002E535A">
        <w:rPr>
          <w:sz w:val="24"/>
          <w:lang w:val="nl-NL"/>
        </w:rPr>
        <w:t xml:space="preserve"> </w:t>
      </w:r>
      <w:r w:rsidR="0001174A" w:rsidRPr="002E535A">
        <w:rPr>
          <w:sz w:val="24"/>
          <w:lang w:val="nl-NL"/>
        </w:rPr>
        <w:tab/>
      </w:r>
      <w:r w:rsidRPr="002E535A">
        <w:rPr>
          <w:sz w:val="24"/>
          <w:lang w:val="nl-NL"/>
        </w:rPr>
        <w:t xml:space="preserve">PB C, C/2024/4182, 2.8.2024, ELI: </w:t>
      </w:r>
      <w:hyperlink r:id="rId1" w:history="1">
        <w:r w:rsidRPr="002E535A">
          <w:rPr>
            <w:rStyle w:val="Hyperlink"/>
            <w:sz w:val="24"/>
            <w:lang w:val="nl-NL"/>
          </w:rPr>
          <w:t>http://data.europa.eu/eli/C/2024/4182/oj</w:t>
        </w:r>
      </w:hyperlink>
      <w:r w:rsidRPr="002E535A">
        <w:rPr>
          <w:sz w:val="24"/>
          <w:lang w:val="nl-NL"/>
        </w:rPr>
        <w:t>.</w:t>
      </w:r>
    </w:p>
  </w:footnote>
  <w:footnote w:id="2">
    <w:p w14:paraId="127BA7FD" w14:textId="2E7D8807" w:rsidR="00EA66F3" w:rsidRPr="002E535A" w:rsidRDefault="00EA66F3" w:rsidP="0001174A">
      <w:pPr>
        <w:pStyle w:val="FootnoteText"/>
        <w:ind w:left="567" w:hanging="567"/>
        <w:rPr>
          <w:sz w:val="24"/>
          <w:lang w:val="nl-NL"/>
        </w:rPr>
      </w:pPr>
      <w:r w:rsidRPr="0001174A">
        <w:rPr>
          <w:rStyle w:val="FootnoteReference"/>
          <w:sz w:val="24"/>
          <w:lang w:val="nl-NL"/>
        </w:rPr>
        <w:footnoteRef/>
      </w:r>
      <w:r w:rsidR="0001174A" w:rsidRPr="002E535A">
        <w:rPr>
          <w:sz w:val="24"/>
          <w:lang w:val="nl-NL"/>
        </w:rPr>
        <w:t xml:space="preserve"> </w:t>
      </w:r>
      <w:r w:rsidR="0001174A" w:rsidRPr="002E535A">
        <w:rPr>
          <w:sz w:val="24"/>
          <w:lang w:val="nl-NL"/>
        </w:rPr>
        <w:tab/>
      </w:r>
      <w:proofErr w:type="spellStart"/>
      <w:r w:rsidRPr="002E535A">
        <w:rPr>
          <w:sz w:val="24"/>
          <w:lang w:val="nl-NL"/>
        </w:rPr>
        <w:t>Katsinis</w:t>
      </w:r>
      <w:proofErr w:type="spellEnd"/>
      <w:r w:rsidRPr="002E535A">
        <w:rPr>
          <w:sz w:val="24"/>
          <w:lang w:val="nl-NL"/>
        </w:rPr>
        <w:t xml:space="preserve">, A., </w:t>
      </w:r>
      <w:proofErr w:type="spellStart"/>
      <w:r w:rsidRPr="002E535A">
        <w:rPr>
          <w:sz w:val="24"/>
          <w:lang w:val="nl-NL"/>
        </w:rPr>
        <w:t>Lagüera-González</w:t>
      </w:r>
      <w:proofErr w:type="spellEnd"/>
      <w:r w:rsidRPr="002E535A">
        <w:rPr>
          <w:sz w:val="24"/>
          <w:lang w:val="nl-NL"/>
        </w:rPr>
        <w:t xml:space="preserve">, J., Di Bella, L., </w:t>
      </w:r>
      <w:proofErr w:type="spellStart"/>
      <w:r w:rsidRPr="002E535A">
        <w:rPr>
          <w:sz w:val="24"/>
          <w:lang w:val="nl-NL"/>
        </w:rPr>
        <w:t>Odenthal</w:t>
      </w:r>
      <w:proofErr w:type="spellEnd"/>
      <w:r w:rsidRPr="002E535A">
        <w:rPr>
          <w:sz w:val="24"/>
          <w:lang w:val="nl-NL"/>
        </w:rPr>
        <w:t xml:space="preserve">, L., Hell, M., </w:t>
      </w:r>
      <w:proofErr w:type="spellStart"/>
      <w:r w:rsidRPr="002E535A">
        <w:rPr>
          <w:sz w:val="24"/>
          <w:lang w:val="nl-NL"/>
        </w:rPr>
        <w:t>Lozar</w:t>
      </w:r>
      <w:proofErr w:type="spellEnd"/>
      <w:r w:rsidRPr="002E535A">
        <w:rPr>
          <w:sz w:val="24"/>
          <w:lang w:val="nl-NL"/>
        </w:rPr>
        <w:t>, B., “</w:t>
      </w:r>
      <w:proofErr w:type="spellStart"/>
      <w:r w:rsidRPr="002E535A">
        <w:rPr>
          <w:sz w:val="24"/>
          <w:lang w:val="nl-NL"/>
        </w:rPr>
        <w:t>Annual</w:t>
      </w:r>
      <w:proofErr w:type="spellEnd"/>
      <w:r w:rsidRPr="002E535A">
        <w:rPr>
          <w:sz w:val="24"/>
          <w:lang w:val="nl-NL"/>
        </w:rPr>
        <w:t xml:space="preserve"> Report on European </w:t>
      </w:r>
      <w:proofErr w:type="spellStart"/>
      <w:r w:rsidRPr="002E535A">
        <w:rPr>
          <w:sz w:val="24"/>
          <w:lang w:val="nl-NL"/>
        </w:rPr>
        <w:t>SMEs</w:t>
      </w:r>
      <w:proofErr w:type="spellEnd"/>
      <w:r w:rsidRPr="002E535A">
        <w:rPr>
          <w:sz w:val="24"/>
          <w:lang w:val="nl-NL"/>
        </w:rPr>
        <w:t xml:space="preserve"> 2023/2024”, Bureau </w:t>
      </w:r>
      <w:proofErr w:type="spellStart"/>
      <w:r w:rsidRPr="002E535A">
        <w:rPr>
          <w:sz w:val="24"/>
          <w:lang w:val="nl-NL"/>
        </w:rPr>
        <w:t>voor</w:t>
      </w:r>
      <w:proofErr w:type="spellEnd"/>
      <w:r w:rsidRPr="002E535A">
        <w:rPr>
          <w:sz w:val="24"/>
          <w:lang w:val="nl-NL"/>
        </w:rPr>
        <w:t xml:space="preserve"> </w:t>
      </w:r>
      <w:proofErr w:type="spellStart"/>
      <w:r w:rsidRPr="002E535A">
        <w:rPr>
          <w:sz w:val="24"/>
          <w:lang w:val="nl-NL"/>
        </w:rPr>
        <w:t>publicaties</w:t>
      </w:r>
      <w:proofErr w:type="spellEnd"/>
      <w:r w:rsidRPr="002E535A">
        <w:rPr>
          <w:sz w:val="24"/>
          <w:lang w:val="nl-NL"/>
        </w:rPr>
        <w:t xml:space="preserve"> van de </w:t>
      </w:r>
      <w:proofErr w:type="spellStart"/>
      <w:r w:rsidRPr="002E535A">
        <w:rPr>
          <w:sz w:val="24"/>
          <w:lang w:val="nl-NL"/>
        </w:rPr>
        <w:t>Europese</w:t>
      </w:r>
      <w:proofErr w:type="spellEnd"/>
      <w:r w:rsidRPr="002E535A">
        <w:rPr>
          <w:sz w:val="24"/>
          <w:lang w:val="nl-NL"/>
        </w:rPr>
        <w:t xml:space="preserve"> </w:t>
      </w:r>
      <w:proofErr w:type="spellStart"/>
      <w:r w:rsidRPr="002E535A">
        <w:rPr>
          <w:sz w:val="24"/>
          <w:lang w:val="nl-NL"/>
        </w:rPr>
        <w:t>Unie</w:t>
      </w:r>
      <w:proofErr w:type="spellEnd"/>
      <w:r w:rsidRPr="002E535A">
        <w:rPr>
          <w:sz w:val="24"/>
          <w:lang w:val="nl-NL"/>
        </w:rPr>
        <w:t>, 2024,</w:t>
      </w:r>
      <w:r w:rsidRPr="002E535A">
        <w:rPr>
          <w:color w:val="0000FF"/>
          <w:sz w:val="24"/>
          <w:u w:val="single"/>
          <w:lang w:val="nl-NL"/>
        </w:rPr>
        <w:t xml:space="preserve"> </w:t>
      </w:r>
      <w:hyperlink r:id="rId2" w:history="1">
        <w:r w:rsidRPr="002E535A">
          <w:rPr>
            <w:rStyle w:val="Hyperlink"/>
            <w:sz w:val="24"/>
            <w:lang w:val="nl-NL"/>
          </w:rPr>
          <w:t>https://single-market-economy.ec.europa.eu/document/download/2bef0eda-2f75-497d-982e-c0d1cea57c0e_en?filename=Annual%20Report%20on%20European%20SMEs%202024.pdf</w:t>
        </w:r>
      </w:hyperlink>
      <w:r w:rsidRPr="002E535A">
        <w:rPr>
          <w:sz w:val="24"/>
          <w:lang w:val="nl-NL"/>
        </w:rPr>
        <w:t>.</w:t>
      </w:r>
    </w:p>
  </w:footnote>
  <w:footnote w:id="3">
    <w:p w14:paraId="2CE8629D" w14:textId="24C27D18" w:rsidR="00EA66F3" w:rsidRPr="002E535A" w:rsidRDefault="00EA66F3" w:rsidP="0001174A">
      <w:pPr>
        <w:ind w:left="567" w:hanging="567"/>
      </w:pPr>
      <w:r w:rsidRPr="0001174A">
        <w:rPr>
          <w:rStyle w:val="FootnoteReference"/>
        </w:rPr>
        <w:footnoteRef/>
      </w:r>
      <w:r w:rsidR="0001174A" w:rsidRPr="002E535A">
        <w:t xml:space="preserve"> </w:t>
      </w:r>
      <w:r w:rsidR="0001174A" w:rsidRPr="002E535A">
        <w:tab/>
      </w:r>
      <w:r w:rsidRPr="002E535A">
        <w:t xml:space="preserve">Draghi, Mario, “The Future of European Competitiveness – A Competitiveness Strategy for Europe”, 2024, </w:t>
      </w:r>
      <w:hyperlink r:id="rId3" w:history="1">
        <w:r w:rsidRPr="002E535A">
          <w:rPr>
            <w:rStyle w:val="Hyperlink"/>
          </w:rPr>
          <w:t>https://commission.europa.eu/document/97e481fd-2dc3-412d-be4c-f152a8232961_en</w:t>
        </w:r>
      </w:hyperlink>
      <w:r w:rsidRPr="002E535A">
        <w:t>.</w:t>
      </w:r>
    </w:p>
  </w:footnote>
  <w:footnote w:id="4">
    <w:p w14:paraId="6A1BE25F" w14:textId="15FF3A65" w:rsidR="00EA66F3" w:rsidRPr="0001174A" w:rsidRDefault="00EA66F3" w:rsidP="0001174A">
      <w:pPr>
        <w:pStyle w:val="FootnoteText"/>
        <w:ind w:left="567" w:hanging="567"/>
        <w:rPr>
          <w:sz w:val="24"/>
          <w:lang w:val="nl-NL"/>
        </w:rPr>
      </w:pPr>
      <w:r w:rsidRPr="0001174A">
        <w:rPr>
          <w:rStyle w:val="FootnoteReference"/>
          <w:sz w:val="24"/>
          <w:lang w:val="nl-NL"/>
        </w:rPr>
        <w:footnoteRef/>
      </w:r>
      <w:bookmarkStart w:id="7" w:name="_Hlk210313079"/>
      <w:r w:rsidR="0001174A" w:rsidRPr="0001174A">
        <w:rPr>
          <w:sz w:val="24"/>
          <w:lang w:val="nl-NL"/>
        </w:rPr>
        <w:t xml:space="preserve"> </w:t>
      </w:r>
      <w:r w:rsidR="0001174A" w:rsidRPr="0001174A">
        <w:rPr>
          <w:sz w:val="24"/>
          <w:lang w:val="nl-NL"/>
        </w:rPr>
        <w:tab/>
      </w:r>
      <w:r w:rsidRPr="0001174A">
        <w:rPr>
          <w:sz w:val="24"/>
          <w:lang w:val="nl-NL"/>
        </w:rPr>
        <w:t xml:space="preserve">De wetgeving inzake beursnotering bestaat uit Verordening (EU) 2024/2809 van het Europees Parlement en de Raad van 23 oktober 2024 tot wijziging van de Verordeningen (EU) 2017/1129, (EU) nr. 596/2014 en (EU) nr. 600/2014 om publieke kapitaalmarkten in de Unie aantrekkelijker te maken voor ondernemingen en de toegang tot kapitaal voor kleine en middelgrote ondernemingen (mkb-ondernemingen) te vergemakkelijken (PB L, 2024/2809, 14.11.2024, ELI: </w:t>
      </w:r>
      <w:hyperlink r:id="rId4" w:history="1">
        <w:r w:rsidRPr="0001174A">
          <w:rPr>
            <w:rStyle w:val="Hyperlink"/>
            <w:sz w:val="24"/>
            <w:lang w:val="nl-NL"/>
          </w:rPr>
          <w:t>http://data.europa.eu/eli/reg/2024/2809/oj</w:t>
        </w:r>
      </w:hyperlink>
      <w:r w:rsidRPr="0001174A">
        <w:rPr>
          <w:sz w:val="24"/>
          <w:lang w:val="nl-NL"/>
        </w:rPr>
        <w:t xml:space="preserve">), Richtlijn (EU) 2024/2810 van het Europees Parlement en de Raad van 23 oktober 2024 betreffende de aandelenstructuur met meervoudig stemrecht in ondernemingen die om de toelating tot de handel van hun aandelen op een mkb-groeimarkt verzoeken (PB L, 2024/2810, 14.11.2024, ELI: </w:t>
      </w:r>
      <w:hyperlink r:id="rId5" w:history="1">
        <w:r w:rsidRPr="0001174A">
          <w:rPr>
            <w:rStyle w:val="Hyperlink"/>
            <w:sz w:val="24"/>
            <w:lang w:val="nl-NL"/>
          </w:rPr>
          <w:t>http://data.europa.eu/eli/dir/2024/2810/oj</w:t>
        </w:r>
      </w:hyperlink>
      <w:r w:rsidRPr="0001174A">
        <w:rPr>
          <w:sz w:val="24"/>
          <w:lang w:val="nl-NL"/>
        </w:rPr>
        <w:t xml:space="preserve">). en Richtlijn (EU) 2024/2811 van het Europees Parlement en de Raad van 23 oktober 2024 tot wijziging van Richtlijn 2014/65/EU met als doel de publieke kapitaalmarkten in de Unie aantrekkelijker te maken voor ondernemingen en de toegang tot kapitaal voor kleine en middelgrote ondernemingen (mkb-ondernemingen) te vergemakkelijken, en tot intrekking van Richtlijn 2001/34/EG (PB L, 2024/2811, 14.11.2024, ELI: </w:t>
      </w:r>
      <w:hyperlink r:id="rId6" w:history="1">
        <w:r w:rsidRPr="0001174A">
          <w:rPr>
            <w:rStyle w:val="Hyperlink"/>
            <w:sz w:val="24"/>
            <w:lang w:val="nl-NL"/>
          </w:rPr>
          <w:t>http://data.europa.eu/eli/dir/2024/2811/oj</w:t>
        </w:r>
      </w:hyperlink>
      <w:r w:rsidRPr="0001174A">
        <w:rPr>
          <w:sz w:val="24"/>
          <w:lang w:val="nl-NL"/>
        </w:rPr>
        <w:t>).</w:t>
      </w:r>
      <w:bookmarkEnd w:id="7"/>
    </w:p>
  </w:footnote>
  <w:footnote w:id="5">
    <w:p w14:paraId="4AC83F56" w14:textId="0DCEBAF2" w:rsidR="00EA66F3" w:rsidRPr="0001174A" w:rsidRDefault="00EA66F3" w:rsidP="0001174A">
      <w:pPr>
        <w:pStyle w:val="FootnoteText"/>
        <w:ind w:left="567" w:hanging="567"/>
        <w:rPr>
          <w:sz w:val="24"/>
          <w:lang w:val="nl-NL"/>
        </w:rPr>
      </w:pPr>
      <w:r w:rsidRPr="0001174A">
        <w:rPr>
          <w:rStyle w:val="FootnoteReference"/>
          <w:sz w:val="24"/>
          <w:lang w:val="nl-NL"/>
        </w:rPr>
        <w:footnoteRef/>
      </w:r>
      <w:r w:rsidR="0001174A" w:rsidRPr="0001174A">
        <w:rPr>
          <w:sz w:val="24"/>
          <w:lang w:val="nl-NL"/>
        </w:rPr>
        <w:t xml:space="preserve"> </w:t>
      </w:r>
      <w:r w:rsidR="0001174A" w:rsidRPr="0001174A">
        <w:rPr>
          <w:sz w:val="24"/>
          <w:lang w:val="nl-NL"/>
        </w:rPr>
        <w:tab/>
      </w:r>
      <w:r w:rsidRPr="0001174A">
        <w:rPr>
          <w:sz w:val="24"/>
          <w:lang w:val="nl-NL"/>
        </w:rPr>
        <w:t xml:space="preserve">Verordening (EU) nr. 345/2013 van het Europees Parlement en de Raad van 17 april 2013 betreffende Europese durfkapitaalfondsen (PB L 115 van 25.4.2013, blz. 1, ELI: </w:t>
      </w:r>
      <w:hyperlink r:id="rId7" w:history="1">
        <w:r w:rsidRPr="0001174A">
          <w:rPr>
            <w:rStyle w:val="Hyperlink"/>
            <w:sz w:val="24"/>
            <w:lang w:val="nl-NL"/>
          </w:rPr>
          <w:t>http://data.europa.eu/eli/reg/2013/345/oj</w:t>
        </w:r>
      </w:hyperlink>
      <w:r w:rsidRPr="0001174A">
        <w:rPr>
          <w:sz w:val="24"/>
          <w:lang w:val="nl-NL"/>
        </w:rPr>
        <w:t>).</w:t>
      </w:r>
    </w:p>
  </w:footnote>
  <w:footnote w:id="6">
    <w:p w14:paraId="7F32A480" w14:textId="7D2053C6" w:rsidR="00EA66F3" w:rsidRPr="0001174A" w:rsidRDefault="00EA66F3" w:rsidP="0001174A">
      <w:pPr>
        <w:pStyle w:val="FootnoteText"/>
        <w:ind w:left="567" w:hanging="567"/>
        <w:rPr>
          <w:sz w:val="24"/>
          <w:lang w:val="nl-NL"/>
        </w:rPr>
      </w:pPr>
      <w:r w:rsidRPr="0001174A">
        <w:rPr>
          <w:rStyle w:val="FootnoteReference"/>
          <w:sz w:val="24"/>
          <w:lang w:val="nl-NL"/>
        </w:rPr>
        <w:footnoteRef/>
      </w:r>
      <w:r w:rsidR="0001174A" w:rsidRPr="0001174A">
        <w:rPr>
          <w:sz w:val="24"/>
          <w:lang w:val="nl-NL"/>
        </w:rPr>
        <w:t xml:space="preserve"> </w:t>
      </w:r>
      <w:r w:rsidR="0001174A" w:rsidRPr="0001174A">
        <w:rPr>
          <w:sz w:val="24"/>
          <w:lang w:val="nl-NL"/>
        </w:rPr>
        <w:tab/>
      </w:r>
      <w:r w:rsidRPr="0001174A">
        <w:rPr>
          <w:sz w:val="24"/>
          <w:lang w:val="nl-NL"/>
        </w:rPr>
        <w:t xml:space="preserve">Richtlijn 2014/65/EU van het Europees Parlement en de Raad van 15 mei 2014 betreffende markten voor financiële instrumenten en tot wijziging van Richtlijn 2002/92/EG en Richtlijn 2011/61/EU (PB L 173 van 12.6.2014, blz. 349, ELI: </w:t>
      </w:r>
      <w:hyperlink r:id="rId8" w:history="1">
        <w:r w:rsidRPr="0001174A">
          <w:rPr>
            <w:rStyle w:val="Hyperlink"/>
            <w:sz w:val="24"/>
            <w:lang w:val="nl-NL"/>
          </w:rPr>
          <w:t>http://data.europa.eu/eli/dir/2014/65/oj</w:t>
        </w:r>
      </w:hyperlink>
      <w:r w:rsidRPr="0001174A">
        <w:rPr>
          <w:sz w:val="24"/>
          <w:lang w:val="nl-NL"/>
        </w:rPr>
        <w:t>).</w:t>
      </w:r>
    </w:p>
  </w:footnote>
  <w:footnote w:id="7">
    <w:p w14:paraId="54DDAFAB" w14:textId="55A62969" w:rsidR="00EA66F3" w:rsidRPr="0001174A" w:rsidRDefault="00EA66F3" w:rsidP="0001174A">
      <w:pPr>
        <w:pStyle w:val="FootnoteText"/>
        <w:ind w:left="567" w:hanging="567"/>
        <w:rPr>
          <w:sz w:val="24"/>
          <w:lang w:val="nl-NL"/>
        </w:rPr>
      </w:pPr>
      <w:r w:rsidRPr="0001174A">
        <w:rPr>
          <w:rStyle w:val="FootnoteReference"/>
          <w:sz w:val="24"/>
          <w:lang w:val="nl-NL"/>
        </w:rPr>
        <w:footnoteRef/>
      </w:r>
      <w:r w:rsidR="0001174A" w:rsidRPr="0001174A">
        <w:rPr>
          <w:sz w:val="24"/>
          <w:lang w:val="nl-NL"/>
        </w:rPr>
        <w:t xml:space="preserve"> </w:t>
      </w:r>
      <w:r w:rsidR="0001174A" w:rsidRPr="0001174A">
        <w:rPr>
          <w:sz w:val="24"/>
          <w:lang w:val="nl-NL"/>
        </w:rPr>
        <w:tab/>
      </w:r>
      <w:proofErr w:type="spellStart"/>
      <w:r w:rsidRPr="0001174A">
        <w:rPr>
          <w:sz w:val="24"/>
          <w:lang w:val="nl-NL"/>
        </w:rPr>
        <w:t>Katsinis</w:t>
      </w:r>
      <w:proofErr w:type="spellEnd"/>
      <w:r w:rsidRPr="0001174A">
        <w:rPr>
          <w:sz w:val="24"/>
          <w:lang w:val="nl-NL"/>
        </w:rPr>
        <w:t xml:space="preserve">, A., </w:t>
      </w:r>
      <w:proofErr w:type="spellStart"/>
      <w:r w:rsidRPr="0001174A">
        <w:rPr>
          <w:sz w:val="24"/>
          <w:lang w:val="nl-NL"/>
        </w:rPr>
        <w:t>Lagüera-González</w:t>
      </w:r>
      <w:proofErr w:type="spellEnd"/>
      <w:r w:rsidRPr="0001174A">
        <w:rPr>
          <w:sz w:val="24"/>
          <w:lang w:val="nl-NL"/>
        </w:rPr>
        <w:t xml:space="preserve">, J., Di Bella, L., Odenthal, L., Hell, M., </w:t>
      </w:r>
      <w:proofErr w:type="spellStart"/>
      <w:r w:rsidRPr="0001174A">
        <w:rPr>
          <w:sz w:val="24"/>
          <w:lang w:val="nl-NL"/>
        </w:rPr>
        <w:t>Lozar</w:t>
      </w:r>
      <w:proofErr w:type="spellEnd"/>
      <w:r w:rsidRPr="0001174A">
        <w:rPr>
          <w:sz w:val="24"/>
          <w:lang w:val="nl-NL"/>
        </w:rPr>
        <w:t>, B., “</w:t>
      </w:r>
      <w:proofErr w:type="spellStart"/>
      <w:r w:rsidRPr="0001174A">
        <w:rPr>
          <w:sz w:val="24"/>
          <w:lang w:val="nl-NL"/>
        </w:rPr>
        <w:t>Annual</w:t>
      </w:r>
      <w:proofErr w:type="spellEnd"/>
      <w:r w:rsidRPr="0001174A">
        <w:rPr>
          <w:sz w:val="24"/>
          <w:lang w:val="nl-NL"/>
        </w:rPr>
        <w:t xml:space="preserve"> Report on European </w:t>
      </w:r>
      <w:proofErr w:type="spellStart"/>
      <w:r w:rsidRPr="0001174A">
        <w:rPr>
          <w:sz w:val="24"/>
          <w:lang w:val="nl-NL"/>
        </w:rPr>
        <w:t>SMEs</w:t>
      </w:r>
      <w:proofErr w:type="spellEnd"/>
      <w:r w:rsidRPr="0001174A">
        <w:rPr>
          <w:sz w:val="24"/>
          <w:lang w:val="nl-NL"/>
        </w:rPr>
        <w:t xml:space="preserve"> 2023/2024”, Bureau voor publicaties van de Europese Unie, 2024,</w:t>
      </w:r>
      <w:r w:rsidRPr="0001174A">
        <w:rPr>
          <w:color w:val="0000FF"/>
          <w:sz w:val="24"/>
          <w:u w:val="single"/>
          <w:lang w:val="nl-NL"/>
        </w:rPr>
        <w:t xml:space="preserve"> </w:t>
      </w:r>
      <w:hyperlink r:id="rId9" w:history="1">
        <w:r w:rsidRPr="0001174A">
          <w:rPr>
            <w:rStyle w:val="Hyperlink"/>
            <w:sz w:val="24"/>
            <w:lang w:val="nl-NL"/>
          </w:rPr>
          <w:t>https://single-market-economy.ec.europa.eu/document/download/2bef0eda-2f75-497d-982e-c0d1cea57c0e_en?filename=Annual%20Report%20on%20European%20SMEs%202024.pdf</w:t>
        </w:r>
      </w:hyperlink>
      <w:r w:rsidRPr="0001174A">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34DF" w14:textId="77777777" w:rsidR="00064002" w:rsidRPr="0001174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3A371" w14:textId="77777777" w:rsidR="00064002" w:rsidRPr="0001174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33B72" w14:textId="77777777" w:rsidR="00064002" w:rsidRPr="000117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4860796">
    <w:abstractNumId w:val="9"/>
  </w:num>
  <w:num w:numId="2" w16cid:durableId="1379553065">
    <w:abstractNumId w:val="9"/>
  </w:num>
  <w:num w:numId="3" w16cid:durableId="83259289">
    <w:abstractNumId w:val="7"/>
  </w:num>
  <w:num w:numId="4" w16cid:durableId="746611298">
    <w:abstractNumId w:val="7"/>
  </w:num>
  <w:num w:numId="5" w16cid:durableId="2044552753">
    <w:abstractNumId w:val="6"/>
  </w:num>
  <w:num w:numId="6" w16cid:durableId="69012619">
    <w:abstractNumId w:val="6"/>
  </w:num>
  <w:num w:numId="7" w16cid:durableId="616300776">
    <w:abstractNumId w:val="5"/>
  </w:num>
  <w:num w:numId="8" w16cid:durableId="1142120765">
    <w:abstractNumId w:val="5"/>
  </w:num>
  <w:num w:numId="9" w16cid:durableId="1508902389">
    <w:abstractNumId w:val="4"/>
  </w:num>
  <w:num w:numId="10" w16cid:durableId="1440291689">
    <w:abstractNumId w:val="4"/>
  </w:num>
  <w:num w:numId="11" w16cid:durableId="967861114">
    <w:abstractNumId w:val="8"/>
  </w:num>
  <w:num w:numId="12" w16cid:durableId="1133522225">
    <w:abstractNumId w:val="8"/>
  </w:num>
  <w:num w:numId="13" w16cid:durableId="940144083">
    <w:abstractNumId w:val="3"/>
  </w:num>
  <w:num w:numId="14" w16cid:durableId="1871723808">
    <w:abstractNumId w:val="3"/>
  </w:num>
  <w:num w:numId="15" w16cid:durableId="26614049">
    <w:abstractNumId w:val="2"/>
  </w:num>
  <w:num w:numId="16" w16cid:durableId="779300150">
    <w:abstractNumId w:val="2"/>
  </w:num>
  <w:num w:numId="17" w16cid:durableId="1505390037">
    <w:abstractNumId w:val="1"/>
  </w:num>
  <w:num w:numId="18" w16cid:durableId="2040161688">
    <w:abstractNumId w:val="1"/>
  </w:num>
  <w:num w:numId="19" w16cid:durableId="1995916375">
    <w:abstractNumId w:val="0"/>
  </w:num>
  <w:num w:numId="20" w16cid:durableId="1237587896">
    <w:abstractNumId w:val="0"/>
  </w:num>
  <w:num w:numId="21" w16cid:durableId="1017385668">
    <w:abstractNumId w:val="9"/>
  </w:num>
  <w:num w:numId="22" w16cid:durableId="934096907">
    <w:abstractNumId w:val="7"/>
  </w:num>
  <w:num w:numId="23" w16cid:durableId="2090954622">
    <w:abstractNumId w:val="6"/>
  </w:num>
  <w:num w:numId="24" w16cid:durableId="1393386444">
    <w:abstractNumId w:val="5"/>
  </w:num>
  <w:num w:numId="25" w16cid:durableId="390203102">
    <w:abstractNumId w:val="4"/>
  </w:num>
  <w:num w:numId="26" w16cid:durableId="137036474">
    <w:abstractNumId w:val="8"/>
  </w:num>
  <w:num w:numId="27" w16cid:durableId="911431026">
    <w:abstractNumId w:val="3"/>
  </w:num>
  <w:num w:numId="28" w16cid:durableId="42484764">
    <w:abstractNumId w:val="2"/>
  </w:num>
  <w:num w:numId="29" w16cid:durableId="103500069">
    <w:abstractNumId w:val="1"/>
  </w:num>
  <w:num w:numId="30" w16cid:durableId="1110779550">
    <w:abstractNumId w:val="0"/>
  </w:num>
  <w:num w:numId="31" w16cid:durableId="1239749413">
    <w:abstractNumId w:val="9"/>
  </w:num>
  <w:num w:numId="32" w16cid:durableId="937955592">
    <w:abstractNumId w:val="7"/>
  </w:num>
  <w:num w:numId="33" w16cid:durableId="1504471618">
    <w:abstractNumId w:val="6"/>
  </w:num>
  <w:num w:numId="34" w16cid:durableId="586155005">
    <w:abstractNumId w:val="5"/>
  </w:num>
  <w:num w:numId="35" w16cid:durableId="2073036477">
    <w:abstractNumId w:val="4"/>
  </w:num>
  <w:num w:numId="36" w16cid:durableId="1409884856">
    <w:abstractNumId w:val="8"/>
  </w:num>
  <w:num w:numId="37" w16cid:durableId="78915887">
    <w:abstractNumId w:val="3"/>
  </w:num>
  <w:num w:numId="38" w16cid:durableId="292908542">
    <w:abstractNumId w:val="2"/>
  </w:num>
  <w:num w:numId="39" w16cid:durableId="1468359905">
    <w:abstractNumId w:val="1"/>
  </w:num>
  <w:num w:numId="40" w16cid:durableId="1812597396">
    <w:abstractNumId w:val="0"/>
  </w:num>
  <w:num w:numId="41" w16cid:durableId="1653480350">
    <w:abstractNumId w:val="10"/>
  </w:num>
  <w:num w:numId="42" w16cid:durableId="174420489">
    <w:abstractNumId w:val="10"/>
  </w:num>
  <w:num w:numId="43" w16cid:durableId="1759980339">
    <w:abstractNumId w:val="10"/>
  </w:num>
  <w:num w:numId="44" w16cid:durableId="1925718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NL"/>
    <w:docVar w:name="dvnumam" w:val="0"/>
    <w:docVar w:name="dvpe" w:val="772.123"/>
    <w:docVar w:name="dvrapporteur" w:val="Rapporteur: "/>
    <w:docVar w:name="dvtitre" w:val="Resolutie van het Europees Parlement van xx november 2025 over de toegang tot financiering voor kmo’s en scale-ups(2025/2072(INI))"/>
  </w:docVars>
  <w:rsids>
    <w:rsidRoot w:val="009221EE"/>
    <w:rsid w:val="00002272"/>
    <w:rsid w:val="0001174A"/>
    <w:rsid w:val="00064002"/>
    <w:rsid w:val="000677B9"/>
    <w:rsid w:val="000831BA"/>
    <w:rsid w:val="000A42CC"/>
    <w:rsid w:val="000E7DD9"/>
    <w:rsid w:val="0010095E"/>
    <w:rsid w:val="00111EE5"/>
    <w:rsid w:val="00125B37"/>
    <w:rsid w:val="00154496"/>
    <w:rsid w:val="00187494"/>
    <w:rsid w:val="001F32AE"/>
    <w:rsid w:val="002767FF"/>
    <w:rsid w:val="002B18FE"/>
    <w:rsid w:val="002B5493"/>
    <w:rsid w:val="002E535A"/>
    <w:rsid w:val="00343214"/>
    <w:rsid w:val="00361C00"/>
    <w:rsid w:val="003732B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85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C50"/>
    <w:rsid w:val="00817416"/>
    <w:rsid w:val="00842779"/>
    <w:rsid w:val="00865F67"/>
    <w:rsid w:val="00881A7B"/>
    <w:rsid w:val="008840E5"/>
    <w:rsid w:val="00887B3E"/>
    <w:rsid w:val="008C2AC6"/>
    <w:rsid w:val="009221E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6F3"/>
    <w:rsid w:val="00EB006A"/>
    <w:rsid w:val="00EB4772"/>
    <w:rsid w:val="00EB7137"/>
    <w:rsid w:val="00ED169E"/>
    <w:rsid w:val="00ED4235"/>
    <w:rsid w:val="00EF2C5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8D976"/>
  <w15:chartTrackingRefBased/>
  <w15:docId w15:val="{AC2FB9C6-79C6-4743-95CF-D5967A91F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A66F3"/>
    <w:pPr>
      <w:spacing w:before="480" w:after="240"/>
    </w:pPr>
    <w:rPr>
      <w:snapToGrid w:val="0"/>
      <w:lang w:eastAsia="en-US"/>
    </w:rPr>
  </w:style>
  <w:style w:type="paragraph" w:customStyle="1" w:styleId="NormalHanging12a">
    <w:name w:val="NormalHanging12a"/>
    <w:basedOn w:val="Normal"/>
    <w:rsid w:val="00EA66F3"/>
    <w:pPr>
      <w:widowControl/>
      <w:spacing w:after="240"/>
      <w:ind w:left="567" w:hanging="567"/>
    </w:pPr>
    <w:rPr>
      <w:snapToGrid w:val="0"/>
      <w:lang w:eastAsia="en-US"/>
    </w:rPr>
  </w:style>
  <w:style w:type="paragraph" w:customStyle="1" w:styleId="NormalCenter12a">
    <w:name w:val="NormalCenter12a"/>
    <w:basedOn w:val="Normal"/>
    <w:rsid w:val="00EA66F3"/>
    <w:pPr>
      <w:spacing w:after="240"/>
      <w:jc w:val="center"/>
    </w:pPr>
  </w:style>
  <w:style w:type="character" w:customStyle="1" w:styleId="BoldItalic">
    <w:name w:val="BoldItalic"/>
    <w:uiPriority w:val="1"/>
    <w:rsid w:val="00EA66F3"/>
    <w:rPr>
      <w:b/>
      <w:i/>
      <w:u w:val="none"/>
    </w:rPr>
  </w:style>
  <w:style w:type="character" w:customStyle="1" w:styleId="Italic">
    <w:name w:val="Italic"/>
    <w:uiPriority w:val="1"/>
    <w:rsid w:val="00EA66F3"/>
    <w:rPr>
      <w:i/>
    </w:rPr>
  </w:style>
  <w:style w:type="paragraph" w:customStyle="1" w:styleId="Normal12a24b">
    <w:name w:val="Normal12a24b"/>
    <w:basedOn w:val="Normal"/>
    <w:rsid w:val="00EA66F3"/>
    <w:pPr>
      <w:spacing w:before="360" w:after="240"/>
    </w:pPr>
    <w:rPr>
      <w:snapToGrid w:val="0"/>
      <w:lang w:eastAsia="en-US"/>
    </w:rPr>
  </w:style>
  <w:style w:type="character" w:styleId="Hyperlink">
    <w:name w:val="Hyperlink"/>
    <w:basedOn w:val="DefaultParagraphFont"/>
    <w:rsid w:val="00EA66F3"/>
    <w:rPr>
      <w:color w:val="0000FF"/>
      <w:u w:val="single"/>
    </w:rPr>
  </w:style>
  <w:style w:type="paragraph" w:styleId="Revision">
    <w:name w:val="Revision"/>
    <w:hidden/>
    <w:uiPriority w:val="99"/>
    <w:semiHidden/>
    <w:rsid w:val="00EF2C5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4143</Words>
  <Characters>25747</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2025-11-26T13:34:00Z</dcterms:created>
  <dcterms:modified xsi:type="dcterms:W3CDTF">2025-11-26T13:34:00Z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A10-0185/2025</vt:lpwstr>
  </property>
  <property fmtid="{D5CDD505-2E9C-101B-9397-08002B2CF9AE}" pid="4" name="&lt;Type&gt;">
    <vt:lpwstr>RR</vt:lpwstr>
  </property>
</Properties>
</file>