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267" w14:paraId="1F0631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A5E705" w14:textId="6D453A1E" w:rsidR="00751A4A" w:rsidRPr="00AD6267" w:rsidRDefault="00457F14" w:rsidP="0010095E">
            <w:pPr>
              <w:pStyle w:val="EPName"/>
            </w:pPr>
            <w:r w:rsidRPr="00AD6267">
              <w:t>Parlament Europejski</w:t>
            </w:r>
          </w:p>
          <w:p w14:paraId="299CA2A1" w14:textId="77777777" w:rsidR="00751A4A" w:rsidRPr="00AD62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267">
              <w:t>2024</w:t>
            </w:r>
            <w:r w:rsidR="00817416" w:rsidRPr="00AD6267">
              <w:t>-202</w:t>
            </w:r>
            <w:r w:rsidRPr="00AD6267">
              <w:t>9</w:t>
            </w:r>
          </w:p>
        </w:tc>
        <w:tc>
          <w:tcPr>
            <w:tcW w:w="2268" w:type="dxa"/>
            <w:shd w:val="clear" w:color="auto" w:fill="auto"/>
          </w:tcPr>
          <w:p w14:paraId="7917BEF8" w14:textId="77777777" w:rsidR="00751A4A" w:rsidRPr="00AD6267" w:rsidRDefault="00187494" w:rsidP="0010095E">
            <w:pPr>
              <w:pStyle w:val="EPLogo"/>
            </w:pPr>
            <w:r w:rsidRPr="00AD6267">
              <w:rPr>
                <w:noProof/>
                <w:lang w:eastAsia="ja-JP"/>
              </w:rPr>
              <w:drawing>
                <wp:inline distT="0" distB="0" distL="0" distR="0" wp14:anchorId="2AE2F544" wp14:editId="5FE7ED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46410" w14:textId="77777777" w:rsidR="00D058B8" w:rsidRPr="00AD6267" w:rsidRDefault="00D058B8" w:rsidP="004C5D52">
      <w:pPr>
        <w:pStyle w:val="LineTop"/>
      </w:pPr>
    </w:p>
    <w:p w14:paraId="16CF9753" w14:textId="317BDD5B" w:rsidR="00680577" w:rsidRPr="00AD6267" w:rsidRDefault="00457F14" w:rsidP="00680577">
      <w:pPr>
        <w:pStyle w:val="EPBodyTA1"/>
      </w:pPr>
      <w:r w:rsidRPr="00AD6267">
        <w:t>TEKSTY PRZYJĘTE</w:t>
      </w:r>
    </w:p>
    <w:p w14:paraId="34ED1901" w14:textId="77777777" w:rsidR="00D058B8" w:rsidRPr="00AD6267" w:rsidRDefault="00D058B8" w:rsidP="00D058B8">
      <w:pPr>
        <w:pStyle w:val="LineBottom"/>
      </w:pPr>
    </w:p>
    <w:p w14:paraId="3565AC86" w14:textId="2B320D6B" w:rsidR="00457F14" w:rsidRPr="00AD6267" w:rsidRDefault="00457F14" w:rsidP="00457F14">
      <w:pPr>
        <w:pStyle w:val="ATHeading1"/>
      </w:pPr>
      <w:bookmarkStart w:id="0" w:name="TANumber"/>
      <w:r w:rsidRPr="00AD6267">
        <w:t>P10_TA(2025)0</w:t>
      </w:r>
      <w:r w:rsidR="00030467">
        <w:t>3</w:t>
      </w:r>
      <w:r w:rsidRPr="00AD6267">
        <w:t>00</w:t>
      </w:r>
      <w:bookmarkEnd w:id="0"/>
    </w:p>
    <w:p w14:paraId="20DF1A7D" w14:textId="1B91B0E0" w:rsidR="00457F14" w:rsidRPr="005471E4" w:rsidRDefault="005471E4" w:rsidP="00457F14">
      <w:pPr>
        <w:pStyle w:val="ATHeading2"/>
      </w:pPr>
      <w:r w:rsidRPr="005471E4">
        <w:rPr>
          <w:bCs/>
        </w:rPr>
        <w:t xml:space="preserve">Dostęp do finansowania dla MŚP i przedsiębiorstw </w:t>
      </w:r>
      <w:proofErr w:type="spellStart"/>
      <w:r w:rsidRPr="005471E4">
        <w:rPr>
          <w:bCs/>
        </w:rPr>
        <w:t>scale-up</w:t>
      </w:r>
      <w:proofErr w:type="spellEnd"/>
    </w:p>
    <w:p w14:paraId="3BC1061D" w14:textId="77777777" w:rsidR="00457F14" w:rsidRPr="00AD6267" w:rsidRDefault="00457F14" w:rsidP="00457F14">
      <w:pPr>
        <w:rPr>
          <w:i/>
          <w:vanish/>
        </w:rPr>
      </w:pPr>
      <w:r w:rsidRPr="00AD6267">
        <w:rPr>
          <w:i/>
        </w:rPr>
        <w:fldChar w:fldCharType="begin"/>
      </w:r>
      <w:r w:rsidRPr="00AD6267">
        <w:rPr>
          <w:i/>
        </w:rPr>
        <w:instrText xml:space="preserve"> TC"(</w:instrText>
      </w:r>
      <w:bookmarkStart w:id="1" w:name="DocNumber"/>
      <w:r w:rsidRPr="00AD6267">
        <w:rPr>
          <w:i/>
        </w:rPr>
        <w:instrText>A10-0185/2025</w:instrText>
      </w:r>
      <w:bookmarkEnd w:id="1"/>
      <w:r w:rsidRPr="00AD6267">
        <w:rPr>
          <w:i/>
        </w:rPr>
        <w:instrText xml:space="preserve"> - Sprawozdawca: Jorge Martín Frías)"\l3 \n&gt; \* MERGEFORMAT </w:instrText>
      </w:r>
      <w:r w:rsidRPr="00AD6267">
        <w:rPr>
          <w:i/>
        </w:rPr>
        <w:fldChar w:fldCharType="end"/>
      </w:r>
    </w:p>
    <w:p w14:paraId="23EC6D4E" w14:textId="77777777" w:rsidR="00457F14" w:rsidRPr="00AD6267" w:rsidRDefault="00457F14" w:rsidP="00457F14">
      <w:pPr>
        <w:rPr>
          <w:vanish/>
        </w:rPr>
      </w:pPr>
      <w:bookmarkStart w:id="2" w:name="Commission"/>
      <w:r w:rsidRPr="00AD6267">
        <w:rPr>
          <w:vanish/>
        </w:rPr>
        <w:t>Komisja Gospodarcza i Monetarna</w:t>
      </w:r>
      <w:bookmarkEnd w:id="2"/>
    </w:p>
    <w:p w14:paraId="37D22FE7" w14:textId="77777777" w:rsidR="00457F14" w:rsidRPr="00AD6267" w:rsidRDefault="00457F14" w:rsidP="00457F14">
      <w:pPr>
        <w:rPr>
          <w:vanish/>
        </w:rPr>
      </w:pPr>
      <w:bookmarkStart w:id="3" w:name="PE"/>
      <w:r w:rsidRPr="00AD6267">
        <w:rPr>
          <w:vanish/>
        </w:rPr>
        <w:t>PE772.123</w:t>
      </w:r>
      <w:bookmarkEnd w:id="3"/>
    </w:p>
    <w:p w14:paraId="025C362C" w14:textId="0C0103D6" w:rsidR="00457F14" w:rsidRPr="00AD6267" w:rsidRDefault="00457F14" w:rsidP="00457F14">
      <w:pPr>
        <w:pStyle w:val="ATHeading3"/>
      </w:pPr>
      <w:bookmarkStart w:id="4" w:name="Sujet"/>
      <w:r w:rsidRPr="00AD6267">
        <w:t xml:space="preserve">Rezolucja Parlamentu Europejskiego z dnia </w:t>
      </w:r>
      <w:r w:rsidR="00AE20DF">
        <w:t>26</w:t>
      </w:r>
      <w:r w:rsidR="005471E4">
        <w:t xml:space="preserve"> listopada</w:t>
      </w:r>
      <w:r w:rsidRPr="00AD6267">
        <w:t xml:space="preserve"> 2025 r. w sprawie dostępu do finansowania dla MŚP i przedsiębiorstw </w:t>
      </w:r>
      <w:proofErr w:type="spellStart"/>
      <w:r w:rsidRPr="00AD6267">
        <w:t>scale-up</w:t>
      </w:r>
      <w:bookmarkEnd w:id="4"/>
      <w:proofErr w:type="spellEnd"/>
      <w:r w:rsidRPr="00AD6267">
        <w:t xml:space="preserve"> </w:t>
      </w:r>
      <w:bookmarkStart w:id="5" w:name="References"/>
      <w:r w:rsidRPr="00AD6267">
        <w:t>(2025/2072(INI))</w:t>
      </w:r>
      <w:bookmarkEnd w:id="5"/>
    </w:p>
    <w:p w14:paraId="6357B95A" w14:textId="77777777" w:rsidR="00193E53" w:rsidRPr="00AD6267" w:rsidRDefault="00193E53" w:rsidP="00193E53">
      <w:pPr>
        <w:pStyle w:val="EPComma"/>
      </w:pPr>
      <w:r w:rsidRPr="00AD6267">
        <w:rPr>
          <w:rStyle w:val="Italic"/>
        </w:rPr>
        <w:t>Parlament Europejski</w:t>
      </w:r>
      <w:r w:rsidRPr="00AD6267">
        <w:t>,</w:t>
      </w:r>
    </w:p>
    <w:p w14:paraId="376E9726" w14:textId="1CFDE005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komunikat Komisji z </w:t>
      </w:r>
      <w:r w:rsidR="005471E4">
        <w:t xml:space="preserve">dnia </w:t>
      </w:r>
      <w:r w:rsidRPr="00AD6267">
        <w:t>29 stycznia 2025 r. pt. „Kompas konkurencyjności dla UE” (</w:t>
      </w:r>
      <w:proofErr w:type="gramStart"/>
      <w:r w:rsidRPr="00AD6267">
        <w:t>COM(</w:t>
      </w:r>
      <w:proofErr w:type="gramEnd"/>
      <w:r w:rsidRPr="00AD6267">
        <w:t>2025)0030),</w:t>
      </w:r>
    </w:p>
    <w:p w14:paraId="28A96FDD" w14:textId="77048F59" w:rsidR="00193E53" w:rsidRPr="00AD6267" w:rsidRDefault="00193E53" w:rsidP="00193E53">
      <w:pPr>
        <w:pStyle w:val="NormalHanging12a"/>
        <w:rPr>
          <w:snapToGrid/>
        </w:rPr>
      </w:pPr>
      <w:r w:rsidRPr="00AD6267">
        <w:t>–</w:t>
      </w:r>
      <w:r w:rsidRPr="00AD6267">
        <w:tab/>
        <w:t xml:space="preserve">uwzględniając komunikat Komisji z </w:t>
      </w:r>
      <w:r w:rsidR="005471E4">
        <w:t xml:space="preserve">dnia </w:t>
      </w:r>
      <w:r w:rsidRPr="00AD6267">
        <w:t>28 maja 2025 r. pt. „Unijna strategia na rzecz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 xml:space="preserve"> – Wybierz Europę na start i rozwój” (</w:t>
      </w:r>
      <w:proofErr w:type="gramStart"/>
      <w:r w:rsidRPr="00AD6267">
        <w:t>COM(</w:t>
      </w:r>
      <w:proofErr w:type="gramEnd"/>
      <w:r w:rsidRPr="00AD6267">
        <w:t>2025)0270),</w:t>
      </w:r>
    </w:p>
    <w:p w14:paraId="073529B6" w14:textId="671AA32C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komunikat Komisji z </w:t>
      </w:r>
      <w:r w:rsidR="005471E4">
        <w:t xml:space="preserve">dnia </w:t>
      </w:r>
      <w:r w:rsidRPr="00AD6267">
        <w:t>21 maja 2025 r. pt. „Jednolity rynek: nasz europejski rynek wewnętrzny w niepewnym świecie. Strategia na rzecz prostszego, płynniejszego i silniejszego jednolitego rynku” (COM</w:t>
      </w:r>
      <w:r w:rsidR="00D14FF6">
        <w:t>(</w:t>
      </w:r>
      <w:r w:rsidRPr="00AD6267">
        <w:t>2025</w:t>
      </w:r>
      <w:r w:rsidR="00D14FF6">
        <w:t>)</w:t>
      </w:r>
      <w:r w:rsidRPr="00AD6267">
        <w:t>0500),</w:t>
      </w:r>
    </w:p>
    <w:p w14:paraId="1D8DD5FB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>uwzględniając deklarację budapeszteńską przyjętą na nieformalnym posiedzeniu szefów państw i rządów 8 listopada 2024 r.,</w:t>
      </w:r>
    </w:p>
    <w:p w14:paraId="6556ADC3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opublikowany przez przewodniczącą Komisji Ursulę von der </w:t>
      </w:r>
      <w:proofErr w:type="spellStart"/>
      <w:r w:rsidRPr="00AD6267">
        <w:t>Leyen</w:t>
      </w:r>
      <w:proofErr w:type="spellEnd"/>
      <w:r w:rsidRPr="00AD6267">
        <w:t xml:space="preserve"> 18 lipca 2024 r. dokument pt. „Wybór Europy – Wytyczne polityczne na następną kadencję Komisji Europejskiej 2024−2029”,</w:t>
      </w:r>
    </w:p>
    <w:p w14:paraId="4954F8CB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>uwzględniając sprawozdanie Europejskiego Banku Centralnego pt. „</w:t>
      </w:r>
      <w:proofErr w:type="spellStart"/>
      <w:r w:rsidRPr="00AD6267">
        <w:t>Survey</w:t>
      </w:r>
      <w:proofErr w:type="spellEnd"/>
      <w:r w:rsidRPr="00AD6267">
        <w:t xml:space="preserve"> on the Access to Finance of Enterprises in the euro </w:t>
      </w:r>
      <w:proofErr w:type="spellStart"/>
      <w:r w:rsidRPr="00AD6267">
        <w:t>area</w:t>
      </w:r>
      <w:proofErr w:type="spellEnd"/>
      <w:r w:rsidRPr="00AD6267">
        <w:t xml:space="preserve"> – First </w:t>
      </w:r>
      <w:proofErr w:type="spellStart"/>
      <w:r w:rsidRPr="00AD6267">
        <w:t>Quarter</w:t>
      </w:r>
      <w:proofErr w:type="spellEnd"/>
      <w:r w:rsidRPr="00AD6267">
        <w:t xml:space="preserve"> of 2025” [Badanie na temat dostępu przedsiębiorstw w strefie euro do finansowania – pierwszy kwartał 2025 r.], opublikowane w kwietniu 2025 r.,</w:t>
      </w:r>
    </w:p>
    <w:p w14:paraId="5BD94D40" w14:textId="5D5321E1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komunikat Komisji z </w:t>
      </w:r>
      <w:r w:rsidR="005471E4">
        <w:t xml:space="preserve">dnia </w:t>
      </w:r>
      <w:r w:rsidRPr="00AD6267">
        <w:t>19 marca 2025 r. pt. „Unia oszczędności i inwestycji – Strategia na rzecz zwiększenia zamożności obywateli i konkurencyjności gospodarczej w UE” (</w:t>
      </w:r>
      <w:proofErr w:type="gramStart"/>
      <w:r w:rsidRPr="00AD6267">
        <w:t>COM(</w:t>
      </w:r>
      <w:proofErr w:type="gramEnd"/>
      <w:r w:rsidRPr="00AD6267">
        <w:t>2025)0124),</w:t>
      </w:r>
    </w:p>
    <w:p w14:paraId="3A75715C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>uwzględniając sprawozdanie Komisji pt. „</w:t>
      </w:r>
      <w:proofErr w:type="spellStart"/>
      <w:r w:rsidRPr="00AD6267">
        <w:t>Survey</w:t>
      </w:r>
      <w:proofErr w:type="spellEnd"/>
      <w:r w:rsidRPr="00AD6267">
        <w:t xml:space="preserve"> on the </w:t>
      </w:r>
      <w:proofErr w:type="spellStart"/>
      <w:r w:rsidRPr="00AD6267">
        <w:t>access</w:t>
      </w:r>
      <w:proofErr w:type="spellEnd"/>
      <w:r w:rsidRPr="00AD6267">
        <w:t xml:space="preserve"> to </w:t>
      </w:r>
      <w:proofErr w:type="spellStart"/>
      <w:r w:rsidRPr="00AD6267">
        <w:t>finance</w:t>
      </w:r>
      <w:proofErr w:type="spellEnd"/>
      <w:r w:rsidRPr="00AD6267">
        <w:t xml:space="preserve"> of enterprises (SAFE) – </w:t>
      </w:r>
      <w:proofErr w:type="spellStart"/>
      <w:r w:rsidRPr="00AD6267">
        <w:t>Analytical</w:t>
      </w:r>
      <w:proofErr w:type="spellEnd"/>
      <w:r w:rsidRPr="00AD6267">
        <w:t xml:space="preserve"> report 2024” [Badanie na temat dostępu przedsiębiorstw do finansowania – sprawozdanie analityczne za 2024 r.], opublikowane w styczniu 2025 r.,</w:t>
      </w:r>
    </w:p>
    <w:p w14:paraId="468A997C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sprawozdanie Maria </w:t>
      </w:r>
      <w:proofErr w:type="spellStart"/>
      <w:r w:rsidRPr="00AD6267">
        <w:t>Draghiego</w:t>
      </w:r>
      <w:proofErr w:type="spellEnd"/>
      <w:r w:rsidRPr="00AD6267">
        <w:t xml:space="preserve"> pt. „Przyszłość europejskiej konkurencyjności” opublikowane we wrześniu 2024 r.,</w:t>
      </w:r>
    </w:p>
    <w:p w14:paraId="4E2EF354" w14:textId="59478D27" w:rsidR="00193E53" w:rsidRPr="00AD6267" w:rsidRDefault="00193E53" w:rsidP="00193E53">
      <w:pPr>
        <w:pStyle w:val="NormalHanging12a"/>
      </w:pPr>
      <w:r w:rsidRPr="00AD6267">
        <w:lastRenderedPageBreak/>
        <w:t>–</w:t>
      </w:r>
      <w:r w:rsidRPr="00AD6267">
        <w:tab/>
        <w:t xml:space="preserve">uwzględniając sprawozdanie Komisji z </w:t>
      </w:r>
      <w:r w:rsidR="005471E4">
        <w:t xml:space="preserve">dnia </w:t>
      </w:r>
      <w:r w:rsidRPr="00AD6267">
        <w:t>25 lipca 2024 r. pt. „</w:t>
      </w:r>
      <w:proofErr w:type="spellStart"/>
      <w:r w:rsidRPr="00AD6267">
        <w:t>Annual</w:t>
      </w:r>
      <w:proofErr w:type="spellEnd"/>
      <w:r w:rsidRPr="00AD6267">
        <w:t xml:space="preserve"> Report on </w:t>
      </w:r>
      <w:proofErr w:type="spellStart"/>
      <w:r w:rsidRPr="00AD6267">
        <w:t>European</w:t>
      </w:r>
      <w:proofErr w:type="spellEnd"/>
      <w:r w:rsidRPr="00AD6267">
        <w:t xml:space="preserve"> </w:t>
      </w:r>
      <w:proofErr w:type="spellStart"/>
      <w:r w:rsidRPr="00AD6267">
        <w:t>SMEs</w:t>
      </w:r>
      <w:proofErr w:type="spellEnd"/>
      <w:r w:rsidRPr="00AD6267">
        <w:t xml:space="preserve"> 2023/2024” [Sprawozdanie roczne w sprawie europejskich MŚP w latach 2023–2024],</w:t>
      </w:r>
    </w:p>
    <w:p w14:paraId="7A39A9B7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sprawozdanie Enrica </w:t>
      </w:r>
      <w:proofErr w:type="spellStart"/>
      <w:r w:rsidRPr="00AD6267">
        <w:t>Letty</w:t>
      </w:r>
      <w:proofErr w:type="spellEnd"/>
      <w:r w:rsidRPr="00AD6267">
        <w:t xml:space="preserve"> pt. „Much </w:t>
      </w:r>
      <w:proofErr w:type="spellStart"/>
      <w:r w:rsidRPr="00AD6267">
        <w:t>more</w:t>
      </w:r>
      <w:proofErr w:type="spellEnd"/>
      <w:r w:rsidRPr="00AD6267">
        <w:t xml:space="preserve"> </w:t>
      </w:r>
      <w:proofErr w:type="spellStart"/>
      <w:r w:rsidRPr="00AD6267">
        <w:t>than</w:t>
      </w:r>
      <w:proofErr w:type="spellEnd"/>
      <w:r w:rsidRPr="00AD6267">
        <w:t xml:space="preserve"> a market” [Znacznie więcej niż rynek] opublikowane w kwietniu 2024 r.,</w:t>
      </w:r>
    </w:p>
    <w:p w14:paraId="1130C745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>uwzględniając konkluzje z nadzwyczajnego posiedzenia Rady Europejskiej w dniach 17–18 kwietnia 2024 r.,</w:t>
      </w:r>
    </w:p>
    <w:p w14:paraId="17596A3A" w14:textId="28FEF7E5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swoją rezolucję z </w:t>
      </w:r>
      <w:r w:rsidR="005471E4">
        <w:t xml:space="preserve">dnia </w:t>
      </w:r>
      <w:r w:rsidRPr="00AD6267">
        <w:t>14 grudnia 2023 r. w sprawie zwiększenia innowacyjności oraz konkurencyjności przemysłowej i technologicznej dzięki sprzyjającym warunkom dla przedsiębiorstw typu start-</w:t>
      </w:r>
      <w:proofErr w:type="spellStart"/>
      <w:r w:rsidRPr="00AD6267">
        <w:t>up</w:t>
      </w:r>
      <w:proofErr w:type="spellEnd"/>
      <w:r w:rsidRPr="00AD6267">
        <w:t xml:space="preserve"> i przedsiębiorstw </w:t>
      </w:r>
      <w:proofErr w:type="spellStart"/>
      <w:r w:rsidRPr="00AD6267">
        <w:t>scale-up</w:t>
      </w:r>
      <w:proofErr w:type="spellEnd"/>
      <w:r w:rsidRPr="00AD6267">
        <w:rPr>
          <w:rStyle w:val="FootnoteReference"/>
        </w:rPr>
        <w:footnoteReference w:id="1"/>
      </w:r>
      <w:r w:rsidRPr="00AD6267">
        <w:t>,</w:t>
      </w:r>
    </w:p>
    <w:p w14:paraId="5C4CE379" w14:textId="5878E72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 xml:space="preserve">uwzględniając komunikat Komisji z </w:t>
      </w:r>
      <w:r w:rsidR="005471E4">
        <w:t xml:space="preserve">dnia </w:t>
      </w:r>
      <w:r w:rsidRPr="00AD6267">
        <w:t>12 września 2023 r. w sprawie pakietu pomocy gospodarczej dla MŚP (</w:t>
      </w:r>
      <w:proofErr w:type="gramStart"/>
      <w:r w:rsidRPr="00AD6267">
        <w:t>COM(</w:t>
      </w:r>
      <w:proofErr w:type="gramEnd"/>
      <w:r w:rsidRPr="00AD6267">
        <w:t>2023)0535),</w:t>
      </w:r>
    </w:p>
    <w:p w14:paraId="0CBF7FD6" w14:textId="77777777" w:rsidR="00193E53" w:rsidRPr="00AD6267" w:rsidRDefault="00193E53" w:rsidP="00193E53">
      <w:pPr>
        <w:pStyle w:val="NormalHanging12a"/>
      </w:pPr>
      <w:r w:rsidRPr="00AD6267">
        <w:t>–</w:t>
      </w:r>
      <w:r w:rsidRPr="00AD6267">
        <w:tab/>
        <w:t>uwzględniając art. 55 Regulaminu,</w:t>
      </w:r>
    </w:p>
    <w:p w14:paraId="2997F748" w14:textId="77777777" w:rsidR="00193E53" w:rsidRPr="00AD6267" w:rsidRDefault="00193E53" w:rsidP="00193E53">
      <w:pPr>
        <w:pStyle w:val="NormalHanging12a"/>
        <w:rPr>
          <w:snapToGrid/>
        </w:rPr>
      </w:pPr>
      <w:r w:rsidRPr="00AD6267">
        <w:t>–</w:t>
      </w:r>
      <w:r w:rsidRPr="00AD6267">
        <w:tab/>
        <w:t>uwzględniając sprawozdanie Komisji Gospodarczej i Monetarnej (A10-0185/2025),</w:t>
      </w:r>
    </w:p>
    <w:p w14:paraId="45F64405" w14:textId="77777777" w:rsidR="00193E53" w:rsidRPr="00AD6267" w:rsidRDefault="00193E53" w:rsidP="00193E53">
      <w:pPr>
        <w:pStyle w:val="NormalHanging12a"/>
      </w:pPr>
      <w:r w:rsidRPr="00AD6267">
        <w:t>A.</w:t>
      </w:r>
      <w:r w:rsidRPr="00AD6267">
        <w:tab/>
        <w:t>mając na uwadze, że mikroprzedsiębiorstwa oraz małe i średnie przedsiębiorstwa (MMŚP) są podstawą europejskiej gospodarki, a w 2023 r. MŚP stanowiły 99,8 % wszystkich przedsiębiorstw i odpowiadały za 65,2 % zatrudnienia oraz 53,1 % wartości dodanej w sektorze przedsiębiorstw niefinansowych w UE</w:t>
      </w:r>
      <w:r w:rsidRPr="00AD6267">
        <w:rPr>
          <w:rStyle w:val="FootnoteReference"/>
        </w:rPr>
        <w:footnoteReference w:id="2"/>
      </w:r>
      <w:r w:rsidRPr="00AD6267">
        <w:t>;</w:t>
      </w:r>
    </w:p>
    <w:p w14:paraId="139C5CDE" w14:textId="77777777" w:rsidR="00193E53" w:rsidRPr="00AD6267" w:rsidRDefault="00193E53" w:rsidP="00193E53">
      <w:pPr>
        <w:pStyle w:val="NormalHanging12a"/>
        <w:rPr>
          <w:snapToGrid/>
        </w:rPr>
      </w:pPr>
      <w:r w:rsidRPr="00AD6267">
        <w:t>B.</w:t>
      </w:r>
      <w:r w:rsidRPr="00AD6267">
        <w:tab/>
      </w:r>
      <w:r w:rsidRPr="00AD6267">
        <w:rPr>
          <w:color w:val="000000"/>
        </w:rPr>
        <w:t xml:space="preserve">mając na uwadze, że UE jako całość – a w szczególności jej duże gospodarki – charakteryzuje się obecnie </w:t>
      </w:r>
      <w:r w:rsidRPr="00AD6267">
        <w:t xml:space="preserve">powolnym wzrostem gospodarczym i </w:t>
      </w:r>
      <w:r w:rsidRPr="00AD6267">
        <w:rPr>
          <w:color w:val="000000"/>
        </w:rPr>
        <w:t>doświadcza problemów z utratą konkurencyjności na rzecz państw trzecich, które to problemy są potęgowane przez skutki pandemii, kryzysu energetycznego i rosyjskiej agresji na Ukrainę i dotykają MŚP oraz gospodarki krajów położonych wzdłuż wschodniej granicy UE;</w:t>
      </w:r>
    </w:p>
    <w:p w14:paraId="70A37D73" w14:textId="77777777" w:rsidR="00193E53" w:rsidRPr="00AD6267" w:rsidRDefault="00193E53" w:rsidP="00193E53">
      <w:pPr>
        <w:pStyle w:val="NormalHanging12a"/>
      </w:pPr>
      <w:r w:rsidRPr="00AD6267">
        <w:t>C.</w:t>
      </w:r>
      <w:r w:rsidRPr="00AD6267">
        <w:tab/>
        <w:t>mając na uwadze, że ponieważ europejskie MŚP różnią się pod względem skali, branży, potrzeb finansowych, lokalizacji, struktury własności, modelu biznesowego i zdolności innowacyjnych, stoją w obliczu różnych wyzwań i mają różne potrzeby w zakresie finansowania, a także ograniczone możliwości reagowania na nie; mając na uwadze, że większość europejskich MŚP działa głównie w skali krajowej; mając na uwadze, że stosunkowo niewiele MŚP prowadzi działalność transgraniczną na terenie UE, a te, które prowadzą eksport poza Unię, stanowią mniejszość;</w:t>
      </w:r>
    </w:p>
    <w:p w14:paraId="4B108596" w14:textId="77777777" w:rsidR="00193E53" w:rsidRPr="00AD6267" w:rsidRDefault="00193E53" w:rsidP="00193E53">
      <w:pPr>
        <w:pStyle w:val="NormalHanging12a"/>
      </w:pPr>
      <w:r w:rsidRPr="00AD6267">
        <w:t>D.</w:t>
      </w:r>
      <w:r w:rsidRPr="00AD6267">
        <w:tab/>
        <w:t xml:space="preserve">mając na uwadze, że w sprawozdaniu </w:t>
      </w:r>
      <w:proofErr w:type="spellStart"/>
      <w:r w:rsidRPr="00AD6267">
        <w:t>Draghiego</w:t>
      </w:r>
      <w:proofErr w:type="spellEnd"/>
      <w:r w:rsidRPr="00AD6267">
        <w:t xml:space="preserve"> wskazano, iż bariery regulacyjne i obciążenia administracyjne należą do głównych wyzwań stojących przed MŚP, przy czym przepisy dotyczące sprawozdawczości, głównie w ramach Europejskiego </w:t>
      </w:r>
      <w:r w:rsidRPr="00AD6267">
        <w:lastRenderedPageBreak/>
        <w:t>Zielonego Ładu, są postrzegane przez ponad 60 % przedsiębiorstw UE jako przeszkoda dla inwestycji, a 55 % MŚP wskazuje bariery regulacyjne i obciążenia administracyjne jako największe wyzwanie, podczas gdy odsetek ten jest jeszcze większy w przypadku przedsiębiorstw typu start-</w:t>
      </w:r>
      <w:proofErr w:type="spellStart"/>
      <w:r w:rsidRPr="00AD6267">
        <w:t>up</w:t>
      </w:r>
      <w:proofErr w:type="spellEnd"/>
      <w:r w:rsidRPr="00AD6267">
        <w:t xml:space="preserve"> i mikroprzedsiębiorstw, oraz że w tym sprawozdaniu zalecono wyłączenie MŚP z zakresu regulacji ze względu na zasadę proporcjonalności, ponieważ wprowadzenie prostszych, przewidywalnych i konkurencyjnych ram regulacyjnych oraz przegląd Europejskiego Zielonego Ładu mają zasadnicze znaczenie dla dobrej koniunktury w sektorze MŚP;</w:t>
      </w:r>
    </w:p>
    <w:p w14:paraId="53E1990B" w14:textId="77777777" w:rsidR="00193E53" w:rsidRPr="00AD6267" w:rsidRDefault="00193E53" w:rsidP="00193E53">
      <w:pPr>
        <w:pStyle w:val="NormalHanging12a"/>
      </w:pPr>
      <w:r w:rsidRPr="00AD6267">
        <w:t>E.</w:t>
      </w:r>
      <w:r w:rsidRPr="00AD6267">
        <w:tab/>
        <w:t>mając na uwadze, że Komisja dąży do poprawy dostępu MŚP do finansowania, aby zwiększyć skalę ich działalności, zmniejszyć nieefektywność i propagować interoperacyjność, a ponadto postawiła sobie za cel zmniejszenie obciążeń sprawozdawczych dla MŚP o co najmniej 35 % oraz zapowiedziała, że w ocenach skutków będzie uwzględniać również wpływ na MŚP i konkurencyjność; mając na uwadze, że inicjatywom tym musi towarzyszyć dobrze rozwinięty ekosystem kapitału wysokiego ryzyka, pamiętając o tym, że inwestorzy instytucjonalni, tacy jak zakłady ubezpieczeń, wnoszą istotny wkład w finansowanie MŚP dzięki przenoszeniu i transformacji ryzyka, oraz o tym, że w przeciwieństwie do Stanów Zjednoczonych większość finansowania w Unii Europejskiej pochodzi z banków, a także o tym, że istnieją wyraźne różnice między kulturą inwestycyjną w Europie i innych regionach świata, zwłaszcza w przypadku kapitału wysokiego ryzyka i finansowania przez aniołów biznesu; mając na uwadze, że sytuacja ta sprawia, że MŚP są szczególnie narażone na trudności w przypadku zmniejszenia akcji kredytowej przez banki;</w:t>
      </w:r>
    </w:p>
    <w:p w14:paraId="10B914C3" w14:textId="77777777" w:rsidR="00193E53" w:rsidRPr="00AD6267" w:rsidRDefault="00193E53" w:rsidP="00193E53">
      <w:pPr>
        <w:pStyle w:val="NormalHanging12a"/>
      </w:pPr>
      <w:r w:rsidRPr="00AD6267">
        <w:t>F.</w:t>
      </w:r>
      <w:r w:rsidRPr="00AD6267">
        <w:tab/>
        <w:t>mając na uwadze, że w Europie brak dynamicznych i korzystnych warunków dla rozwoju innowacyjnych przedsiębiorstw, które wymagają dalszych inwestycji i zaawansowanych rozwiązań cyfrowych, przez co niemal 30 % „jednorożców” przeniosło działalność za granicę</w:t>
      </w:r>
      <w:r w:rsidRPr="00AD6267">
        <w:rPr>
          <w:rStyle w:val="FootnoteReference"/>
        </w:rPr>
        <w:footnoteReference w:id="3"/>
      </w:r>
      <w:r w:rsidRPr="00AD6267">
        <w:t>;</w:t>
      </w:r>
    </w:p>
    <w:p w14:paraId="275E478C" w14:textId="77777777" w:rsidR="00193E53" w:rsidRPr="00AD6267" w:rsidRDefault="00193E53" w:rsidP="00193E53">
      <w:pPr>
        <w:pStyle w:val="NormalHanging12a"/>
      </w:pPr>
      <w:r w:rsidRPr="00AD6267">
        <w:t>G.</w:t>
      </w:r>
      <w:r w:rsidRPr="00AD6267">
        <w:tab/>
        <w:t>mając na uwadze, że Komisja opublikowała strategię na rzecz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>, oraz że realizuje różne inicjatywy, które mają promować przedsiębiorczość, innowacje i transformację cyfrową w UE, takie jak strategia na rzecz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 xml:space="preserve">, tablica wyników </w:t>
      </w:r>
      <w:proofErr w:type="spellStart"/>
      <w:r w:rsidRPr="00AD6267">
        <w:t>ekoinnowacji</w:t>
      </w:r>
      <w:proofErr w:type="spellEnd"/>
      <w:r w:rsidRPr="00AD6267">
        <w:t>, wspólnoty wiedzy i innowacji, Europejska Platforma Współpracy Klastrów, cyfrowa dekada i strategia jednolitego rynku cyfrowego, a także programy finansowania poświęcone innowacjom w innych obszarach polityki;</w:t>
      </w:r>
    </w:p>
    <w:p w14:paraId="66EB7D01" w14:textId="77777777" w:rsidR="00193E53" w:rsidRPr="00AD6267" w:rsidRDefault="00193E53" w:rsidP="00193E53">
      <w:pPr>
        <w:pStyle w:val="Normal12a24b"/>
      </w:pPr>
      <w:r w:rsidRPr="00AD6267">
        <w:rPr>
          <w:rStyle w:val="BoldItalic"/>
        </w:rPr>
        <w:t>Kwestie ogólne</w:t>
      </w:r>
    </w:p>
    <w:p w14:paraId="73278393" w14:textId="77777777" w:rsidR="00193E53" w:rsidRPr="00AD6267" w:rsidRDefault="00193E53" w:rsidP="00193E53">
      <w:pPr>
        <w:pStyle w:val="NormalHanging12a"/>
      </w:pPr>
      <w:r w:rsidRPr="00AD6267">
        <w:t>1.</w:t>
      </w:r>
      <w:r w:rsidRPr="00AD6267">
        <w:tab/>
        <w:t xml:space="preserve">uważa, że stworzenie sprzyjających warunków rynkowych europejskim przedsiębiorstwom w zakresie innowacji, zakładania działalności, kreatywności, rozwoju i ekspansji w Europie jest niezbędne, aby uwolnić pełny potencjał naszego rynku i zwiększyć konkurencyjność naszych gospodarek; przyznaje, że fragmentacja regulacyjna jest jedną z przeszkód uniemożliwiających przedsiębiorstwom </w:t>
      </w:r>
      <w:proofErr w:type="spellStart"/>
      <w:r w:rsidRPr="00AD6267">
        <w:t>scale-up</w:t>
      </w:r>
      <w:proofErr w:type="spellEnd"/>
      <w:r w:rsidRPr="00AD6267">
        <w:t xml:space="preserve"> wykorzystanie w pełni potencjału jednolitego rynku; zauważa, że warunki i wymogi </w:t>
      </w:r>
      <w:r w:rsidRPr="00AD6267">
        <w:lastRenderedPageBreak/>
        <w:t>finansowania MŚP różnią się w poszczególnych państwach członkowskich i regionach ze względu na czynniki specyficzne dla każdego przedsiębiorstwa, położenie geograficzne – takie jak lokalizacja w regionach oddalonych, najbardziej oddalonych lub wyspiarskich – oraz otoczenie gospodarcze, w związku z czym potrzebują one rozwiązań dostosowanych do takiej specyfiki i do potrzeb mniejszych gospodarek;</w:t>
      </w:r>
    </w:p>
    <w:p w14:paraId="4DEF940A" w14:textId="77777777" w:rsidR="00193E53" w:rsidRPr="00AD6267" w:rsidRDefault="00193E53" w:rsidP="00193E53">
      <w:pPr>
        <w:pStyle w:val="NormalHanging12a"/>
      </w:pPr>
      <w:r w:rsidRPr="00AD6267">
        <w:t>2.</w:t>
      </w:r>
      <w:r w:rsidRPr="00AD6267">
        <w:tab/>
        <w:t xml:space="preserve">z zadowoleniem stwierdza, że po opublikowaniu sprawozdań </w:t>
      </w:r>
      <w:proofErr w:type="spellStart"/>
      <w:r w:rsidRPr="00AD6267">
        <w:t>Draghiego</w:t>
      </w:r>
      <w:proofErr w:type="spellEnd"/>
      <w:r w:rsidRPr="00AD6267">
        <w:t xml:space="preserve"> i </w:t>
      </w:r>
      <w:proofErr w:type="spellStart"/>
      <w:r w:rsidRPr="00AD6267">
        <w:t>Letty</w:t>
      </w:r>
      <w:proofErr w:type="spellEnd"/>
      <w:r w:rsidRPr="00AD6267">
        <w:t xml:space="preserve"> uznano potrzebę zwiększania konkurencyjności, zmniejszania fragmentacji i ograniczania biurokracji na jednolitym rynku; wzywa Komisję do uwzględnienia zaleceń zawartych w tych sprawozdaniach, w których stwierdzono, że trzeba podjąć natychmiastowe i zdecydowane działania, zarówno na szczeblu regulacyjnym, jak i politycznym; ubolewa w związku z tym nad nadmiernymi obciążeniami nakładanymi na MŚP w wyniku podjęcia różnych zobowiązań w ramach Europejskiego Zielonego Ładu; jest przekonany, że wprowadzenie konkretnych definicji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 xml:space="preserve"> zwiększyłoby możliwości wsparcia za pomocą środków dostosowanych do ich szczególnych potrzeb;</w:t>
      </w:r>
    </w:p>
    <w:p w14:paraId="7B0F245D" w14:textId="77777777" w:rsidR="00193E53" w:rsidRPr="00AD6267" w:rsidRDefault="00193E53" w:rsidP="00193E53">
      <w:pPr>
        <w:pStyle w:val="NormalHanging12a"/>
        <w:rPr>
          <w:bCs/>
          <w:iCs/>
        </w:rPr>
      </w:pPr>
      <w:r w:rsidRPr="00AD6267">
        <w:t>3.</w:t>
      </w:r>
      <w:r w:rsidRPr="00AD6267">
        <w:tab/>
        <w:t>przyznaje, że kredyty bankowe pozostają głównym zewnętrznym źródłem finansowania MŚP w Unii; podkreśla kluczową rolę tradycyjnych modeli bankowości, w tym małych banków regionalnych, kas oszczędnościowych, banków spółdzielczych i instytucji publicznych;</w:t>
      </w:r>
    </w:p>
    <w:p w14:paraId="0EF2F0BC" w14:textId="77777777" w:rsidR="00193E53" w:rsidRPr="00AD6267" w:rsidRDefault="00193E53" w:rsidP="00193E53">
      <w:pPr>
        <w:pStyle w:val="NormalHanging12a"/>
      </w:pPr>
      <w:r w:rsidRPr="00AD6267">
        <w:t>4.</w:t>
      </w:r>
      <w:r w:rsidRPr="00AD6267">
        <w:tab/>
        <w:t xml:space="preserve">podkreśla, że UE powinna ułatwiać prowadzenie działalności gospodarczej i zwiększać atrakcyjność otoczenia biznesowego, co pozwoli przyciągnąć zarówno europejski, jak i międzynarodowy kapitał i inwestycje; podkreśla potrzebę wspierania ekosystemu przedsiębiorstw typu </w:t>
      </w:r>
      <w:proofErr w:type="spellStart"/>
      <w:r w:rsidRPr="00AD6267">
        <w:t>scale-up</w:t>
      </w:r>
      <w:proofErr w:type="spellEnd"/>
      <w:r w:rsidRPr="00AD6267">
        <w:t>, który opierałby się przede wszystkim na inwestycjach prywatnych i partnerstwach publiczno-prywatnych, co pomogłoby przyciągnąć kapitał i ułatwiłoby przedsiębiorstwom dostęp do finansowania; podkreśla istotną i ugruntowaną rolę banków, które posiadają wiedzę na temat uwarunkowań regionalnych i lokalnych, w zapewnianiu finansowania MŚP, wynikającą z ich długotrwałych relacji z tymi firmami;</w:t>
      </w:r>
    </w:p>
    <w:p w14:paraId="190A13F9" w14:textId="77777777" w:rsidR="00193E53" w:rsidRPr="00AD6267" w:rsidRDefault="00193E53" w:rsidP="00193E53">
      <w:pPr>
        <w:pStyle w:val="NormalHanging12a"/>
      </w:pPr>
      <w:r w:rsidRPr="00AD6267">
        <w:t>5.</w:t>
      </w:r>
      <w:r w:rsidRPr="00AD6267">
        <w:tab/>
        <w:t xml:space="preserve">zwraca uwagę na szczególne wyzwania związane z uzyskaniem finansowania na późnym etapie wzrostu, przed którymi stoją europejskie przedsiębiorstwa </w:t>
      </w:r>
      <w:proofErr w:type="spellStart"/>
      <w:r w:rsidRPr="00AD6267">
        <w:t>scale-up</w:t>
      </w:r>
      <w:proofErr w:type="spellEnd"/>
      <w:r w:rsidRPr="00AD6267">
        <w:t xml:space="preserve">; zauważa, że wiele unijnych przedsiębiorstw o wysokim potencjale nadal jest uzależnionych od zagranicznego kapitału wysokiego ryzyka i inwestorów zagranicznych, oraz że na wielu kolejnych rundach finansowania dominują inwestorzy spoza Europy; podkreśla, że trzeba stworzyć bardziej atrakcyjne warunki dla inwestycji w Unii; podkreśla, że dostęp do finansowania powinien opierać się na kryteriach efektywności gospodarczej, rentowności i skalowalności, niezależnie od pochodzenia kapitału, oraz przypomina, że otwarta i globalna rywalizacja o przyciągnięcie inwestycji przynosi korzyści przedsiębiorstwom i sprzyja innowacjom; podkreśla w związku z </w:t>
      </w:r>
      <w:r w:rsidRPr="00AD6267">
        <w:lastRenderedPageBreak/>
        <w:t>tym, że niedawno przyjęto unijny akt w sprawie dopuszczania do obrotu giełdowego</w:t>
      </w:r>
      <w:r w:rsidRPr="00AD6267">
        <w:rPr>
          <w:rStyle w:val="FootnoteReference"/>
        </w:rPr>
        <w:footnoteReference w:id="4"/>
      </w:r>
      <w:r w:rsidRPr="00AD6267">
        <w:t>, który ułatwia przedsiębiorstwom o różnej wielkości, w tym MŚP, wejście na europejskie giełdy papierów wartościowych;</w:t>
      </w:r>
    </w:p>
    <w:p w14:paraId="32ACE95C" w14:textId="77777777" w:rsidR="00193E53" w:rsidRPr="00AD6267" w:rsidRDefault="00193E53" w:rsidP="00193E53">
      <w:pPr>
        <w:pStyle w:val="NormalHanging12a"/>
      </w:pPr>
      <w:r w:rsidRPr="00AD6267">
        <w:t>6.</w:t>
      </w:r>
      <w:r w:rsidRPr="00AD6267">
        <w:tab/>
        <w:t>odnotowuje opublikowanie przez Komisję Unijnej strategii na rzecz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>, która powinna promować innowacje i odpowiadać na wyzwania stojące przed indywidualnymi innowatorami, założycielami oraz przedsiębiorstwami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 xml:space="preserve"> w UE; podkreśla, że chociaż diagnoza zawarta w tej strategii jest do pewnego stopnia słuszna, proponowane środki muszą być bardziej ambitne i należy położyć nacisk na uchylenie wszystkich przepisów UE, które nakładają niepotrzebne obciążenia administracyjne utrudniające tworzenie i rozwój przedsiębiorstw; apeluje do Komisji, by uwzględniła rolnictwo wśród sektorów priorytetowych wymienionych w strategii;</w:t>
      </w:r>
    </w:p>
    <w:p w14:paraId="2E814737" w14:textId="77777777" w:rsidR="00193E53" w:rsidRPr="00AD6267" w:rsidRDefault="00193E53" w:rsidP="00193E53">
      <w:pPr>
        <w:pStyle w:val="NormalHanging12a"/>
      </w:pPr>
      <w:r w:rsidRPr="00AD6267">
        <w:t>7.</w:t>
      </w:r>
      <w:r w:rsidRPr="00AD6267">
        <w:tab/>
        <w:t xml:space="preserve">uważa, że ułatwienie MŚP i przedsiębiorstwom </w:t>
      </w:r>
      <w:proofErr w:type="spellStart"/>
      <w:r w:rsidRPr="00AD6267">
        <w:t>scale-up</w:t>
      </w:r>
      <w:proofErr w:type="spellEnd"/>
      <w:r w:rsidRPr="00AD6267">
        <w:t xml:space="preserve"> dostępu do finansowania będzie zależało od: (i) znacznego i stałego zmniejszenia obciążeń biurokratycznych i regulacyjnych, w tym długotrwałych procedur wydawania pozwoleń, kosztownych wymogów sprawozdawczych oraz złożoności i nieprzewidywalności otoczenia regulacyjnego, (ii) zwiększenia zdolności do odblokowania prywatnych inwestycji i oszczędności, (iii) wypełnienia luki w finansowaniu przedsiębiorstw </w:t>
      </w:r>
      <w:proofErr w:type="spellStart"/>
      <w:r w:rsidRPr="00AD6267">
        <w:t>scale-up</w:t>
      </w:r>
      <w:proofErr w:type="spellEnd"/>
      <w:r w:rsidRPr="00AD6267">
        <w:t xml:space="preserve"> oraz (iv) zwiększenia konkurencyjności ekosystemu rynków kapitałowych w UE; podkreśla, że w tym kontekście ostatecznym celem Komisji musi być ukończenie tworzenia unii oszczędności i inwestycji, która respektuje kompetencje państw członkowskich i przestrzega zasady pomocniczości;</w:t>
      </w:r>
    </w:p>
    <w:p w14:paraId="3095C5D3" w14:textId="77777777" w:rsidR="00193E53" w:rsidRPr="00AD6267" w:rsidRDefault="00193E53" w:rsidP="00193E53">
      <w:pPr>
        <w:pStyle w:val="Normal12a24b"/>
      </w:pPr>
      <w:r w:rsidRPr="00AD6267">
        <w:rPr>
          <w:rStyle w:val="BoldItalic"/>
        </w:rPr>
        <w:t>Zmniejszenie obciążeń biurokratycznych i regulacyjnych</w:t>
      </w:r>
    </w:p>
    <w:p w14:paraId="7CD2F602" w14:textId="77777777" w:rsidR="00193E53" w:rsidRPr="00AD6267" w:rsidRDefault="00193E53" w:rsidP="00193E53">
      <w:pPr>
        <w:pStyle w:val="NormalHanging12a"/>
      </w:pPr>
      <w:r w:rsidRPr="00AD6267">
        <w:t>8.</w:t>
      </w:r>
      <w:r w:rsidRPr="00AD6267">
        <w:tab/>
        <w:t>przypomina, że wiele obiecujących europejskich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 xml:space="preserve"> przenosi się do państw trzecich ze względu na uciążliwe, czasochłonne i nieprzewidywalne regulacje oraz fragmentaryczny krajobraz regulacyjny w Europie; podkreśla, że jeżeli nie odwróci się tej tendencji poprzez znaczne uproszczenie, Europa będzie nadal tracić przedsiębiorstwa na najbardziej strategicznym etapie ich wzrostu, co zmniejszy liczbę miejsc pracy i spowolni wzrost gospodarczy; ubolewa, że progi </w:t>
      </w:r>
      <w:r w:rsidRPr="00AD6267">
        <w:lastRenderedPageBreak/>
        <w:t>podatkowe i regulacyjne utrudniają rozwój przedsiębiorstw, nakładając na nie większe obciążenia, gdy tylko osiągną one określoną wielkość lub obroty;</w:t>
      </w:r>
    </w:p>
    <w:p w14:paraId="44349A12" w14:textId="77777777" w:rsidR="00193E53" w:rsidRPr="00AD6267" w:rsidRDefault="00193E53" w:rsidP="00193E53">
      <w:pPr>
        <w:pStyle w:val="NormalHanging12a"/>
      </w:pPr>
      <w:r w:rsidRPr="00AD6267">
        <w:t>9.</w:t>
      </w:r>
      <w:r w:rsidRPr="00AD6267">
        <w:tab/>
        <w:t>apeluje o dalsze uproszczenie i zachęca Komisję do przedstawienia kolejnych wniosków, które wykraczają poza opublikowane przez Komisję pakiety zbiorcze dotyczące uproszczenia i wprowadzają przyjazne dla przedsiębiorstw typu start-</w:t>
      </w:r>
      <w:proofErr w:type="spellStart"/>
      <w:r w:rsidRPr="00AD6267">
        <w:t>up</w:t>
      </w:r>
      <w:proofErr w:type="spellEnd"/>
      <w:r w:rsidRPr="00AD6267">
        <w:t xml:space="preserve"> regulacje i ramy ułatwiające rozwój, skalowalność i działalność transgraniczną przedsiębiorstw typu start-</w:t>
      </w:r>
      <w:proofErr w:type="spellStart"/>
      <w:r w:rsidRPr="00AD6267">
        <w:t>up</w:t>
      </w:r>
      <w:proofErr w:type="spellEnd"/>
      <w:r w:rsidRPr="00AD6267">
        <w:t xml:space="preserve"> i </w:t>
      </w:r>
      <w:proofErr w:type="spellStart"/>
      <w:r w:rsidRPr="00AD6267">
        <w:t>scale-up</w:t>
      </w:r>
      <w:proofErr w:type="spellEnd"/>
      <w:r w:rsidRPr="00AD6267">
        <w:t>, przy jednoczesnym zapewnieniu ochrony konsumentów, prywatności danych i uczciwej konkurencji; przypomina o zobowiązaniu Komisji do ograniczenia biurokracji poprzez podejście horyzontalne we wszystkich obszarach i wzywa do systematycznego przeglądu dorobku prawnego UE w celu zidentyfikowania i wyeliminowania barier regulacyjnych dla MŚP;</w:t>
      </w:r>
    </w:p>
    <w:p w14:paraId="31077B62" w14:textId="77777777" w:rsidR="00193E53" w:rsidRPr="00AD6267" w:rsidRDefault="00193E53" w:rsidP="00193E53">
      <w:pPr>
        <w:pStyle w:val="NormalHanging12a"/>
      </w:pPr>
      <w:r w:rsidRPr="00AD6267">
        <w:t>10.</w:t>
      </w:r>
      <w:r w:rsidRPr="00AD6267">
        <w:tab/>
        <w:t xml:space="preserve">po przyjęciu przez Komisję drugiego pakietu zbiorczego podkreśla potrzebę usprawnienia procesów wdrażania Programu </w:t>
      </w:r>
      <w:proofErr w:type="spellStart"/>
      <w:r w:rsidRPr="00AD6267">
        <w:t>InvestEU</w:t>
      </w:r>
      <w:proofErr w:type="spellEnd"/>
      <w:r w:rsidRPr="00AD6267">
        <w:t xml:space="preserve">, aby zapewnić MŚP – również tym najmniejszym – łatwiejszy dostęp do wsparcia finansowego potrzebnego im do rozwoju i innowacji; podkreśla, że ramy regulacyjne i instrumenty finansowane przez UE powinny być proporcjonalne do wielkości i zdolności administracyjnych MŚP oraz odpowiednio do nich dostosowane, a nie powielane z wymogów, które dotyczą większych przedsiębiorstw; </w:t>
      </w:r>
    </w:p>
    <w:p w14:paraId="07152616" w14:textId="77777777" w:rsidR="00193E53" w:rsidRPr="00AD6267" w:rsidRDefault="00193E53" w:rsidP="00193E53">
      <w:pPr>
        <w:pStyle w:val="NormalHanging12a"/>
      </w:pPr>
      <w:r w:rsidRPr="00AD6267">
        <w:t>11.</w:t>
      </w:r>
      <w:r w:rsidRPr="00AD6267">
        <w:tab/>
        <w:t>zauważa, że nałożenie wielu wymogów regulacyjnych na banki może mieć negatywny wpływ na udzielanie pożyczek MŚP; podkreśla, że należy unikać podwójnych wymogów sprawozdawczych i wielu kanałów sprawozdawczych, które nakładają niepotrzebne obciążenia administracyjne, zwłaszcza na mniejsze banki; wzywa Komisję, aby z pomocą Europejskiego Urzędu Nadzoru Bankowego i Jednolitego Mechanizmu Nadzorczego oceniła wpływ obecnych przepisów regulacyjnych na udzielanie pożyczek MŚP; podkreśla konieczność stosowania zasady proporcjonalności w regulacji sektora bankowego;</w:t>
      </w:r>
    </w:p>
    <w:p w14:paraId="5162D868" w14:textId="77777777" w:rsidR="00193E53" w:rsidRPr="00AD6267" w:rsidRDefault="00193E53" w:rsidP="00193E53">
      <w:pPr>
        <w:pStyle w:val="NormalHanging12a"/>
      </w:pPr>
      <w:r w:rsidRPr="00AD6267">
        <w:t>12.</w:t>
      </w:r>
      <w:r w:rsidRPr="00AD6267">
        <w:tab/>
        <w:t>wzywa Komisję do oceny istniejących obowiązków regulacyjnych obciążających przedsiębiorstwa, takich jak ramy zrównoważonego finansowania, które są słabo dostosowane do potrzeb europejskich MŚP, a także obowiązków wynikających z Europejskiego Zielonego Ładu, oraz do opracowania progów proporcjonalności w celu zwolnienia MŚP z nadmiernych obowiązków; z zadowoleniem przyjmuje propozycję nowej oceny wpływu na MŚP i na konkurencyjność; wzywa Komisję do dopilnowania, by standardy sprawozdawczości w zakresie zrównoważonego rozwoju były proste i dobrowolne, oraz do przeprowadzenia przeglądu wymogów dotyczących ujawniania informacji bankowych w ramach filaru 3, które mogą pośrednio nakładać na MŚP nieproporcjonalne wymogi w zakresie danych;</w:t>
      </w:r>
    </w:p>
    <w:p w14:paraId="5814F362" w14:textId="77777777" w:rsidR="00193E53" w:rsidRPr="00AD6267" w:rsidRDefault="00193E53" w:rsidP="00193E53">
      <w:pPr>
        <w:pStyle w:val="NormalHanging12a"/>
      </w:pPr>
      <w:r w:rsidRPr="00AD6267">
        <w:t>13.</w:t>
      </w:r>
      <w:r w:rsidRPr="00AD6267">
        <w:tab/>
        <w:t>podkreśla, że zasada „jedno więcej – jedno mniej”, która nie jest odpowiednio wdrażana w praktyce, jest niewystarczająca, i wzywa Komisję do zaproponowania ambitniejszej strategii uproszczenia, w ramach której zagwarantuje się pewność i przewidywalność prawa, a także dokona się przeglądu przepisów poziomu 2 i 3; podkreśla, że cel Komisji dotyczący ograniczenia obowiązków sprawozdawczych o 35 % musi być wymierny, a wyniki muszą być możliwe do śledzenia, z jasnym harmonogramem, kluczowymi wskaźnikami efektywności i odpowiednią metodyką ich śledzenia;</w:t>
      </w:r>
    </w:p>
    <w:p w14:paraId="36C9DC21" w14:textId="77777777" w:rsidR="00193E53" w:rsidRPr="00AD6267" w:rsidRDefault="00193E53" w:rsidP="00193E53">
      <w:pPr>
        <w:pStyle w:val="Normal12a24b"/>
      </w:pPr>
      <w:r w:rsidRPr="00AD6267">
        <w:rPr>
          <w:rStyle w:val="BoldItalic"/>
        </w:rPr>
        <w:t>Uwolnienie kapitału prywatnego i oszczędności</w:t>
      </w:r>
    </w:p>
    <w:p w14:paraId="790EBC8B" w14:textId="77777777" w:rsidR="00193E53" w:rsidRPr="00AD6267" w:rsidRDefault="00193E53" w:rsidP="00193E53">
      <w:pPr>
        <w:pStyle w:val="NormalHanging12a"/>
      </w:pPr>
      <w:r w:rsidRPr="00AD6267">
        <w:lastRenderedPageBreak/>
        <w:t>14.</w:t>
      </w:r>
      <w:r w:rsidRPr="00AD6267">
        <w:tab/>
        <w:t>zauważa, że Komisja dąży do wdrożenia unii oszczędności i inwestycji, która musi obejmować nie tylko działania na szczeblu UE, ale także rozwój narzędzi, rozwiązań i najlepszych praktyk służących poszanowaniu i wsparciu działań państw członkowskich na szczeblu krajowym oraz transgranicznej spójności, a także stopniowemu zmniejszeniu krytycznych rozbieżności;</w:t>
      </w:r>
    </w:p>
    <w:p w14:paraId="4564298A" w14:textId="77777777" w:rsidR="00193E53" w:rsidRPr="00AD6267" w:rsidRDefault="00193E53" w:rsidP="00193E53">
      <w:pPr>
        <w:pStyle w:val="NormalHanging12a"/>
      </w:pPr>
      <w:r w:rsidRPr="00AD6267">
        <w:t>15.</w:t>
      </w:r>
      <w:r w:rsidRPr="00AD6267">
        <w:tab/>
        <w:t>wzywa Komisję, aby ułatwiła inwestorom dostęp do informacji i ochrony oraz wykorzystała potencjał uproszczonych produktów detalicznych, co pomoże skierować oszczędności gospodarstw domowych na rynki kapitałowe, oraz przypomina, że fundusze emerytalne i zakłady ubezpieczeń odgrywają kluczową rolę w ułatwianiu takiego kierowania; zauważa wprowadzenie znaku „Finance Europe”, co powinno umożliwić zainteresowanym oszczędzającym zainwestowanie oszczędności w europejskie przedsiębiorstwa, a tym samym zapewnienie bezpośredniego wkładu w finansowanie gospodarki Unii; podkreśla, że taki znak nie powinien nakładać dodatkowych obciążeń administracyjnych na przedsiębiorstwa;</w:t>
      </w:r>
    </w:p>
    <w:p w14:paraId="2E9A7584" w14:textId="77777777" w:rsidR="00193E53" w:rsidRPr="00AD6267" w:rsidRDefault="00193E53" w:rsidP="00193E53">
      <w:pPr>
        <w:pStyle w:val="NormalHanging12a"/>
      </w:pPr>
      <w:r w:rsidRPr="00AD6267">
        <w:t>16.</w:t>
      </w:r>
      <w:r w:rsidRPr="00AD6267">
        <w:tab/>
        <w:t xml:space="preserve">ubolewa, że rozporządzenie w sprawie europejskich funduszy venture </w:t>
      </w:r>
      <w:proofErr w:type="spellStart"/>
      <w:r w:rsidRPr="00AD6267">
        <w:t>capital</w:t>
      </w:r>
      <w:proofErr w:type="spellEnd"/>
      <w:r w:rsidRPr="00AD6267">
        <w:t xml:space="preserve"> (</w:t>
      </w:r>
      <w:proofErr w:type="spellStart"/>
      <w:r w:rsidRPr="00AD6267">
        <w:t>EuVECA</w:t>
      </w:r>
      <w:proofErr w:type="spellEnd"/>
      <w:r w:rsidRPr="00AD6267">
        <w:t>)</w:t>
      </w:r>
      <w:r w:rsidRPr="00AD6267">
        <w:rPr>
          <w:rStyle w:val="FootnoteReference"/>
        </w:rPr>
        <w:footnoteReference w:id="5"/>
      </w:r>
      <w:r w:rsidRPr="00AD6267">
        <w:t xml:space="preserve"> wywarło niewielki pozytywny wpływ na lokalne rynki kapitału wysokiego ryzyka; z zadowoleniem stwierdza, że w komunikacie Komisji w sprawie unii oszczędności i inwestycji skoncentrowano się na kapitale wysokiego ryzyka dla nowych, innowacyjnych MŚP, ale ubolewa, że publikacja wniosku Komisji w sprawie </w:t>
      </w:r>
      <w:proofErr w:type="spellStart"/>
      <w:r w:rsidRPr="00AD6267">
        <w:t>EuVECA</w:t>
      </w:r>
      <w:proofErr w:type="spellEnd"/>
      <w:r w:rsidRPr="00AD6267">
        <w:t xml:space="preserve"> została opóźniona i nastąpi w trzecim kwartale 2026 r.; wzywa Komisję do rozważenia zniesienia minimalnego progu inwestycyjnego w wysokości 100 000 EUR, aby umożliwić prywatnym osobom oszczędzającym inwestowanie w fundusze alternatywne; apeluje do Komisji, aby zachęcała państwa członkowskie do oferowania atrakcyjnych i stabilnych ram podatkowych i regulacyjnych funduszom venture </w:t>
      </w:r>
      <w:proofErr w:type="spellStart"/>
      <w:r w:rsidRPr="00AD6267">
        <w:t>capital</w:t>
      </w:r>
      <w:proofErr w:type="spellEnd"/>
      <w:r w:rsidRPr="00AD6267">
        <w:t xml:space="preserve"> inwestującym w MŚP;</w:t>
      </w:r>
    </w:p>
    <w:p w14:paraId="769B0F62" w14:textId="77777777" w:rsidR="00193E53" w:rsidRPr="00AD6267" w:rsidRDefault="00193E53" w:rsidP="00193E53">
      <w:pPr>
        <w:pStyle w:val="NormalHanging12a"/>
      </w:pPr>
      <w:r w:rsidRPr="00AD6267">
        <w:t>17.</w:t>
      </w:r>
      <w:r w:rsidRPr="00AD6267">
        <w:tab/>
        <w:t>zdecydowanie podkreśla, że trzeba zwiększyć wiedzę finansową obywateli i przedsiębiorców w UE oraz poprawić warunki do oszczędzania i inwestowania, które umożliwią przejście od oszczędzania do inwestowania w sposób świadomy i niezależny; apeluje do Komisji, aby uwzględniła przedsiębiorczość w przyszłej strategii na rzecz wiedzy finansowej oraz w zestawie narzędzi dla państw członkowskich mającym poprawić koordynację w tym zakresie;</w:t>
      </w:r>
    </w:p>
    <w:p w14:paraId="35AA18EA" w14:textId="77777777" w:rsidR="00193E53" w:rsidRPr="00AD6267" w:rsidRDefault="00193E53" w:rsidP="00193E53">
      <w:pPr>
        <w:pStyle w:val="NormalHanging12a"/>
      </w:pPr>
      <w:r w:rsidRPr="00AD6267">
        <w:t>18.</w:t>
      </w:r>
      <w:r w:rsidRPr="00AD6267">
        <w:tab/>
        <w:t xml:space="preserve">apeluje, by nie wykorzystywać środków publicznych jako dotacji, lecz raczej jako katalizator mobilizujący inwestycje prywatne i zapewniający MMŚP dostęp do większych środków prywatnych; </w:t>
      </w:r>
      <w:bookmarkStart w:id="7" w:name="_Hlk210313322"/>
      <w:r w:rsidRPr="00AD6267">
        <w:t>przypomina, że większość tych inwestycji musi mieć charakter prywatny, i podkreśla, że trzeba je stymulować przez atrakcyjne i stabilne ramy podatkowe i regulacyjne, które przyciągają zarówno inwestorów profesjonalnych, jak i detalicznych; przypomina o obecnej tendencji strukturalnej do udzielania pożyczek i uważa, że trzeba rozpocząć debatę na temat wprowadzenia ulg podatkowych na inwestycje kapitałowe, a także przyciągać kapitał wysokiego ryzyka w ramach modelu biznesowego tradycyjnej bankowości, bez narażania stabilności finansowej;</w:t>
      </w:r>
      <w:bookmarkEnd w:id="7"/>
    </w:p>
    <w:p w14:paraId="598A9BA7" w14:textId="77777777" w:rsidR="00193E53" w:rsidRPr="00AD6267" w:rsidRDefault="00193E53" w:rsidP="00193E53">
      <w:pPr>
        <w:pStyle w:val="NormalHanging12a"/>
      </w:pPr>
      <w:r w:rsidRPr="00AD6267">
        <w:t>19.</w:t>
      </w:r>
      <w:r w:rsidRPr="00AD6267">
        <w:tab/>
        <w:t xml:space="preserve">podkreśla, że sektor publiczny może odegrać kluczową rolę w mobilizowaniu kapitału prywatnego, zwłaszcza w sektorach dotkniętych asymetrią informacji lub regionach o </w:t>
      </w:r>
      <w:r w:rsidRPr="00AD6267">
        <w:lastRenderedPageBreak/>
        <w:t>słabo rozwiniętych rynkach finansowych; apeluje, aby instrumenty publiczne projektowano z myślą o zachowaniu neutralności konkurencyjnej i z naciskiem na ich skuteczność, aby zmaksymalizować efekt pobudzania inwestycji prywatnych; podkreśla w związku z tym, że należy w pełni wykorzystać potencjał Grupy Europejskiego Banku Inwestycyjnego (EBI), aby przyciągnąć inwestycje prywatne, oraz że musi ona przeznaczyć więcej środków na innowacyjne projekty MŚP, przedsiębiorstwa typu start-</w:t>
      </w:r>
      <w:proofErr w:type="spellStart"/>
      <w:r w:rsidRPr="00AD6267">
        <w:t>up</w:t>
      </w:r>
      <w:proofErr w:type="spellEnd"/>
      <w:r w:rsidRPr="00AD6267">
        <w:t xml:space="preserve"> i przedsiębiorstwa </w:t>
      </w:r>
      <w:proofErr w:type="spellStart"/>
      <w:r w:rsidRPr="00AD6267">
        <w:t>scale-up</w:t>
      </w:r>
      <w:proofErr w:type="spellEnd"/>
      <w:r w:rsidRPr="00AD6267">
        <w:t>; podkreśla ponadto rolę Europejskiego Funduszu Rozwoju Regionalnego, zwłaszcza w regionach o ograniczonej dostępności kredytów, a także biorąc pod uwagę fakt, że koszty pożyczek w całej UE są bardzo zróżnicowane, co jest niekorzystne dla MŚP w niektórych państwach członkowskich;</w:t>
      </w:r>
    </w:p>
    <w:p w14:paraId="35823CEC" w14:textId="77777777" w:rsidR="00193E53" w:rsidRPr="00AD6267" w:rsidRDefault="00193E53" w:rsidP="00193E53">
      <w:pPr>
        <w:pStyle w:val="NormalHanging12a"/>
      </w:pPr>
      <w:r w:rsidRPr="00AD6267">
        <w:t>20.</w:t>
      </w:r>
      <w:r w:rsidRPr="00AD6267">
        <w:tab/>
        <w:t>odnotowuje publikację przeglądu ram sekurytyzacji i wzywa Komisję do ich uelastycznienia, aby umożliwić instytucjom kredytowym dalsze finansowanie przedsiębiorstw, w tym MŚP, oraz wspieranie ich wzrostu, bez uszczerbku dla przejrzystości i jakości kredytowej; podkreśla w związku z tym, że należy zwiększyć solidność ram przenoszenia istotnej części ryzyka poprzez wprowadzenie większej wrażliwości na ryzyko i poprawę nadzoru, co przyczyni się do uproszczenia;</w:t>
      </w:r>
    </w:p>
    <w:p w14:paraId="6067E8BF" w14:textId="77777777" w:rsidR="00193E53" w:rsidRPr="00AD6267" w:rsidRDefault="00193E53" w:rsidP="00193E53">
      <w:pPr>
        <w:pStyle w:val="NormalHanging12a"/>
      </w:pPr>
      <w:r w:rsidRPr="00AD6267">
        <w:t>21.</w:t>
      </w:r>
      <w:r w:rsidRPr="00AD6267">
        <w:tab/>
        <w:t>odnotowuje cel Komisji, jakim jest rozwój projektu unijnego inwestycyjnego rachunku oszczędnościowego, który powinien obejmować: (i) uproszczoną procedurę składania deklaracji podatkowych, (ii) towarzyszące zachęty podatkowe oraz (iii) brak ograniczeń dotyczących geografii, sektora, limitów depozytowych lub minimalnych okresów utrzymywania w odniesieniu do inwestycji;</w:t>
      </w:r>
    </w:p>
    <w:p w14:paraId="0D58DE60" w14:textId="77777777" w:rsidR="00193E53" w:rsidRPr="00AD6267" w:rsidRDefault="00193E53" w:rsidP="00193E53">
      <w:pPr>
        <w:pStyle w:val="NormalHanging12a"/>
      </w:pPr>
      <w:r w:rsidRPr="00AD6267">
        <w:t>22.</w:t>
      </w:r>
      <w:r w:rsidRPr="00AD6267">
        <w:tab/>
        <w:t>docenia kluczową rolę sektora prywatnego we wzroście gospodarczym i dobrobycie UE; podkreśla, że postępy w integracji rynków kapitałowych muszą opierać się na zasadach wolności gospodarczej, konkurencji i pewności prawa;</w:t>
      </w:r>
    </w:p>
    <w:p w14:paraId="2557CD70" w14:textId="77777777" w:rsidR="00193E53" w:rsidRPr="00AD6267" w:rsidRDefault="00193E53" w:rsidP="00193E53">
      <w:pPr>
        <w:pStyle w:val="NormalHanging12a"/>
      </w:pPr>
      <w:r w:rsidRPr="00AD6267">
        <w:t>23.</w:t>
      </w:r>
      <w:r w:rsidRPr="00AD6267">
        <w:tab/>
        <w:t>podkreśla, że europejski rynek bezpośrednich transakcji wtórnych, który umożliwiłby obrót akcjami przedsiębiorstw typu start-</w:t>
      </w:r>
      <w:proofErr w:type="spellStart"/>
      <w:r w:rsidRPr="00AD6267">
        <w:t>up</w:t>
      </w:r>
      <w:proofErr w:type="spellEnd"/>
      <w:r w:rsidRPr="00AD6267">
        <w:t xml:space="preserve"> na późnym etapie i przed IPO (pierwszą ofertą publiczną), wzmocniłby ekosystem finansowania Unii, o ile zagwarantowałby równe warunki działania państwom członkowskim, zapobiegałby koncentracji działalności finansowej w kilku jurysdykcjach i w pełni respektowałby kompetencje krajowe;</w:t>
      </w:r>
    </w:p>
    <w:p w14:paraId="3470FCE2" w14:textId="77777777" w:rsidR="00193E53" w:rsidRPr="00AD6267" w:rsidRDefault="00193E53" w:rsidP="00193E53">
      <w:pPr>
        <w:pStyle w:val="NormalHanging12a"/>
      </w:pPr>
      <w:r w:rsidRPr="00AD6267">
        <w:t>24.</w:t>
      </w:r>
      <w:r w:rsidRPr="00AD6267">
        <w:tab/>
        <w:t>zauważa, że w przekształconej dyrektywie w sprawie rynków instrumentów finansowych</w:t>
      </w:r>
      <w:r w:rsidRPr="00AD6267">
        <w:rPr>
          <w:rStyle w:val="FootnoteReference"/>
        </w:rPr>
        <w:footnoteReference w:id="6"/>
      </w:r>
      <w:r w:rsidRPr="00AD6267">
        <w:t xml:space="preserve"> (</w:t>
      </w:r>
      <w:proofErr w:type="spellStart"/>
      <w:r w:rsidRPr="00AD6267">
        <w:t>MiFID</w:t>
      </w:r>
      <w:proofErr w:type="spellEnd"/>
      <w:r w:rsidRPr="00AD6267">
        <w:t xml:space="preserve"> II) przewidziano specjalną kategorię rynków rozwoju MŚP, które mają zaspokajać szczególne potrzeby mniejszych przedsiębiorstw; wzywa Komisję do dalszego rozwijania tego instrumentu przez uelastycznienie systemu regulacyjnego pod kątem potrzeb małych spółek i spółek o średniej kapitalizacji;</w:t>
      </w:r>
    </w:p>
    <w:p w14:paraId="6DA2309B" w14:textId="77777777" w:rsidR="00193E53" w:rsidRPr="00AD6267" w:rsidRDefault="00193E53" w:rsidP="00193E53">
      <w:pPr>
        <w:pStyle w:val="Normal12a24b"/>
      </w:pPr>
      <w:r w:rsidRPr="00AD6267">
        <w:rPr>
          <w:rStyle w:val="BoldItalic"/>
        </w:rPr>
        <w:t xml:space="preserve">Niwelowanie luki w finansowaniu przedsiębiorstw </w:t>
      </w:r>
      <w:proofErr w:type="spellStart"/>
      <w:r w:rsidRPr="00AD6267">
        <w:rPr>
          <w:rStyle w:val="BoldItalic"/>
        </w:rPr>
        <w:t>scale-up</w:t>
      </w:r>
      <w:proofErr w:type="spellEnd"/>
    </w:p>
    <w:p w14:paraId="022FA798" w14:textId="77777777" w:rsidR="00193E53" w:rsidRPr="00AD6267" w:rsidRDefault="00193E53" w:rsidP="00193E53">
      <w:pPr>
        <w:pStyle w:val="NormalHanging12a"/>
      </w:pPr>
      <w:r w:rsidRPr="00AD6267">
        <w:t>25.</w:t>
      </w:r>
      <w:r w:rsidRPr="00AD6267">
        <w:tab/>
        <w:t xml:space="preserve">ubolewa, że z powodu braku atrakcyjnych opcji finansowania dla przedsiębiorstw </w:t>
      </w:r>
      <w:proofErr w:type="spellStart"/>
      <w:r w:rsidRPr="00AD6267">
        <w:t>scale-up</w:t>
      </w:r>
      <w:proofErr w:type="spellEnd"/>
      <w:r w:rsidRPr="00AD6267">
        <w:t xml:space="preserve"> na naszym rynku oraz braku konkurencyjnego otoczenia regulacyjnego, wiele europejskich przedsiębiorstw ostatecznie korzysta z usług inwestorów kapitału </w:t>
      </w:r>
      <w:r w:rsidRPr="00AD6267">
        <w:lastRenderedPageBreak/>
        <w:t>wysokiego ryzyka z siedzibą w państwach trzecich oraz przenosi się na rynki tych państw, aby zwiększyć skalę swojej działalności; wyraża zaniepokojenie rosnącą liczbą upadłości MŚP w UE</w:t>
      </w:r>
      <w:r w:rsidRPr="00AD6267">
        <w:rPr>
          <w:rStyle w:val="FootnoteReference"/>
        </w:rPr>
        <w:footnoteReference w:id="7"/>
      </w:r>
      <w:r w:rsidRPr="00AD6267">
        <w:t>; uważa, że priorytetem jest zajęcie się podstawowymi przyczynami, takimi jak brak kapitału w perspektywie długoterminowej, presja podatkowa podczas zwiększania skali i nieproporcjonalne obciążenia administracyjne;</w:t>
      </w:r>
    </w:p>
    <w:p w14:paraId="793D1A4D" w14:textId="77777777" w:rsidR="00193E53" w:rsidRPr="00AD6267" w:rsidRDefault="00193E53" w:rsidP="00193E53">
      <w:pPr>
        <w:pStyle w:val="NormalHanging12a"/>
      </w:pPr>
      <w:r w:rsidRPr="00AD6267">
        <w:t>26.</w:t>
      </w:r>
      <w:r w:rsidRPr="00AD6267">
        <w:tab/>
        <w:t xml:space="preserve">rozumie, że mobilizacja europejskich inwestorów instytucjonalnych, w szczególności zakładów ubezpieczeń, banków i funduszy emerytalnych, ma zasadnicze znaczenie dla zlikwidowania luki w zwiększaniu skali działalności; zauważa, że trzeba zwiększyć udział funduszy venture </w:t>
      </w:r>
      <w:proofErr w:type="spellStart"/>
      <w:r w:rsidRPr="00AD6267">
        <w:t>capital</w:t>
      </w:r>
      <w:proofErr w:type="spellEnd"/>
      <w:r w:rsidRPr="00AD6267">
        <w:t xml:space="preserve"> w Europie, aby zapewnić większe finansowanie przedsiębiorstwom </w:t>
      </w:r>
      <w:proofErr w:type="spellStart"/>
      <w:r w:rsidRPr="00AD6267">
        <w:t>scale-up</w:t>
      </w:r>
      <w:proofErr w:type="spellEnd"/>
      <w:r w:rsidRPr="00AD6267">
        <w:t>, do czego potrzebne są korzystniejsze ramy finansowania kapitału wysokiego ryzyka i bezpiecznych bezpośrednich inwestycji zagranicznych w UE; wzywa Komisję, aby zachęcała państwa członkowskie o słabo rozwiniętych systemach emerytalnych do utworzenia dodatkowych (filar 2) sektorów emerytalnych, które mogłyby pomóc budować rynki kapitałowe, oraz do stworzenia otoczenia regulacyjnego promującego inwestycje kapitałowe inwestorów instytucjonalnych; przypomina o zobowiązaniu Komisji do pracy nad środkami absorbującymi ryzyko, aby przyciągnąć prywatne finansowanie od banków komercyjnych, inwestorów i kapitału wysokiego ryzyka;</w:t>
      </w:r>
    </w:p>
    <w:p w14:paraId="382702FF" w14:textId="77777777" w:rsidR="00193E53" w:rsidRPr="00AD6267" w:rsidRDefault="00193E53" w:rsidP="00193E53">
      <w:pPr>
        <w:pStyle w:val="NormalHanging12a"/>
      </w:pPr>
      <w:r w:rsidRPr="00AD6267">
        <w:t>27.</w:t>
      </w:r>
      <w:r w:rsidRPr="00AD6267">
        <w:tab/>
        <w:t xml:space="preserve">zachęca Komisję do wzmocnienia platform </w:t>
      </w:r>
      <w:proofErr w:type="spellStart"/>
      <w:r w:rsidRPr="00AD6267">
        <w:t>współinwestycyjnych</w:t>
      </w:r>
      <w:proofErr w:type="spellEnd"/>
      <w:r w:rsidRPr="00AD6267">
        <w:t>, w tym regionalnych, i sieci aniołów biznesu, aby przyciągnąć kapitał prywatny i zlikwidować utrzymującą się lukę w finansowaniu na wczesnym etapie wzrostu dla szybko rozwijających się i opartych na innowacjach MŚP; apeluje o zagwarantowanie odpowiedniego kapitału przyszłej europejskiej inicjatywie na rzecz liderów technologii 2.0 oraz o wprowadzenie ukierunkowanych unijnych systemów finansowania wspierających pozyskiwanie funduszy i wejście na giełdę przedsiębiorstw typu start-</w:t>
      </w:r>
      <w:proofErr w:type="spellStart"/>
      <w:r w:rsidRPr="00AD6267">
        <w:t>up</w:t>
      </w:r>
      <w:proofErr w:type="spellEnd"/>
      <w:r w:rsidRPr="00AD6267">
        <w:t xml:space="preserve"> i przedsiębiorstw </w:t>
      </w:r>
      <w:proofErr w:type="spellStart"/>
      <w:r w:rsidRPr="00AD6267">
        <w:t>scale-up</w:t>
      </w:r>
      <w:proofErr w:type="spellEnd"/>
      <w:r w:rsidRPr="00AD6267">
        <w:t xml:space="preserve">; podkreśla mandat grupy EBI do wspierania MŚP i wzywa ją do wprowadzenia bardziej elastycznych ram oceny ryzyka oraz do dopilnowania, by nowa platforma </w:t>
      </w:r>
      <w:proofErr w:type="spellStart"/>
      <w:r w:rsidRPr="00AD6267">
        <w:t>TechEU</w:t>
      </w:r>
      <w:proofErr w:type="spellEnd"/>
      <w:r w:rsidRPr="00AD6267">
        <w:t xml:space="preserve"> była szeroko dostępna we wszystkich państwach członkowskich dzięki uproszczonym procedurom; wyraża poparcie dla komunikatu w sprawie unii oszczędności i inwestycji w sprawie znaczenia finansów publicznych na szczeblu UE i w związku z tym opowiada się za przekierowaniem funduszy UE na mniejszą liczbę bardziej elastycznych programów, które umożliwią przesuwanie środków między priorytetami w miarę upływu czasu;</w:t>
      </w:r>
    </w:p>
    <w:p w14:paraId="4BAAC754" w14:textId="77777777" w:rsidR="00193E53" w:rsidRPr="00AD6267" w:rsidRDefault="00193E53" w:rsidP="00193E53">
      <w:pPr>
        <w:pStyle w:val="NormalHanging12a"/>
      </w:pPr>
      <w:r w:rsidRPr="00AD6267">
        <w:t>28.</w:t>
      </w:r>
      <w:r w:rsidRPr="00AD6267">
        <w:tab/>
        <w:t xml:space="preserve">podkreśla, jak ważne jest utworzenie odpowiednich warunków, aby oszczędności obywateli ukierunkować na produktywne instrumenty inwestycyjne, które mogą przynieść korzyści MŚP i przedsiębiorstwom </w:t>
      </w:r>
      <w:proofErr w:type="spellStart"/>
      <w:r w:rsidRPr="00AD6267">
        <w:t>scale-up</w:t>
      </w:r>
      <w:proofErr w:type="spellEnd"/>
      <w:r w:rsidRPr="00AD6267">
        <w:t xml:space="preserve">; zachęca Komisję, aby usuwała regulacje, które zniechęcają do inwestowania w detaliczne produkty inwestycyjne, oraz zagwarantowała, że inwestorzy detaliczni będą odpowiednio chronieni przy podejmowaniu decyzji inwestycyjnych; dostrzega, że finansowanie społecznościowe i technologie, takie jak inteligentne umowy i finansowanie zdecentralizowane, mogą zwiększyć dostęp MŚP do finansowania bezpośredniego, i wzywa Komisję do </w:t>
      </w:r>
      <w:r w:rsidRPr="00AD6267">
        <w:lastRenderedPageBreak/>
        <w:t>przeglądu jej ram regulacyjnych z zastosowaniem podejścia opartego na innowacjach i proporcjonalnym ryzyku;</w:t>
      </w:r>
    </w:p>
    <w:p w14:paraId="71ADC16C" w14:textId="77777777" w:rsidR="00193E53" w:rsidRPr="00AD6267" w:rsidRDefault="00193E53" w:rsidP="00193E53">
      <w:pPr>
        <w:pStyle w:val="NormalHanging12a"/>
      </w:pPr>
      <w:r w:rsidRPr="00AD6267">
        <w:t>29.</w:t>
      </w:r>
      <w:r w:rsidRPr="00AD6267">
        <w:tab/>
        <w:t>podkreśla, że lepiej zintegrowany ekosystem innowacji, który będzie obejmował sieć uniwersytetów, przedsiębiorstwa typu start-</w:t>
      </w:r>
      <w:proofErr w:type="spellStart"/>
      <w:r w:rsidRPr="00AD6267">
        <w:t>up</w:t>
      </w:r>
      <w:proofErr w:type="spellEnd"/>
      <w:r w:rsidRPr="00AD6267">
        <w:t>, duże przedsiębiorstwa oraz inwestorów kapitału podwyższonego ryzyka i będzie oparty na dostępie do obiektów testowych i infrastruktury technologicznej, ma zasadnicze znaczenie dla wsparcia rozwoju przedsiębiorstw; podkreśla pozytywną rolę, jaką we wspieraniu rozwoju przedsiębiorstw typu start-</w:t>
      </w:r>
      <w:proofErr w:type="spellStart"/>
      <w:r w:rsidRPr="00AD6267">
        <w:t>up</w:t>
      </w:r>
      <w:proofErr w:type="spellEnd"/>
      <w:r w:rsidRPr="00AD6267">
        <w:t xml:space="preserve"> mogą odegrać fora przedsiębiorców, prywatne akceleratory i sieci mentorów, oraz wzywa Komisję i państwa członkowskie do korzystania z inicjatyw takich jak sieć zaufanych inwestorów, której celem jest mobilizacja kapitału prywatnego do wspierania ambicji Europy w zakresie innowacji;</w:t>
      </w:r>
    </w:p>
    <w:p w14:paraId="31E23942" w14:textId="77777777" w:rsidR="00193E53" w:rsidRPr="00AD6267" w:rsidRDefault="00193E53" w:rsidP="00193E53">
      <w:pPr>
        <w:pStyle w:val="Normal12a24b"/>
      </w:pPr>
      <w:r w:rsidRPr="00AD6267">
        <w:rPr>
          <w:rStyle w:val="BoldItalic"/>
        </w:rPr>
        <w:t>Poprawa konkurencyjnego ekosystemu w UE</w:t>
      </w:r>
    </w:p>
    <w:p w14:paraId="4EBB578B" w14:textId="77777777" w:rsidR="00193E53" w:rsidRPr="00AD6267" w:rsidRDefault="00193E53" w:rsidP="00193E53">
      <w:pPr>
        <w:pStyle w:val="NormalHanging12a"/>
      </w:pPr>
      <w:r w:rsidRPr="00AD6267">
        <w:t>30.</w:t>
      </w:r>
      <w:r w:rsidRPr="00AD6267">
        <w:tab/>
        <w:t xml:space="preserve">uważa, że konkurencyjny ekosystem w UE musi składać się zarówno z silnych rynków krajowych, jak i silnego rynku wewnętrznego, oraz że zdrowa konkurencja między państwami członkowskimi, zwłaszcza pod względem podejścia gospodarczego i regulacyjnego, zachęca je do utrzymania dynamiki i atrakcyjności ich gospodarek, ale przypomina, że państwa członkowskie nie powinny tworzyć barier dla skutecznej transgranicznej alokacji kapitału ani ustalać priorytetów wyłącznie na podstawie geograficznego pochodzenia finansowania; </w:t>
      </w:r>
      <w:bookmarkStart w:id="8" w:name="_Hlk210313711"/>
      <w:r w:rsidRPr="00AD6267">
        <w:t>apeluje, aby inicjatywy Komisji uwzględniały najlepsze praktyki, które okazały się skuteczne w państwach członkowskich, oraz opierały się na tych praktykach;</w:t>
      </w:r>
    </w:p>
    <w:bookmarkEnd w:id="8"/>
    <w:p w14:paraId="041A3CAD" w14:textId="77777777" w:rsidR="00193E53" w:rsidRPr="00AD6267" w:rsidRDefault="00193E53" w:rsidP="00193E53">
      <w:pPr>
        <w:pStyle w:val="NormalHanging12a"/>
      </w:pPr>
      <w:r w:rsidRPr="00AD6267">
        <w:t>31.</w:t>
      </w:r>
      <w:r w:rsidRPr="00AD6267">
        <w:tab/>
        <w:t>wzywa Komisję do skoncentrowania się na tworzeniu korzystnych warunków rynkowych, odpowiednich wspólnych mianowników dla państw członkowskich oraz dobrowolnych i uzupełniających się ram, które mają na celu stopniowe zmniejszanie fragmentacji rynku;</w:t>
      </w:r>
    </w:p>
    <w:p w14:paraId="7D966FC4" w14:textId="77777777" w:rsidR="00193E53" w:rsidRPr="00AD6267" w:rsidRDefault="00193E53" w:rsidP="00193E53">
      <w:pPr>
        <w:pStyle w:val="NormalHanging12a"/>
      </w:pPr>
      <w:r w:rsidRPr="00AD6267">
        <w:t>32.</w:t>
      </w:r>
      <w:r w:rsidRPr="00AD6267">
        <w:tab/>
        <w:t>apeluje do Komisji, aby wyjaśniła, na czym będzie polegał 28. system prawny, i przypomina, że gdyby został on wprowadzony, musiałby być dobrowolny, w pełni respektować systemy państw członkowskich i powstawać w ścisłej współpracy z sektorem prywatnym w celu zaoferowania uproszczonych ram, które przyciągną inwestorów prywatnych do europejskich przedsiębiorstw typu start-</w:t>
      </w:r>
      <w:proofErr w:type="spellStart"/>
      <w:r w:rsidRPr="00AD6267">
        <w:t>up</w:t>
      </w:r>
      <w:proofErr w:type="spellEnd"/>
      <w:r w:rsidRPr="00AD6267">
        <w:t xml:space="preserve">, przedsiębiorstw </w:t>
      </w:r>
      <w:proofErr w:type="spellStart"/>
      <w:r w:rsidRPr="00AD6267">
        <w:t>scale-up</w:t>
      </w:r>
      <w:proofErr w:type="spellEnd"/>
      <w:r w:rsidRPr="00AD6267">
        <w:t xml:space="preserve"> i MŚP oraz pomogą europejskim przedsiębiorstwom typu start-</w:t>
      </w:r>
      <w:proofErr w:type="spellStart"/>
      <w:r w:rsidRPr="00AD6267">
        <w:t>up</w:t>
      </w:r>
      <w:proofErr w:type="spellEnd"/>
      <w:r w:rsidRPr="00AD6267">
        <w:t xml:space="preserve"> stać się światowymi liderami w dziedzinie technologii;</w:t>
      </w:r>
    </w:p>
    <w:p w14:paraId="0F4AB7E1" w14:textId="77777777" w:rsidR="00193E53" w:rsidRPr="00AD6267" w:rsidRDefault="00193E53" w:rsidP="00193E53">
      <w:pPr>
        <w:pStyle w:val="NormalHanging12a"/>
      </w:pPr>
      <w:r w:rsidRPr="00AD6267">
        <w:t>33.</w:t>
      </w:r>
      <w:r w:rsidRPr="00AD6267">
        <w:tab/>
        <w:t xml:space="preserve">wzywa Komisję, aby przy wsparciu władz państw członkowskich opracowała uproszczone narzędzia poradnictwa i utworzyła punkty kompleksowej obsługi dla MŚP i przedsiębiorstw </w:t>
      </w:r>
      <w:proofErr w:type="spellStart"/>
      <w:r w:rsidRPr="00AD6267">
        <w:t>scale-up</w:t>
      </w:r>
      <w:proofErr w:type="spellEnd"/>
      <w:r w:rsidRPr="00AD6267">
        <w:t xml:space="preserve">, co pomoże im poruszać się w różnych systemach prawnych w całej UE w kwestiach takich jak prawo spółek, prawo pracy, prawo upadłościowe, prawo podatkowe, prawa własności intelektualnej i możliwości finansowania krajowego; wzywa ponadto Komisję do poprawy narzędzi monitorowania dostępu MŚP do finansowania, w tym do opracowania </w:t>
      </w:r>
      <w:proofErr w:type="spellStart"/>
      <w:r w:rsidRPr="00AD6267">
        <w:t>ogólnounijnych</w:t>
      </w:r>
      <w:proofErr w:type="spellEnd"/>
      <w:r w:rsidRPr="00AD6267">
        <w:t xml:space="preserve"> wskaźników i tablic wskaźników, które mogą pomóc MŚP w szukaniu możliwości finansowania w państwach członkowskich bez tworzenia nowych obowiązków sprawozdawczych lub zwiększania obciążeń administracyjnych;</w:t>
      </w:r>
    </w:p>
    <w:p w14:paraId="407CE803" w14:textId="77777777" w:rsidR="00193E53" w:rsidRPr="00AD6267" w:rsidRDefault="00193E53" w:rsidP="00193E53">
      <w:pPr>
        <w:pStyle w:val="NormalCenter12a"/>
      </w:pPr>
      <w:r w:rsidRPr="00AD6267">
        <w:t>°</w:t>
      </w:r>
    </w:p>
    <w:p w14:paraId="12DD9A8D" w14:textId="77777777" w:rsidR="00193E53" w:rsidRPr="00AD6267" w:rsidRDefault="00193E53" w:rsidP="00193E53">
      <w:pPr>
        <w:pStyle w:val="NormalCenter12a"/>
      </w:pPr>
      <w:r w:rsidRPr="00AD6267">
        <w:lastRenderedPageBreak/>
        <w:t>°</w:t>
      </w:r>
      <w:r w:rsidRPr="00AD6267">
        <w:tab/>
        <w:t>°</w:t>
      </w:r>
    </w:p>
    <w:p w14:paraId="5A7ED66F" w14:textId="61F009EB" w:rsidR="00AD6267" w:rsidRPr="00AD6267" w:rsidRDefault="00193E53" w:rsidP="00AD6267">
      <w:pPr>
        <w:pStyle w:val="NormalHanging12a"/>
      </w:pPr>
      <w:r w:rsidRPr="00AD6267">
        <w:t>34.</w:t>
      </w:r>
      <w:r w:rsidRPr="00AD6267">
        <w:tab/>
        <w:t>zobowiązuje swoją przewodniczącą do przekazania niniejszej rezolucji Radzie i Komisji.</w:t>
      </w:r>
    </w:p>
    <w:p w14:paraId="6B538297" w14:textId="46C4D54E" w:rsidR="00E365E1" w:rsidRPr="00AD6267" w:rsidRDefault="00E365E1" w:rsidP="00457F14"/>
    <w:sectPr w:rsidR="00E365E1" w:rsidRPr="00AD6267" w:rsidSect="00AD62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5ABB" w14:textId="77777777" w:rsidR="00457F14" w:rsidRPr="00AD6267" w:rsidRDefault="00457F14">
      <w:r w:rsidRPr="00AD6267">
        <w:separator/>
      </w:r>
    </w:p>
  </w:endnote>
  <w:endnote w:type="continuationSeparator" w:id="0">
    <w:p w14:paraId="1F298B1F" w14:textId="77777777" w:rsidR="00457F14" w:rsidRPr="00AD6267" w:rsidRDefault="00457F14">
      <w:r w:rsidRPr="00AD62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9D7D3" w14:textId="77777777" w:rsidR="00064002" w:rsidRPr="00AD62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AB93" w14:textId="77777777" w:rsidR="00064002" w:rsidRPr="00AD62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16E5" w14:textId="77777777" w:rsidR="00064002" w:rsidRPr="00AD62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DF3F7" w14:textId="77777777" w:rsidR="00457F14" w:rsidRPr="00AD6267" w:rsidRDefault="00457F14">
      <w:r w:rsidRPr="00AD6267">
        <w:separator/>
      </w:r>
    </w:p>
  </w:footnote>
  <w:footnote w:type="continuationSeparator" w:id="0">
    <w:p w14:paraId="1FB875D8" w14:textId="77777777" w:rsidR="00457F14" w:rsidRPr="00AD6267" w:rsidRDefault="00457F14">
      <w:r w:rsidRPr="00AD6267">
        <w:continuationSeparator/>
      </w:r>
    </w:p>
  </w:footnote>
  <w:footnote w:id="1">
    <w:p w14:paraId="30609375" w14:textId="13F7D31B" w:rsidR="00193E53" w:rsidRPr="00030467" w:rsidRDefault="00193E53" w:rsidP="00AD6267">
      <w:pPr>
        <w:pStyle w:val="FootnoteText"/>
        <w:ind w:left="567" w:hanging="567"/>
        <w:rPr>
          <w:sz w:val="24"/>
          <w:lang w:val="fi-FI"/>
        </w:rPr>
      </w:pPr>
      <w:r w:rsidRPr="00AD6267">
        <w:rPr>
          <w:sz w:val="24"/>
          <w:vertAlign w:val="superscript"/>
          <w:lang w:val="pl-PL"/>
        </w:rPr>
        <w:footnoteRef/>
      </w:r>
      <w:r w:rsidR="00AD6267" w:rsidRPr="00030467">
        <w:rPr>
          <w:sz w:val="24"/>
          <w:lang w:val="fi-FI"/>
        </w:rPr>
        <w:t xml:space="preserve"> </w:t>
      </w:r>
      <w:r w:rsidR="00AD6267" w:rsidRPr="00030467">
        <w:rPr>
          <w:sz w:val="24"/>
          <w:lang w:val="fi-FI"/>
        </w:rPr>
        <w:tab/>
      </w:r>
      <w:proofErr w:type="spellStart"/>
      <w:r w:rsidRPr="00030467">
        <w:rPr>
          <w:sz w:val="24"/>
          <w:lang w:val="fi-FI"/>
        </w:rPr>
        <w:t>Dz.U</w:t>
      </w:r>
      <w:proofErr w:type="spellEnd"/>
      <w:r w:rsidRPr="00030467">
        <w:rPr>
          <w:sz w:val="24"/>
          <w:lang w:val="fi-FI"/>
        </w:rPr>
        <w:t xml:space="preserve">. C, C/2024/4182, 2.8.2024, ELI: </w:t>
      </w:r>
      <w:hyperlink r:id="rId1" w:history="1">
        <w:r w:rsidRPr="00030467">
          <w:rPr>
            <w:rStyle w:val="Hyperlink"/>
            <w:sz w:val="24"/>
            <w:lang w:val="fi-FI"/>
          </w:rPr>
          <w:t>http://data.europa.eu/eli/C/2024/4182/oj</w:t>
        </w:r>
      </w:hyperlink>
      <w:r w:rsidRPr="00030467">
        <w:rPr>
          <w:sz w:val="24"/>
          <w:lang w:val="fi-FI"/>
        </w:rPr>
        <w:t>.</w:t>
      </w:r>
    </w:p>
  </w:footnote>
  <w:footnote w:id="2">
    <w:p w14:paraId="0405BFAE" w14:textId="01E50207" w:rsidR="00193E53" w:rsidRPr="00030467" w:rsidRDefault="00193E53" w:rsidP="00AD6267">
      <w:pPr>
        <w:pStyle w:val="FootnoteText"/>
        <w:ind w:left="567" w:hanging="567"/>
        <w:rPr>
          <w:sz w:val="24"/>
          <w:lang w:val="fi-FI"/>
        </w:rPr>
      </w:pPr>
      <w:r w:rsidRPr="00AD6267">
        <w:rPr>
          <w:rStyle w:val="FootnoteReference"/>
          <w:sz w:val="24"/>
          <w:lang w:val="pl-PL"/>
        </w:rPr>
        <w:footnoteRef/>
      </w:r>
      <w:r w:rsidR="00AD6267" w:rsidRPr="00030467">
        <w:rPr>
          <w:sz w:val="24"/>
          <w:lang w:val="fi-FI"/>
        </w:rPr>
        <w:t xml:space="preserve"> </w:t>
      </w:r>
      <w:r w:rsidR="00AD6267" w:rsidRPr="00030467">
        <w:rPr>
          <w:sz w:val="24"/>
          <w:lang w:val="fi-FI"/>
        </w:rPr>
        <w:tab/>
      </w:r>
      <w:r w:rsidRPr="00030467">
        <w:rPr>
          <w:sz w:val="24"/>
          <w:lang w:val="fi-FI"/>
        </w:rPr>
        <w:t xml:space="preserve">Katsinis, A., Lagüera-González, J., Di Bella, L., Odenthal, L., Hell, M. i in., „Annual Report on European SMEs 2023/2024” [Sprawozdanie roczne w sprawie europejskich MŚP w latach 2023–2024], Urząd Publikacji Unii Europejskiej, 2024 r., </w:t>
      </w:r>
      <w:hyperlink r:id="rId2" w:history="1">
        <w:r w:rsidRPr="00030467">
          <w:rPr>
            <w:rStyle w:val="Hyperlink"/>
            <w:sz w:val="24"/>
            <w:lang w:val="fi-FI"/>
          </w:rPr>
          <w:t>https://single-market-economy.ec.europa.eu/document/download/2bef0eda-2f75-497d-982e-c0d1cea57c0e_en?filename=Annual%20Report%20on%20European%20SMEs%202024.pdf</w:t>
        </w:r>
      </w:hyperlink>
      <w:r w:rsidRPr="00030467">
        <w:rPr>
          <w:sz w:val="24"/>
          <w:lang w:val="fi-FI"/>
        </w:rPr>
        <w:t>.</w:t>
      </w:r>
    </w:p>
  </w:footnote>
  <w:footnote w:id="3">
    <w:p w14:paraId="6B973752" w14:textId="04C11B6B" w:rsidR="00193E53" w:rsidRPr="00030467" w:rsidRDefault="00193E53" w:rsidP="00AD6267">
      <w:pPr>
        <w:ind w:left="567" w:hanging="567"/>
        <w:rPr>
          <w:lang w:val="fi-FI"/>
        </w:rPr>
      </w:pPr>
      <w:r w:rsidRPr="00AD6267">
        <w:rPr>
          <w:rStyle w:val="FootnoteReference"/>
        </w:rPr>
        <w:footnoteRef/>
      </w:r>
      <w:r w:rsidR="00AD6267" w:rsidRPr="00030467">
        <w:rPr>
          <w:lang w:val="fi-FI"/>
        </w:rPr>
        <w:t xml:space="preserve"> </w:t>
      </w:r>
      <w:r w:rsidR="00AD6267" w:rsidRPr="00030467">
        <w:rPr>
          <w:lang w:val="fi-FI"/>
        </w:rPr>
        <w:tab/>
      </w:r>
      <w:r w:rsidRPr="00030467">
        <w:rPr>
          <w:lang w:val="fi-FI"/>
        </w:rPr>
        <w:t xml:space="preserve">Draghi, Mario, „The Future of European Competitiveness – A Competitiveness Strategy for Europe” [Przyszłość europejskiej konkurencyjności – strategia konkurencyjności dla Europy], 2024 r., </w:t>
      </w:r>
      <w:hyperlink r:id="rId3" w:history="1">
        <w:r w:rsidRPr="00030467">
          <w:rPr>
            <w:rStyle w:val="Hyperlink"/>
            <w:lang w:val="fi-FI"/>
          </w:rPr>
          <w:t>https://commission.europa.eu/document/97e481fd-2dc3-412d-be4c-f152a8232961_en</w:t>
        </w:r>
      </w:hyperlink>
      <w:r w:rsidRPr="00030467">
        <w:rPr>
          <w:lang w:val="fi-FI"/>
        </w:rPr>
        <w:t>.</w:t>
      </w:r>
    </w:p>
  </w:footnote>
  <w:footnote w:id="4">
    <w:p w14:paraId="23323F13" w14:textId="2CA6087C" w:rsidR="00193E53" w:rsidRPr="00AD6267" w:rsidRDefault="00193E53" w:rsidP="00AD6267">
      <w:pPr>
        <w:pStyle w:val="FootnoteText"/>
        <w:ind w:left="567" w:hanging="567"/>
        <w:rPr>
          <w:sz w:val="24"/>
          <w:lang w:val="pl-PL"/>
        </w:rPr>
      </w:pPr>
      <w:r w:rsidRPr="00AD6267">
        <w:rPr>
          <w:rStyle w:val="FootnoteReference"/>
          <w:sz w:val="24"/>
          <w:lang w:val="pl-PL"/>
        </w:rPr>
        <w:footnoteRef/>
      </w:r>
      <w:bookmarkStart w:id="6" w:name="_Hlk210313079"/>
      <w:r w:rsidR="00AD6267" w:rsidRPr="00AD6267">
        <w:rPr>
          <w:sz w:val="24"/>
          <w:lang w:val="pl-PL"/>
        </w:rPr>
        <w:t xml:space="preserve"> </w:t>
      </w:r>
      <w:r w:rsidR="00AD6267" w:rsidRPr="00AD6267">
        <w:rPr>
          <w:sz w:val="24"/>
          <w:lang w:val="pl-PL"/>
        </w:rPr>
        <w:tab/>
      </w:r>
      <w:r w:rsidRPr="00AD6267">
        <w:rPr>
          <w:sz w:val="24"/>
          <w:lang w:val="pl-PL"/>
        </w:rPr>
        <w:t xml:space="preserve">Akt w sprawie dopuszczania do obrotu giełdowego składa się z rozporządzenia Parlamentu Europejskiego i Rady (UE) 2024/2809 z dnia 23 października 2024 r. w sprawie zmiany rozporządzeń (UE) 2017/1129, (UE) nr 596/2014 i (UE) nr 600/2014 w celu zwiększenia atrakcyjności publicznych rynków kapitałowych w Unii dla przedsiębiorstw oraz ułatwienia małym i średnim przedsiębiorstwom dostępu do kapitału (Dz.U. L, 2024/2809, 14.11.2024, ELI: </w:t>
      </w:r>
      <w:hyperlink r:id="rId4" w:history="1">
        <w:r w:rsidRPr="00AD6267">
          <w:rPr>
            <w:rStyle w:val="Hyperlink"/>
            <w:sz w:val="24"/>
            <w:lang w:val="pl-PL"/>
          </w:rPr>
          <w:t>http://data.europa.eu/eli/reg/2024/2809/oj</w:t>
        </w:r>
      </w:hyperlink>
      <w:r w:rsidRPr="00AD6267">
        <w:rPr>
          <w:sz w:val="24"/>
          <w:lang w:val="pl-PL"/>
        </w:rPr>
        <w:t xml:space="preserve">), dyrektywy Parlamentu Europejskiego i Rady (UE) 2024/2810 z dnia 23 października 2024 r. w sprawie struktur akcji obejmujących akcje uprzywilejowane co do głosu w spółkach ubiegających się o dopuszczenie ich akcji do obrotu na wielostronnej platformie obrotu (Dz.U. L, 2024/2810, 14.11.2024, ELI: </w:t>
      </w:r>
      <w:hyperlink r:id="rId5" w:history="1">
        <w:r w:rsidRPr="00AD6267">
          <w:rPr>
            <w:rStyle w:val="Hyperlink"/>
            <w:sz w:val="24"/>
            <w:lang w:val="pl-PL"/>
          </w:rPr>
          <w:t>http://data.europa.eu/eli/dir/2024/2810/oj</w:t>
        </w:r>
      </w:hyperlink>
      <w:r w:rsidRPr="00AD6267">
        <w:rPr>
          <w:sz w:val="24"/>
          <w:lang w:val="pl-PL"/>
        </w:rPr>
        <w:t xml:space="preserve">) oraz dyrektywy Parlamentu Europejskiego i Rady (UE) 2024/2811 z dnia 23 października 2024 r. w sprawie zmiany dyrektywy 2014/65/UE w celu zwiększenia atrakcyjności publicznych rynków kapitałowych w Unii dla spółek i ułatwienia małym i średnim przedsiębiorstwom dostępu do kapitału oraz uchylenia dyrektywy 2001/34/WE (Dz.U. L, 2024/2811, 14.11.2024, ELI: </w:t>
      </w:r>
      <w:hyperlink r:id="rId6" w:history="1">
        <w:r w:rsidRPr="00AD6267">
          <w:rPr>
            <w:rStyle w:val="Hyperlink"/>
            <w:sz w:val="24"/>
            <w:lang w:val="pl-PL"/>
          </w:rPr>
          <w:t>http://data.europa.eu/eli/dir/2024/2811/oj</w:t>
        </w:r>
      </w:hyperlink>
      <w:r w:rsidRPr="00AD6267">
        <w:rPr>
          <w:sz w:val="24"/>
          <w:lang w:val="pl-PL"/>
        </w:rPr>
        <w:t>).</w:t>
      </w:r>
      <w:bookmarkEnd w:id="6"/>
    </w:p>
  </w:footnote>
  <w:footnote w:id="5">
    <w:p w14:paraId="59AA8029" w14:textId="38212BEF" w:rsidR="00193E53" w:rsidRPr="00AD6267" w:rsidRDefault="00193E53" w:rsidP="00AD6267">
      <w:pPr>
        <w:pStyle w:val="FootnoteText"/>
        <w:ind w:left="567" w:hanging="567"/>
        <w:rPr>
          <w:sz w:val="24"/>
          <w:lang w:val="pl-PL"/>
        </w:rPr>
      </w:pPr>
      <w:r w:rsidRPr="00AD6267">
        <w:rPr>
          <w:rStyle w:val="FootnoteReference"/>
          <w:sz w:val="24"/>
          <w:lang w:val="pl-PL"/>
        </w:rPr>
        <w:footnoteRef/>
      </w:r>
      <w:r w:rsidR="00AD6267" w:rsidRPr="00AD6267">
        <w:rPr>
          <w:sz w:val="24"/>
          <w:lang w:val="pl-PL"/>
        </w:rPr>
        <w:t xml:space="preserve"> </w:t>
      </w:r>
      <w:r w:rsidR="00AD6267" w:rsidRPr="00AD6267">
        <w:rPr>
          <w:sz w:val="24"/>
          <w:lang w:val="pl-PL"/>
        </w:rPr>
        <w:tab/>
      </w:r>
      <w:r w:rsidRPr="00AD6267">
        <w:rPr>
          <w:sz w:val="24"/>
          <w:lang w:val="pl-PL"/>
        </w:rPr>
        <w:t>Rozporządzenie Parlamentu Europejskiego i Rady (UE) nr 345/2013 z dnia 17 kwietnia 2013 r. w sprawie europejskich funduszy venture</w:t>
      </w:r>
      <w:r w:rsidRPr="00AD6267">
        <w:rPr>
          <w:sz w:val="24"/>
          <w:lang w:val="pl-PL"/>
        </w:rPr>
        <w:t xml:space="preserve"> capital (Dz.U. L 115 z </w:t>
      </w:r>
      <w:r w:rsidRPr="00AD6267">
        <w:rPr>
          <w:sz w:val="24"/>
          <w:lang w:val="pl-PL"/>
        </w:rPr>
        <w:t xml:space="preserve">25.4.2013, s. 1, ELI: </w:t>
      </w:r>
      <w:hyperlink r:id="rId7" w:history="1">
        <w:r w:rsidRPr="00AD6267">
          <w:rPr>
            <w:rStyle w:val="Hyperlink"/>
            <w:sz w:val="24"/>
            <w:lang w:val="pl-PL"/>
          </w:rPr>
          <w:t>http://data.europa.eu/eli/reg/2013/345/oj</w:t>
        </w:r>
      </w:hyperlink>
      <w:r w:rsidRPr="00AD6267">
        <w:rPr>
          <w:sz w:val="24"/>
          <w:lang w:val="pl-PL"/>
        </w:rPr>
        <w:t>).</w:t>
      </w:r>
    </w:p>
  </w:footnote>
  <w:footnote w:id="6">
    <w:p w14:paraId="7D0390F0" w14:textId="57756077" w:rsidR="00193E53" w:rsidRPr="00AD6267" w:rsidRDefault="00193E53" w:rsidP="00AD6267">
      <w:pPr>
        <w:pStyle w:val="FootnoteText"/>
        <w:ind w:left="567" w:hanging="567"/>
        <w:rPr>
          <w:sz w:val="24"/>
          <w:lang w:val="pl-PL"/>
        </w:rPr>
      </w:pPr>
      <w:r w:rsidRPr="00AD6267">
        <w:rPr>
          <w:rStyle w:val="FootnoteReference"/>
          <w:sz w:val="24"/>
          <w:lang w:val="pl-PL"/>
        </w:rPr>
        <w:footnoteRef/>
      </w:r>
      <w:r w:rsidR="00AD6267" w:rsidRPr="00AD6267">
        <w:rPr>
          <w:sz w:val="24"/>
          <w:lang w:val="pl-PL"/>
        </w:rPr>
        <w:t xml:space="preserve"> </w:t>
      </w:r>
      <w:r w:rsidR="00AD6267" w:rsidRPr="00AD6267">
        <w:rPr>
          <w:sz w:val="24"/>
          <w:lang w:val="pl-PL"/>
        </w:rPr>
        <w:tab/>
      </w:r>
      <w:r w:rsidRPr="00AD6267">
        <w:rPr>
          <w:sz w:val="24"/>
          <w:lang w:val="pl-PL"/>
        </w:rPr>
        <w:t xml:space="preserve">Dyrektywa Parlamentu Europejskiego i Rady 2014/65/UE z dnia 15 maja 2014 r. w sprawie rynków instrumentów finansowych oraz zmieniająca dyrektywę 2002/92/WE i dyrektywę 2011/61/UE (Dz.U. L 173 z </w:t>
      </w:r>
      <w:r w:rsidRPr="00AD6267">
        <w:rPr>
          <w:sz w:val="24"/>
          <w:lang w:val="pl-PL"/>
        </w:rPr>
        <w:t xml:space="preserve">12.6.2014, s. </w:t>
      </w:r>
      <w:r w:rsidRPr="00AD6267">
        <w:rPr>
          <w:sz w:val="24"/>
          <w:lang w:val="pl-PL"/>
        </w:rPr>
        <w:t xml:space="preserve">349, ELI: </w:t>
      </w:r>
      <w:hyperlink r:id="rId8" w:history="1">
        <w:r w:rsidRPr="00AD6267">
          <w:rPr>
            <w:rStyle w:val="Hyperlink"/>
            <w:sz w:val="24"/>
            <w:lang w:val="pl-PL"/>
          </w:rPr>
          <w:t>http://data.europa.eu/eli/dir/2014/65/oj</w:t>
        </w:r>
      </w:hyperlink>
      <w:r w:rsidRPr="00AD6267">
        <w:rPr>
          <w:sz w:val="24"/>
          <w:lang w:val="pl-PL"/>
        </w:rPr>
        <w:t>).</w:t>
      </w:r>
    </w:p>
  </w:footnote>
  <w:footnote w:id="7">
    <w:p w14:paraId="0CDC448C" w14:textId="78036284" w:rsidR="00193E53" w:rsidRPr="00AD6267" w:rsidRDefault="00193E53" w:rsidP="00AD6267">
      <w:pPr>
        <w:pStyle w:val="FootnoteText"/>
        <w:ind w:left="567" w:hanging="567"/>
        <w:rPr>
          <w:sz w:val="24"/>
          <w:lang w:val="pl-PL"/>
        </w:rPr>
      </w:pPr>
      <w:r w:rsidRPr="00AD6267">
        <w:rPr>
          <w:rStyle w:val="FootnoteReference"/>
          <w:sz w:val="24"/>
          <w:lang w:val="pl-PL"/>
        </w:rPr>
        <w:footnoteRef/>
      </w:r>
      <w:r w:rsidR="00AD6267" w:rsidRPr="00AD6267">
        <w:rPr>
          <w:sz w:val="24"/>
          <w:lang w:val="pl-PL"/>
        </w:rPr>
        <w:t xml:space="preserve"> </w:t>
      </w:r>
      <w:r w:rsidR="00AD6267" w:rsidRPr="00AD6267">
        <w:rPr>
          <w:sz w:val="24"/>
          <w:lang w:val="pl-PL"/>
        </w:rPr>
        <w:tab/>
      </w:r>
      <w:r w:rsidRPr="00AD6267">
        <w:rPr>
          <w:sz w:val="24"/>
          <w:lang w:val="pl-PL"/>
        </w:rPr>
        <w:t xml:space="preserve">Katsinis, A., Lagüera-González, J., Di Bella, L., Odenthal, L., Hell, M. i in., „Annual Report on European SMEs 2023/2024” [Sprawozdanie roczne w sprawie europejskich MŚP w latach 2023–2024], Urząd Publikacji Unii Europejskiej, 2024 r., </w:t>
      </w:r>
      <w:hyperlink r:id="rId9" w:history="1">
        <w:r w:rsidRPr="00AD6267">
          <w:rPr>
            <w:rStyle w:val="Hyperlink"/>
            <w:sz w:val="24"/>
            <w:lang w:val="pl-PL"/>
          </w:rPr>
          <w:t>https://single-market-economy.ec.europa.eu/document/download/2bef0eda-2f75-497d-982e-c0d1cea57c0e_en?filename=Annual%20Report%20on%20European%20SMEs%202024.pdf</w:t>
        </w:r>
      </w:hyperlink>
      <w:r w:rsidRPr="00AD6267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C2FD0" w14:textId="77777777" w:rsidR="00064002" w:rsidRPr="00AD62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B29F" w14:textId="77777777" w:rsidR="00064002" w:rsidRPr="00AD62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9461" w14:textId="77777777" w:rsidR="00064002" w:rsidRPr="00AD62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543206">
    <w:abstractNumId w:val="9"/>
  </w:num>
  <w:num w:numId="2" w16cid:durableId="1962875278">
    <w:abstractNumId w:val="9"/>
  </w:num>
  <w:num w:numId="3" w16cid:durableId="1535581259">
    <w:abstractNumId w:val="7"/>
  </w:num>
  <w:num w:numId="4" w16cid:durableId="1381704507">
    <w:abstractNumId w:val="7"/>
  </w:num>
  <w:num w:numId="5" w16cid:durableId="1729986155">
    <w:abstractNumId w:val="6"/>
  </w:num>
  <w:num w:numId="6" w16cid:durableId="1666006555">
    <w:abstractNumId w:val="6"/>
  </w:num>
  <w:num w:numId="7" w16cid:durableId="14037241">
    <w:abstractNumId w:val="5"/>
  </w:num>
  <w:num w:numId="8" w16cid:durableId="1461797708">
    <w:abstractNumId w:val="5"/>
  </w:num>
  <w:num w:numId="9" w16cid:durableId="1199126504">
    <w:abstractNumId w:val="4"/>
  </w:num>
  <w:num w:numId="10" w16cid:durableId="1490092543">
    <w:abstractNumId w:val="4"/>
  </w:num>
  <w:num w:numId="11" w16cid:durableId="1211653123">
    <w:abstractNumId w:val="8"/>
  </w:num>
  <w:num w:numId="12" w16cid:durableId="2020695217">
    <w:abstractNumId w:val="8"/>
  </w:num>
  <w:num w:numId="13" w16cid:durableId="1383216401">
    <w:abstractNumId w:val="3"/>
  </w:num>
  <w:num w:numId="14" w16cid:durableId="324164526">
    <w:abstractNumId w:val="3"/>
  </w:num>
  <w:num w:numId="15" w16cid:durableId="1262447958">
    <w:abstractNumId w:val="2"/>
  </w:num>
  <w:num w:numId="16" w16cid:durableId="1037924241">
    <w:abstractNumId w:val="2"/>
  </w:num>
  <w:num w:numId="17" w16cid:durableId="940995851">
    <w:abstractNumId w:val="1"/>
  </w:num>
  <w:num w:numId="18" w16cid:durableId="1341083811">
    <w:abstractNumId w:val="1"/>
  </w:num>
  <w:num w:numId="19" w16cid:durableId="888301028">
    <w:abstractNumId w:val="0"/>
  </w:num>
  <w:num w:numId="20" w16cid:durableId="420182370">
    <w:abstractNumId w:val="0"/>
  </w:num>
  <w:num w:numId="21" w16cid:durableId="1159030788">
    <w:abstractNumId w:val="9"/>
  </w:num>
  <w:num w:numId="22" w16cid:durableId="370497581">
    <w:abstractNumId w:val="7"/>
  </w:num>
  <w:num w:numId="23" w16cid:durableId="9454125">
    <w:abstractNumId w:val="6"/>
  </w:num>
  <w:num w:numId="24" w16cid:durableId="1192260112">
    <w:abstractNumId w:val="5"/>
  </w:num>
  <w:num w:numId="25" w16cid:durableId="2089575605">
    <w:abstractNumId w:val="4"/>
  </w:num>
  <w:num w:numId="26" w16cid:durableId="1411805339">
    <w:abstractNumId w:val="8"/>
  </w:num>
  <w:num w:numId="27" w16cid:durableId="1859736673">
    <w:abstractNumId w:val="3"/>
  </w:num>
  <w:num w:numId="28" w16cid:durableId="1847481864">
    <w:abstractNumId w:val="2"/>
  </w:num>
  <w:num w:numId="29" w16cid:durableId="1255017584">
    <w:abstractNumId w:val="1"/>
  </w:num>
  <w:num w:numId="30" w16cid:durableId="416292341">
    <w:abstractNumId w:val="0"/>
  </w:num>
  <w:num w:numId="31" w16cid:durableId="1099253007">
    <w:abstractNumId w:val="9"/>
  </w:num>
  <w:num w:numId="32" w16cid:durableId="540628439">
    <w:abstractNumId w:val="7"/>
  </w:num>
  <w:num w:numId="33" w16cid:durableId="2092504554">
    <w:abstractNumId w:val="6"/>
  </w:num>
  <w:num w:numId="34" w16cid:durableId="1059867244">
    <w:abstractNumId w:val="5"/>
  </w:num>
  <w:num w:numId="35" w16cid:durableId="7174075">
    <w:abstractNumId w:val="4"/>
  </w:num>
  <w:num w:numId="36" w16cid:durableId="42802066">
    <w:abstractNumId w:val="8"/>
  </w:num>
  <w:num w:numId="37" w16cid:durableId="505093187">
    <w:abstractNumId w:val="3"/>
  </w:num>
  <w:num w:numId="38" w16cid:durableId="543252425">
    <w:abstractNumId w:val="2"/>
  </w:num>
  <w:num w:numId="39" w16cid:durableId="2019573789">
    <w:abstractNumId w:val="1"/>
  </w:num>
  <w:num w:numId="40" w16cid:durableId="1391688494">
    <w:abstractNumId w:val="0"/>
  </w:num>
  <w:num w:numId="41" w16cid:durableId="1278216322">
    <w:abstractNumId w:val="10"/>
  </w:num>
  <w:num w:numId="42" w16cid:durableId="1160578971">
    <w:abstractNumId w:val="10"/>
  </w:num>
  <w:num w:numId="43" w16cid:durableId="309602740">
    <w:abstractNumId w:val="10"/>
  </w:num>
  <w:num w:numId="44" w16cid:durableId="402947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5/2025"/>
    <w:docVar w:name="dvlangue" w:val="PL"/>
    <w:docVar w:name="dvnumam" w:val="0"/>
    <w:docVar w:name="dvpe" w:val="772.123"/>
    <w:docVar w:name="dvrapporteur" w:val="Sprawozdawca: "/>
    <w:docVar w:name="dvstar" w:val="?"/>
    <w:docVar w:name="dvtitre" w:val="Rezolucja Parlamentu Europejskiego z dnia  2025 r. w sprawie dostępu do finansowania dla MŚP i przedsiębiorstw scale-up(2025/2072(INI))"/>
  </w:docVars>
  <w:rsids>
    <w:rsidRoot w:val="00457F14"/>
    <w:rsid w:val="00002272"/>
    <w:rsid w:val="00030467"/>
    <w:rsid w:val="00064002"/>
    <w:rsid w:val="000677B9"/>
    <w:rsid w:val="000831BA"/>
    <w:rsid w:val="000A42CC"/>
    <w:rsid w:val="000E7DD9"/>
    <w:rsid w:val="0010095E"/>
    <w:rsid w:val="00125B37"/>
    <w:rsid w:val="00187494"/>
    <w:rsid w:val="00193E53"/>
    <w:rsid w:val="001F32AE"/>
    <w:rsid w:val="002767FF"/>
    <w:rsid w:val="00287FF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F1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E4"/>
    <w:rsid w:val="00560270"/>
    <w:rsid w:val="005C2568"/>
    <w:rsid w:val="005F1B17"/>
    <w:rsid w:val="006037C0"/>
    <w:rsid w:val="006631B6"/>
    <w:rsid w:val="00680577"/>
    <w:rsid w:val="006F74FA"/>
    <w:rsid w:val="007248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267"/>
    <w:rsid w:val="00AE0928"/>
    <w:rsid w:val="00AE20D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FF6"/>
    <w:rsid w:val="00D15F71"/>
    <w:rsid w:val="00D56C11"/>
    <w:rsid w:val="00D834A0"/>
    <w:rsid w:val="00D872DF"/>
    <w:rsid w:val="00D91E21"/>
    <w:rsid w:val="00DA7FCD"/>
    <w:rsid w:val="00E365E1"/>
    <w:rsid w:val="00E820A4"/>
    <w:rsid w:val="00EB000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25F39"/>
  <w15:chartTrackingRefBased/>
  <w15:docId w15:val="{DA38AD05-63B0-4A9F-95DC-0351D261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3E5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93E53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93E53"/>
    <w:pPr>
      <w:spacing w:after="240"/>
      <w:jc w:val="center"/>
    </w:pPr>
  </w:style>
  <w:style w:type="character" w:customStyle="1" w:styleId="BoldItalic">
    <w:name w:val="BoldItalic"/>
    <w:uiPriority w:val="1"/>
    <w:rsid w:val="00193E53"/>
    <w:rPr>
      <w:b/>
      <w:i/>
      <w:u w:val="none"/>
    </w:rPr>
  </w:style>
  <w:style w:type="character" w:customStyle="1" w:styleId="Italic">
    <w:name w:val="Italic"/>
    <w:uiPriority w:val="1"/>
    <w:rsid w:val="00193E53"/>
    <w:rPr>
      <w:i/>
    </w:rPr>
  </w:style>
  <w:style w:type="paragraph" w:customStyle="1" w:styleId="Normal12a24b">
    <w:name w:val="Normal12a24b"/>
    <w:basedOn w:val="Normal"/>
    <w:rsid w:val="00193E5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93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65/oj" TargetMode="External"/><Relationship Id="rId3" Type="http://schemas.openxmlformats.org/officeDocument/2006/relationships/hyperlink" Target="https://commission.europa.eu/document/97e481fd-2dc3-412d-be4c-f152a8232961_en" TargetMode="External"/><Relationship Id="rId7" Type="http://schemas.openxmlformats.org/officeDocument/2006/relationships/hyperlink" Target="http://data.europa.eu/eli/reg/2013/345/oj" TargetMode="External"/><Relationship Id="rId2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Relationship Id="rId1" Type="http://schemas.openxmlformats.org/officeDocument/2006/relationships/hyperlink" Target="http://data.europa.eu/eli/C/2024/4182/oj" TargetMode="External"/><Relationship Id="rId6" Type="http://schemas.openxmlformats.org/officeDocument/2006/relationships/hyperlink" Target="http://data.europa.eu/eli/dir/2024/2811/oj" TargetMode="External"/><Relationship Id="rId5" Type="http://schemas.openxmlformats.org/officeDocument/2006/relationships/hyperlink" Target="http://data.europa.eu/eli/dir/2024/2810/oj" TargetMode="External"/><Relationship Id="rId4" Type="http://schemas.openxmlformats.org/officeDocument/2006/relationships/hyperlink" Target="http://data.europa.eu/eli/reg/2024/2809/oj" TargetMode="External"/><Relationship Id="rId9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3564</Words>
  <Characters>24749</Characters>
  <Application>Microsoft Office Word</Application>
  <DocSecurity>0</DocSecurity>
  <Lines>206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2026-01-21T07:16:00Z</dcterms:created>
  <dcterms:modified xsi:type="dcterms:W3CDTF">2026-01-21T07:16:00Z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P10_TA(2025)0300_</vt:lpwstr>
  </property>
  <property fmtid="{D5CDD505-2E9C-101B-9397-08002B2CF9AE}" pid="4" name="&lt;Type&gt;">
    <vt:lpwstr>RR</vt:lpwstr>
  </property>
</Properties>
</file>