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24E5" w14:paraId="6E48ACE8" w14:textId="77777777" w:rsidTr="0010095E">
        <w:trPr>
          <w:trHeight w:hRule="exact" w:val="1418"/>
        </w:trPr>
        <w:tc>
          <w:tcPr>
            <w:tcW w:w="6804" w:type="dxa"/>
            <w:shd w:val="clear" w:color="auto" w:fill="auto"/>
            <w:vAlign w:val="center"/>
          </w:tcPr>
          <w:p w14:paraId="0BFFBB7B" w14:textId="77777777" w:rsidR="00751A4A" w:rsidRPr="004824E5" w:rsidRDefault="009D788A" w:rsidP="0010095E">
            <w:pPr>
              <w:pStyle w:val="EPName"/>
            </w:pPr>
            <w:r w:rsidRPr="004824E5">
              <w:t>Parlamentul European</w:t>
            </w:r>
          </w:p>
          <w:p w14:paraId="6CC82071" w14:textId="77777777" w:rsidR="00751A4A" w:rsidRPr="004824E5" w:rsidRDefault="005F1B17" w:rsidP="005F1B17">
            <w:pPr>
              <w:pStyle w:val="EPTerm"/>
              <w:rPr>
                <w:rStyle w:val="HideTWBExt"/>
                <w:noProof w:val="0"/>
                <w:vanish w:val="0"/>
                <w:color w:val="auto"/>
              </w:rPr>
            </w:pPr>
            <w:r w:rsidRPr="004824E5">
              <w:t>2024</w:t>
            </w:r>
            <w:r w:rsidR="00817416" w:rsidRPr="004824E5">
              <w:t>-202</w:t>
            </w:r>
            <w:r w:rsidRPr="004824E5">
              <w:t>9</w:t>
            </w:r>
          </w:p>
        </w:tc>
        <w:tc>
          <w:tcPr>
            <w:tcW w:w="2268" w:type="dxa"/>
            <w:shd w:val="clear" w:color="auto" w:fill="auto"/>
          </w:tcPr>
          <w:p w14:paraId="5491892F" w14:textId="77777777" w:rsidR="00751A4A" w:rsidRPr="004824E5" w:rsidRDefault="00187494" w:rsidP="0010095E">
            <w:pPr>
              <w:pStyle w:val="EPLogo"/>
            </w:pPr>
            <w:r w:rsidRPr="004824E5">
              <w:rPr>
                <w:noProof/>
                <w:lang w:eastAsia="ja-JP"/>
              </w:rPr>
              <w:drawing>
                <wp:inline distT="0" distB="0" distL="0" distR="0" wp14:anchorId="5204B2A2" wp14:editId="1945DF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1E4281" w14:textId="77777777" w:rsidR="00D058B8" w:rsidRPr="004824E5" w:rsidRDefault="00D058B8" w:rsidP="004C5D52">
      <w:pPr>
        <w:pStyle w:val="LineTop"/>
      </w:pPr>
    </w:p>
    <w:p w14:paraId="24EA4361" w14:textId="77777777" w:rsidR="00680577" w:rsidRPr="004824E5" w:rsidRDefault="009D788A" w:rsidP="00680577">
      <w:pPr>
        <w:pStyle w:val="EPBodyTA1"/>
      </w:pPr>
      <w:r w:rsidRPr="004824E5">
        <w:t>TEXTE ADOPTATE</w:t>
      </w:r>
    </w:p>
    <w:p w14:paraId="4A27A519" w14:textId="77777777" w:rsidR="00D058B8" w:rsidRPr="004824E5" w:rsidRDefault="00D058B8" w:rsidP="00D058B8">
      <w:pPr>
        <w:pStyle w:val="LineBottom"/>
      </w:pPr>
    </w:p>
    <w:p w14:paraId="6DF58725" w14:textId="324512AA" w:rsidR="009D788A" w:rsidRPr="004824E5" w:rsidRDefault="009D788A" w:rsidP="009D788A">
      <w:pPr>
        <w:pStyle w:val="ATHeading1"/>
      </w:pPr>
      <w:bookmarkStart w:id="0" w:name="TANumber"/>
      <w:r w:rsidRPr="004824E5">
        <w:t>P10_TA(2025)0</w:t>
      </w:r>
      <w:r w:rsidR="004824E5" w:rsidRPr="004824E5">
        <w:t>3</w:t>
      </w:r>
      <w:r w:rsidRPr="004824E5">
        <w:t>00</w:t>
      </w:r>
      <w:bookmarkEnd w:id="0"/>
    </w:p>
    <w:p w14:paraId="7F4E9930" w14:textId="77777777" w:rsidR="009D788A" w:rsidRPr="004824E5" w:rsidRDefault="009D788A" w:rsidP="009D788A">
      <w:pPr>
        <w:pStyle w:val="ATHeading2"/>
      </w:pPr>
      <w:bookmarkStart w:id="1" w:name="title"/>
      <w:r w:rsidRPr="004824E5">
        <w:t>Accesul la finanțare al IMM-urilor și al întreprinderilor în faza de extindere</w:t>
      </w:r>
      <w:bookmarkEnd w:id="1"/>
    </w:p>
    <w:p w14:paraId="0557C54C" w14:textId="77777777" w:rsidR="009D788A" w:rsidRPr="004824E5" w:rsidRDefault="009D788A" w:rsidP="009D788A">
      <w:pPr>
        <w:rPr>
          <w:i/>
          <w:vanish/>
        </w:rPr>
      </w:pPr>
      <w:r w:rsidRPr="004824E5">
        <w:rPr>
          <w:i/>
        </w:rPr>
        <w:fldChar w:fldCharType="begin"/>
      </w:r>
      <w:r w:rsidRPr="004824E5">
        <w:rPr>
          <w:i/>
        </w:rPr>
        <w:instrText xml:space="preserve"> TC"(</w:instrText>
      </w:r>
      <w:bookmarkStart w:id="2" w:name="DocNumber"/>
      <w:r w:rsidRPr="004824E5">
        <w:rPr>
          <w:i/>
        </w:rPr>
        <w:instrText>A10-0185/2025</w:instrText>
      </w:r>
      <w:bookmarkEnd w:id="2"/>
      <w:r w:rsidRPr="004824E5">
        <w:rPr>
          <w:i/>
        </w:rPr>
        <w:instrText xml:space="preserve"> - Raportor: Jorge Martín </w:instrText>
      </w:r>
      <w:proofErr w:type="spellStart"/>
      <w:r w:rsidRPr="004824E5">
        <w:rPr>
          <w:i/>
        </w:rPr>
        <w:instrText>Frías</w:instrText>
      </w:r>
      <w:proofErr w:type="spellEnd"/>
      <w:r w:rsidRPr="004824E5">
        <w:rPr>
          <w:i/>
        </w:rPr>
        <w:instrText xml:space="preserve">)"\l3 \n&gt; \* MERGEFORMAT </w:instrText>
      </w:r>
      <w:r w:rsidRPr="004824E5">
        <w:rPr>
          <w:i/>
        </w:rPr>
        <w:fldChar w:fldCharType="end"/>
      </w:r>
    </w:p>
    <w:p w14:paraId="133895A8" w14:textId="77777777" w:rsidR="009D788A" w:rsidRPr="004824E5" w:rsidRDefault="009D788A" w:rsidP="009D788A">
      <w:pPr>
        <w:rPr>
          <w:vanish/>
        </w:rPr>
      </w:pPr>
      <w:bookmarkStart w:id="3" w:name="Commission"/>
      <w:r w:rsidRPr="004824E5">
        <w:rPr>
          <w:vanish/>
        </w:rPr>
        <w:t>Comisia pentru afaceri economice și monetare</w:t>
      </w:r>
      <w:bookmarkEnd w:id="3"/>
    </w:p>
    <w:p w14:paraId="7CD2057A" w14:textId="77777777" w:rsidR="009D788A" w:rsidRPr="004824E5" w:rsidRDefault="009D788A" w:rsidP="009D788A">
      <w:pPr>
        <w:rPr>
          <w:vanish/>
        </w:rPr>
      </w:pPr>
      <w:bookmarkStart w:id="4" w:name="PE"/>
      <w:r w:rsidRPr="004824E5">
        <w:rPr>
          <w:vanish/>
        </w:rPr>
        <w:t>PE772.123</w:t>
      </w:r>
      <w:bookmarkEnd w:id="4"/>
    </w:p>
    <w:p w14:paraId="2029030C" w14:textId="77777777" w:rsidR="009D788A" w:rsidRPr="004824E5" w:rsidRDefault="009D788A" w:rsidP="009D788A">
      <w:pPr>
        <w:pStyle w:val="ATHeading3"/>
      </w:pPr>
      <w:bookmarkStart w:id="5" w:name="Sujet"/>
      <w:r w:rsidRPr="004824E5">
        <w:t>Rezoluția Parlamentului European din 26 noiembrie 2025 referitoare la accesul la finanțare al IMM-urilor și al întreprinderilor în faza de extindere</w:t>
      </w:r>
      <w:bookmarkEnd w:id="5"/>
      <w:r w:rsidRPr="004824E5">
        <w:t xml:space="preserve"> </w:t>
      </w:r>
      <w:bookmarkStart w:id="6" w:name="References"/>
      <w:r w:rsidRPr="004824E5">
        <w:t>(2025/2072(INI))</w:t>
      </w:r>
      <w:bookmarkEnd w:id="6"/>
    </w:p>
    <w:p w14:paraId="40893F99" w14:textId="77777777" w:rsidR="00D76979" w:rsidRPr="004824E5" w:rsidRDefault="00D76979" w:rsidP="00D76979">
      <w:pPr>
        <w:pStyle w:val="EPComma"/>
      </w:pPr>
      <w:r w:rsidRPr="004824E5">
        <w:rPr>
          <w:rStyle w:val="Italic"/>
          <w:iCs/>
        </w:rPr>
        <w:t>Parlamentul European</w:t>
      </w:r>
      <w:r w:rsidRPr="004824E5">
        <w:t>,</w:t>
      </w:r>
    </w:p>
    <w:p w14:paraId="6C59998F" w14:textId="77777777" w:rsidR="00D76979" w:rsidRPr="004824E5" w:rsidRDefault="00D76979" w:rsidP="00D76979">
      <w:pPr>
        <w:pStyle w:val="NormalHanging12a"/>
      </w:pPr>
      <w:r w:rsidRPr="004824E5">
        <w:t>–</w:t>
      </w:r>
      <w:r w:rsidRPr="004824E5">
        <w:tab/>
        <w:t>având în vedere comunicarea Comisiei din 29 ianuarie 2025 intitulată „O Busolă pentru competitivitatea UE” (COM(2025)0030),</w:t>
      </w:r>
    </w:p>
    <w:p w14:paraId="44650001" w14:textId="77777777" w:rsidR="00D76979" w:rsidRPr="004824E5" w:rsidRDefault="00D76979" w:rsidP="00D76979">
      <w:pPr>
        <w:pStyle w:val="NormalHanging12a"/>
        <w:rPr>
          <w:snapToGrid/>
        </w:rPr>
      </w:pPr>
      <w:r w:rsidRPr="004824E5">
        <w:t>–</w:t>
      </w:r>
      <w:r w:rsidRPr="004824E5">
        <w:tab/>
        <w:t>având în vedere comunicarea Comisiei din 28 mai 2025 intitulată „Strategia UE privind start-</w:t>
      </w:r>
      <w:proofErr w:type="spellStart"/>
      <w:r w:rsidRPr="004824E5">
        <w:t>up</w:t>
      </w:r>
      <w:proofErr w:type="spellEnd"/>
      <w:r w:rsidRPr="004824E5">
        <w:t>-urile și întreprinderile în fază de extindere – Alegeți Europa pentru lansarea și dezvoltarea afacerii”, (COM(2025)0270),</w:t>
      </w:r>
    </w:p>
    <w:p w14:paraId="71BE0658" w14:textId="77777777" w:rsidR="00D76979" w:rsidRPr="004824E5" w:rsidRDefault="00D76979" w:rsidP="00D76979">
      <w:pPr>
        <w:pStyle w:val="NormalHanging12a"/>
      </w:pPr>
      <w:r w:rsidRPr="004824E5">
        <w:t>–</w:t>
      </w:r>
      <w:r w:rsidRPr="004824E5">
        <w:tab/>
        <w:t>având în vedere comunicarea Comisiei din 21 mai 2025 intitulată „Piața unică: piața internă europeană într-o lume nesigură – O strategie pentru crearea unei piețe unice simple, solide și pe deplin integrate” (COM(2025)0500),</w:t>
      </w:r>
    </w:p>
    <w:p w14:paraId="220651F6" w14:textId="77777777" w:rsidR="00D76979" w:rsidRPr="004824E5" w:rsidRDefault="00D76979" w:rsidP="00D76979">
      <w:pPr>
        <w:pStyle w:val="NormalHanging12a"/>
      </w:pPr>
      <w:r w:rsidRPr="004824E5">
        <w:t>–</w:t>
      </w:r>
      <w:r w:rsidRPr="004824E5">
        <w:tab/>
        <w:t>având în vedere Declarația de la Budapesta, adoptată la 8 noiembrie 2024, la reuniunea informală a șefilor de stat și de guvern,</w:t>
      </w:r>
    </w:p>
    <w:p w14:paraId="678304BC" w14:textId="77777777" w:rsidR="00D76979" w:rsidRPr="004824E5" w:rsidRDefault="00D76979" w:rsidP="00D76979">
      <w:pPr>
        <w:pStyle w:val="NormalHanging12a"/>
      </w:pPr>
      <w:r w:rsidRPr="004824E5">
        <w:t>–</w:t>
      </w:r>
      <w:r w:rsidRPr="004824E5">
        <w:tab/>
        <w:t xml:space="preserve">având în vedere documentul publicat la 18 iulie 2024 de Președinta Comisiei, Ursula von </w:t>
      </w:r>
      <w:proofErr w:type="spellStart"/>
      <w:r w:rsidRPr="004824E5">
        <w:t>der</w:t>
      </w:r>
      <w:proofErr w:type="spellEnd"/>
      <w:r w:rsidRPr="004824E5">
        <w:t xml:space="preserve"> </w:t>
      </w:r>
      <w:proofErr w:type="spellStart"/>
      <w:r w:rsidRPr="004824E5">
        <w:t>Leyen</w:t>
      </w:r>
      <w:proofErr w:type="spellEnd"/>
      <w:r w:rsidRPr="004824E5">
        <w:t>, și intitulat „Alegerea Europei:  orientări politice pentru următoarea Comisie 2024-2029”,</w:t>
      </w:r>
    </w:p>
    <w:p w14:paraId="28598D3F" w14:textId="77777777" w:rsidR="00D76979" w:rsidRPr="004824E5" w:rsidRDefault="00D76979" w:rsidP="00D76979">
      <w:pPr>
        <w:pStyle w:val="NormalHanging12a"/>
      </w:pPr>
      <w:r w:rsidRPr="004824E5">
        <w:t>–</w:t>
      </w:r>
      <w:r w:rsidRPr="004824E5">
        <w:tab/>
        <w:t>având în vedere raportul Băncii Centrale Europene intitulat „Sondaj privind accesul la finanțare al întreprinderilor din zona euro – primul trimestru al anului 2025”, publicat în aprilie 2025,</w:t>
      </w:r>
    </w:p>
    <w:p w14:paraId="0E8C6169" w14:textId="77777777" w:rsidR="00D76979" w:rsidRPr="004824E5" w:rsidRDefault="00D76979" w:rsidP="00D76979">
      <w:pPr>
        <w:pStyle w:val="NormalHanging12a"/>
      </w:pPr>
      <w:r w:rsidRPr="004824E5">
        <w:t>–</w:t>
      </w:r>
      <w:r w:rsidRPr="004824E5">
        <w:tab/>
        <w:t>având în vedere comunicarea Comisiei din 19 martie 2025 intitulată „O Uniune a economiilor și a investițiilor – O strategie pentru promovarea prosperității cetățenilor și a competitivității economice în UE” (COM(2025)0124),</w:t>
      </w:r>
    </w:p>
    <w:p w14:paraId="3A81C379" w14:textId="77777777" w:rsidR="00D76979" w:rsidRPr="004824E5" w:rsidRDefault="00D76979" w:rsidP="00D76979">
      <w:pPr>
        <w:pStyle w:val="NormalHanging12a"/>
      </w:pPr>
      <w:r w:rsidRPr="004824E5">
        <w:t>–</w:t>
      </w:r>
      <w:r w:rsidRPr="004824E5">
        <w:tab/>
        <w:t>având în vedere raportul Comisiei intitulat „Sondaj privind accesul la finanțare al întreprinderilor (SAFE) – Raport analitic 2024”, publicat în ianuarie 2025,</w:t>
      </w:r>
    </w:p>
    <w:p w14:paraId="1F34D9FE" w14:textId="77777777" w:rsidR="00D76979" w:rsidRPr="004824E5" w:rsidRDefault="00D76979" w:rsidP="00D76979">
      <w:pPr>
        <w:pStyle w:val="NormalHanging12a"/>
      </w:pPr>
      <w:r w:rsidRPr="004824E5">
        <w:lastRenderedPageBreak/>
        <w:t>–</w:t>
      </w:r>
      <w:r w:rsidRPr="004824E5">
        <w:tab/>
        <w:t xml:space="preserve">având în vedere raportul lui Mario </w:t>
      </w:r>
      <w:proofErr w:type="spellStart"/>
      <w:r w:rsidRPr="004824E5">
        <w:t>Draghi</w:t>
      </w:r>
      <w:proofErr w:type="spellEnd"/>
      <w:r w:rsidRPr="004824E5">
        <w:t xml:space="preserve"> intitulat „Viitorul competitivității europene” (Raportul </w:t>
      </w:r>
      <w:proofErr w:type="spellStart"/>
      <w:r w:rsidRPr="004824E5">
        <w:t>Draghi</w:t>
      </w:r>
      <w:proofErr w:type="spellEnd"/>
      <w:r w:rsidRPr="004824E5">
        <w:t>), publicat în septembrie 2024,</w:t>
      </w:r>
    </w:p>
    <w:p w14:paraId="499BA15E" w14:textId="77777777" w:rsidR="00D76979" w:rsidRPr="004824E5" w:rsidRDefault="00D76979" w:rsidP="00D76979">
      <w:pPr>
        <w:pStyle w:val="NormalHanging12a"/>
      </w:pPr>
      <w:r w:rsidRPr="004824E5">
        <w:t>–</w:t>
      </w:r>
      <w:r w:rsidRPr="004824E5">
        <w:tab/>
        <w:t>având în vedere raportul Comisiei din 25 iulie 2024 intitulat „Raportul anual privind IMM-urile europene 2023/2024”,</w:t>
      </w:r>
    </w:p>
    <w:p w14:paraId="728A608C" w14:textId="77777777" w:rsidR="00D76979" w:rsidRPr="004824E5" w:rsidRDefault="00D76979" w:rsidP="00D76979">
      <w:pPr>
        <w:pStyle w:val="NormalHanging12a"/>
      </w:pPr>
      <w:r w:rsidRPr="004824E5">
        <w:t>–</w:t>
      </w:r>
      <w:r w:rsidRPr="004824E5">
        <w:tab/>
        <w:t xml:space="preserve">având în vedere raportul Enrico </w:t>
      </w:r>
      <w:proofErr w:type="spellStart"/>
      <w:r w:rsidRPr="004824E5">
        <w:t>Letta</w:t>
      </w:r>
      <w:proofErr w:type="spellEnd"/>
      <w:r w:rsidRPr="004824E5">
        <w:t xml:space="preserve"> intitulat „</w:t>
      </w:r>
      <w:proofErr w:type="spellStart"/>
      <w:r w:rsidRPr="004824E5">
        <w:t>Much</w:t>
      </w:r>
      <w:proofErr w:type="spellEnd"/>
      <w:r w:rsidRPr="004824E5">
        <w:t xml:space="preserve"> more </w:t>
      </w:r>
      <w:proofErr w:type="spellStart"/>
      <w:r w:rsidRPr="004824E5">
        <w:t>than</w:t>
      </w:r>
      <w:proofErr w:type="spellEnd"/>
      <w:r w:rsidRPr="004824E5">
        <w:t xml:space="preserve"> a market” (Mult mai mult decât o piață - Raportul </w:t>
      </w:r>
      <w:proofErr w:type="spellStart"/>
      <w:r w:rsidRPr="004824E5">
        <w:t>Letta</w:t>
      </w:r>
      <w:proofErr w:type="spellEnd"/>
      <w:r w:rsidRPr="004824E5">
        <w:t>), publicat în aprilie 2024,</w:t>
      </w:r>
    </w:p>
    <w:p w14:paraId="41A6CD0D" w14:textId="77777777" w:rsidR="00D76979" w:rsidRPr="004824E5" w:rsidRDefault="00D76979" w:rsidP="00D76979">
      <w:pPr>
        <w:pStyle w:val="NormalHanging12a"/>
      </w:pPr>
      <w:r w:rsidRPr="004824E5">
        <w:t>–</w:t>
      </w:r>
      <w:r w:rsidRPr="004824E5">
        <w:tab/>
        <w:t>având în vedere concluziile reuniunii speciale a Consiliului European din 17 și 18 aprilie 2024,</w:t>
      </w:r>
    </w:p>
    <w:p w14:paraId="37153EAB" w14:textId="77777777" w:rsidR="00D76979" w:rsidRPr="004824E5" w:rsidRDefault="00D76979" w:rsidP="00D76979">
      <w:pPr>
        <w:pStyle w:val="NormalHanging12a"/>
      </w:pPr>
      <w:r w:rsidRPr="004824E5">
        <w:t>–</w:t>
      </w:r>
      <w:r w:rsidRPr="004824E5">
        <w:tab/>
        <w:t>având în vedere rezoluția sa din 14 decembrie 2023 referitoare la creșterea inovației și a competitivității industriale și tehnologice printr-un mediu favorabil pentru întreprinderile nou-înființate și întreprinderile în curs de extindere</w:t>
      </w:r>
      <w:r w:rsidRPr="004824E5">
        <w:rPr>
          <w:rStyle w:val="FootnoteReference"/>
        </w:rPr>
        <w:footnoteReference w:id="1"/>
      </w:r>
      <w:r w:rsidRPr="004824E5">
        <w:t>,</w:t>
      </w:r>
    </w:p>
    <w:p w14:paraId="451202E2" w14:textId="77777777" w:rsidR="00D76979" w:rsidRPr="004824E5" w:rsidRDefault="00D76979" w:rsidP="00D76979">
      <w:pPr>
        <w:pStyle w:val="NormalHanging12a"/>
      </w:pPr>
      <w:r w:rsidRPr="004824E5">
        <w:t>–</w:t>
      </w:r>
      <w:r w:rsidRPr="004824E5">
        <w:tab/>
        <w:t>având în vedere Comunicarea Comisiei din 12 septembrie 2023 privind pachetul de măsuri de ajutorare a IMM-urilor (COM(2023)0535),</w:t>
      </w:r>
    </w:p>
    <w:p w14:paraId="5F056CFE" w14:textId="77777777" w:rsidR="00D76979" w:rsidRPr="004824E5" w:rsidRDefault="00D76979" w:rsidP="00D76979">
      <w:pPr>
        <w:pStyle w:val="NormalHanging12a"/>
      </w:pPr>
      <w:r w:rsidRPr="004824E5">
        <w:t>–</w:t>
      </w:r>
      <w:r w:rsidRPr="004824E5">
        <w:tab/>
        <w:t>având în vedere articolul 55 din Regulamentul său de procedură,</w:t>
      </w:r>
    </w:p>
    <w:p w14:paraId="6E3344C1" w14:textId="77777777" w:rsidR="00D76979" w:rsidRPr="004824E5" w:rsidRDefault="00D76979" w:rsidP="00D76979">
      <w:pPr>
        <w:pStyle w:val="NormalHanging12a"/>
        <w:rPr>
          <w:snapToGrid/>
        </w:rPr>
      </w:pPr>
      <w:r w:rsidRPr="004824E5">
        <w:t>–</w:t>
      </w:r>
      <w:r w:rsidRPr="004824E5">
        <w:tab/>
        <w:t>având în vedere raportul Comisiei pentru afaceri economice și monetare (A10-0185/2025),</w:t>
      </w:r>
    </w:p>
    <w:p w14:paraId="3FE1A350" w14:textId="77777777" w:rsidR="00D76979" w:rsidRPr="004824E5" w:rsidRDefault="00D76979" w:rsidP="00D76979">
      <w:pPr>
        <w:pStyle w:val="NormalHanging12a"/>
      </w:pPr>
      <w:r w:rsidRPr="004824E5">
        <w:t>A.</w:t>
      </w:r>
      <w:r w:rsidRPr="004824E5">
        <w:tab/>
        <w:t>întrucât microîntreprinderile și întreprinderile mici și mijlocii reprezintă coloana vertebrală a mediului privat european, IMM-urile reprezentând 99,8 % din totalul întreprinderilor, 65,2 % din locurile de muncă și 53,1 % din valoarea adăugată în sectorul întreprinderilor nefinanciare din UE în 2023</w:t>
      </w:r>
      <w:r w:rsidRPr="004824E5">
        <w:rPr>
          <w:rStyle w:val="FootnoteReference"/>
        </w:rPr>
        <w:footnoteReference w:id="2"/>
      </w:r>
      <w:r w:rsidRPr="004824E5">
        <w:t>;</w:t>
      </w:r>
    </w:p>
    <w:p w14:paraId="4E431000" w14:textId="77777777" w:rsidR="00D76979" w:rsidRPr="004824E5" w:rsidRDefault="00D76979" w:rsidP="00D76979">
      <w:pPr>
        <w:pStyle w:val="NormalHanging12a"/>
        <w:rPr>
          <w:snapToGrid/>
        </w:rPr>
      </w:pPr>
      <w:r w:rsidRPr="004824E5">
        <w:t>B.</w:t>
      </w:r>
      <w:r w:rsidRPr="004824E5">
        <w:tab/>
        <w:t>întrucât UE în ansamblu – și în special cele mai mari economii ale sale – se confruntă în prezent cu o creștere economică lentă și cu probleme, deoarece întreprinderile își pierd competitivitatea în raport cu țările terțe, agravate de consecințele pandemiei, ale crizei energetice și ale agresiunii Rusiei împotriva Ucrainei, care au afectat în mod deosebit IMM-urile și economiile țărilor situate de-a lungul frontierei estice a UE;</w:t>
      </w:r>
    </w:p>
    <w:p w14:paraId="7DC9A4F7" w14:textId="77777777" w:rsidR="00D76979" w:rsidRPr="004824E5" w:rsidRDefault="00D76979" w:rsidP="00D76979">
      <w:pPr>
        <w:pStyle w:val="NormalHanging12a"/>
      </w:pPr>
      <w:r w:rsidRPr="004824E5">
        <w:t>C.</w:t>
      </w:r>
      <w:r w:rsidRPr="004824E5">
        <w:tab/>
        <w:t>întrucât IMM-urile europene variază din punctul de vedere al domeniului, al sectorului, al nevoilor financiare, al localizării, al tipului de proprietate, al modelului de afaceri și al capacității de inovare și, prin urmare, se confruntă cu dificultăți și nevoi de finanțare diferite, având capacități limitate de a le face față; întrucât majoritatea IMM-urilor europene funcționează, în principal, la nivel național; întrucât relativ puține IMM-uri sunt implicate în operațiuni transfrontaliere în cadrul UE, iar cele care exportă în afara Uniunii constituie o minoritate;</w:t>
      </w:r>
    </w:p>
    <w:p w14:paraId="3BCA972F" w14:textId="77777777" w:rsidR="00D76979" w:rsidRPr="004824E5" w:rsidRDefault="00D76979" w:rsidP="00D76979">
      <w:pPr>
        <w:pStyle w:val="NormalHanging12a"/>
      </w:pPr>
      <w:r w:rsidRPr="004824E5">
        <w:lastRenderedPageBreak/>
        <w:t>D.</w:t>
      </w:r>
      <w:r w:rsidRPr="004824E5">
        <w:tab/>
        <w:t xml:space="preserve">întrucât raportul </w:t>
      </w:r>
      <w:proofErr w:type="spellStart"/>
      <w:r w:rsidRPr="004824E5">
        <w:t>Draghi</w:t>
      </w:r>
      <w:proofErr w:type="spellEnd"/>
      <w:r w:rsidRPr="004824E5">
        <w:t xml:space="preserve"> arată că obstacolele de reglementare și sarcinile administrative se numără printre cele mai mari dificultăți cu care se confruntă IMM-urile, iar reglementările în materie de raportare, în principal în cadrul Pactului verde european, sunt considerate un obstacol în calea investițiilor de peste 60 % dintre întreprinderile din UE, 55 % dintre IMM-uri considerând că obstacolele de reglementare și sarcina administrativă reprezintă cea mai mare provocare, în timp ce proporția este și mai mare pentru start-</w:t>
      </w:r>
      <w:proofErr w:type="spellStart"/>
      <w:r w:rsidRPr="004824E5">
        <w:t>up</w:t>
      </w:r>
      <w:proofErr w:type="spellEnd"/>
      <w:r w:rsidRPr="004824E5">
        <w:t>-uri și microîntreprinderi, și recomandă ca IMM-urile să fie scutite de reglementări din motive de proporționalitate, subliniind că un cadru de reglementare mai simplu, previzibil și competitiv și o revizuire a Pactului verde european sunt esențiale pentru prosperitatea lor;</w:t>
      </w:r>
    </w:p>
    <w:p w14:paraId="6616BEDD" w14:textId="77777777" w:rsidR="00D76979" w:rsidRPr="004824E5" w:rsidRDefault="00D76979" w:rsidP="00D76979">
      <w:pPr>
        <w:pStyle w:val="NormalHanging12a"/>
      </w:pPr>
      <w:r w:rsidRPr="004824E5">
        <w:t>E.</w:t>
      </w:r>
      <w:r w:rsidRPr="004824E5">
        <w:tab/>
        <w:t>întrucât Comisia urmărește să îmbunătățească accesul IMM-urilor la finanțare pentru a crește dimensiunea, a reduce ineficiențele și a promova interoperabilitatea, și a stabilit un obiectiv de reducere cu cel puțin 35 % a sarcinilor de raportare pentru IMM-uri, anunțând o nouă evaluare a competitivității IMM-urilor în evaluările de impact; întrucât aceste inițiative trebuie să fie însoțite de un ecosistem bine dezvoltat al capitalului de risc, ținând seama că investitorii instituționali, cum ar fi societățile de asigurări, au o contribuție importantă la finanțarea IMM-urilor, prin transferul și transformarea riscurilor și dat fiind că, spre deosebire de Statele Unite, cea mai mare parte a finanțării din Uniunea Europeană provine de la bănci și că există disparități evidente între cultura europeană a investițiilor și alte regiuni ale lumii, în special în ceea ce privește capitalul de risc și investitorii providențiali; întrucât această situație face ca IMM-urile să fie deosebit de vulnerabile la înăsprirea condițiilor împrumuturilor bancare;</w:t>
      </w:r>
    </w:p>
    <w:p w14:paraId="11A5077E" w14:textId="77777777" w:rsidR="00D76979" w:rsidRPr="004824E5" w:rsidRDefault="00D76979" w:rsidP="00D76979">
      <w:pPr>
        <w:pStyle w:val="NormalHanging12a"/>
      </w:pPr>
      <w:r w:rsidRPr="004824E5">
        <w:t>F.</w:t>
      </w:r>
      <w:r w:rsidRPr="004824E5">
        <w:tab/>
        <w:t>întrucât Europa nu dispune de un mediu mai dinamic și mai favorabil pentru ca întreprinderile inovatoare să se extindă și pentru investiții suplimentare și progrese în infrastructura digitală, ceea ce duce la relocalizarea a aproape 30 % dintre „unicorni” în străinătate</w:t>
      </w:r>
      <w:r w:rsidRPr="004824E5">
        <w:rPr>
          <w:rStyle w:val="FootnoteReference"/>
        </w:rPr>
        <w:footnoteReference w:id="3"/>
      </w:r>
      <w:r w:rsidRPr="004824E5">
        <w:t>;</w:t>
      </w:r>
    </w:p>
    <w:p w14:paraId="031D3323" w14:textId="77777777" w:rsidR="00D76979" w:rsidRPr="004824E5" w:rsidRDefault="00D76979" w:rsidP="00D76979">
      <w:pPr>
        <w:pStyle w:val="NormalHanging12a"/>
      </w:pPr>
      <w:r w:rsidRPr="004824E5">
        <w:t>G.</w:t>
      </w:r>
      <w:r w:rsidRPr="004824E5">
        <w:tab/>
        <w:t>întrucât Comisia a publicat o strategie privind start-</w:t>
      </w:r>
      <w:proofErr w:type="spellStart"/>
      <w:r w:rsidRPr="004824E5">
        <w:t>up</w:t>
      </w:r>
      <w:proofErr w:type="spellEnd"/>
      <w:r w:rsidRPr="004824E5">
        <w:t xml:space="preserve">-urile și întreprinderile în fază de extindere și există diverse inițiative menite să promoveze </w:t>
      </w:r>
      <w:proofErr w:type="spellStart"/>
      <w:r w:rsidRPr="004824E5">
        <w:t>antreprenoriatul</w:t>
      </w:r>
      <w:proofErr w:type="spellEnd"/>
      <w:r w:rsidRPr="004824E5">
        <w:t>, inovarea și transformarea digitală în UE, cum ar fi strategia privind start-</w:t>
      </w:r>
      <w:proofErr w:type="spellStart"/>
      <w:r w:rsidRPr="004824E5">
        <w:t>up</w:t>
      </w:r>
      <w:proofErr w:type="spellEnd"/>
      <w:r w:rsidRPr="004824E5">
        <w:t xml:space="preserve">-urile și întreprinderile în fază de extindere, tabloul de bord privind </w:t>
      </w:r>
      <w:proofErr w:type="spellStart"/>
      <w:r w:rsidRPr="004824E5">
        <w:t>eco</w:t>
      </w:r>
      <w:proofErr w:type="spellEnd"/>
      <w:r w:rsidRPr="004824E5">
        <w:t>-inovarea, comunitățile de cunoaștere și inovare, platforma de cooperare a clusterelor europene, deceniul digital și strategia privind piața unică digitală, precum și programele de finanțare dedicate inovării în alte domenii de politică,</w:t>
      </w:r>
    </w:p>
    <w:p w14:paraId="123F6856" w14:textId="77777777" w:rsidR="00D76979" w:rsidRPr="004824E5" w:rsidRDefault="00D76979" w:rsidP="00D76979">
      <w:pPr>
        <w:pStyle w:val="Normal12a24b"/>
      </w:pPr>
      <w:r w:rsidRPr="004824E5">
        <w:rPr>
          <w:rStyle w:val="BoldItalic"/>
        </w:rPr>
        <w:t>Considerații generale</w:t>
      </w:r>
    </w:p>
    <w:p w14:paraId="25925B93" w14:textId="77777777" w:rsidR="00D76979" w:rsidRPr="004824E5" w:rsidRDefault="00D76979" w:rsidP="00D76979">
      <w:pPr>
        <w:pStyle w:val="NormalHanging12a"/>
      </w:pPr>
      <w:r w:rsidRPr="004824E5">
        <w:t>1.</w:t>
      </w:r>
      <w:r w:rsidRPr="004824E5">
        <w:tab/>
        <w:t xml:space="preserve">consideră că trebuie create condiții favorabile de piață pentru ca întreprinderile europene să inoveze, să se dezvolte, să creeze, să crească și să se extindă în Europa, pentru a debloca întregul potențial al pieței noastre și pentru a ajuta economiile noastre să devină mai competitive; recunoaște că fragmentarea în materie de reglementare reprezintă unul dintre obstacolele care împiedică întreprinderile în faza de extindere să atingă întregul potențial al pieței unice; recunoaște că IMM-urile se confruntă cu </w:t>
      </w:r>
      <w:r w:rsidRPr="004824E5">
        <w:lastRenderedPageBreak/>
        <w:t xml:space="preserve">condiții și cerințe de finanțare inegale între statele membre și regiuni, din cauza unor factori specifici fiecărei întreprinderi, localizării geografice – cum ar fi situarea în zone îndepărtate, </w:t>
      </w:r>
      <w:proofErr w:type="spellStart"/>
      <w:r w:rsidRPr="004824E5">
        <w:t>ultraperiferice</w:t>
      </w:r>
      <w:proofErr w:type="spellEnd"/>
      <w:r w:rsidRPr="004824E5">
        <w:t xml:space="preserve"> și insulare – și mediului economic și, prin urmare, au nevoie de soluții adaptate la astfel de particularități, precum și la nevoile economiilor mai mici;</w:t>
      </w:r>
    </w:p>
    <w:p w14:paraId="7ACFE6F2" w14:textId="77777777" w:rsidR="00D76979" w:rsidRPr="004824E5" w:rsidRDefault="00D76979" w:rsidP="00D76979">
      <w:pPr>
        <w:pStyle w:val="NormalHanging12a"/>
      </w:pPr>
      <w:r w:rsidRPr="004824E5">
        <w:t>2.</w:t>
      </w:r>
      <w:r w:rsidRPr="004824E5">
        <w:tab/>
        <w:t xml:space="preserve">salută faptul că, în urma rapoartelor </w:t>
      </w:r>
      <w:proofErr w:type="spellStart"/>
      <w:r w:rsidRPr="004824E5">
        <w:t>Draghi</w:t>
      </w:r>
      <w:proofErr w:type="spellEnd"/>
      <w:r w:rsidRPr="004824E5">
        <w:t xml:space="preserve"> și </w:t>
      </w:r>
      <w:proofErr w:type="spellStart"/>
      <w:r w:rsidRPr="004824E5">
        <w:t>Letta</w:t>
      </w:r>
      <w:proofErr w:type="spellEnd"/>
      <w:r w:rsidRPr="004824E5">
        <w:t>, s-a recunoscut că piața unică trebuie să devină mai competitivă, mai puțin fragmentată și mai puțin birocratică; invită Comisia să ia în considerare recomandările din aceste rapoarte, unde se afirmă că sunt necesare acțiuni imediate și decisive, atât la nivel de reglementare, cât și la nivel politic; regretă, în acest sens, sarcinile excesive cu care s-au confruntat IMM-urile, ca urmare a aplicării a diferitelor obligații în temeiul Pactului verde european; este convins că elaborarea unor definiții specifice ale start-</w:t>
      </w:r>
      <w:proofErr w:type="spellStart"/>
      <w:r w:rsidRPr="004824E5">
        <w:t>up</w:t>
      </w:r>
      <w:proofErr w:type="spellEnd"/>
      <w:r w:rsidRPr="004824E5">
        <w:t>-urilor și ale întreprinderilor în fază de extindere ar spori șansele de sprijin, prin măsuri adaptate nevoilor lor specifice;</w:t>
      </w:r>
    </w:p>
    <w:p w14:paraId="14DBDC3C" w14:textId="77777777" w:rsidR="00D76979" w:rsidRPr="004824E5" w:rsidRDefault="00D76979" w:rsidP="00D76979">
      <w:pPr>
        <w:pStyle w:val="NormalHanging12a"/>
        <w:rPr>
          <w:bCs/>
          <w:iCs/>
        </w:rPr>
      </w:pPr>
      <w:r w:rsidRPr="004824E5">
        <w:t>3.</w:t>
      </w:r>
      <w:r w:rsidRPr="004824E5">
        <w:tab/>
        <w:t>recunoaște că împrumuturile bancare rămân principala sursă de finanțare externă pentru IMM-urile din Uniune; subliniază rolul esențial al modelelor tradiționale bancare, inclusiv al băncilor regionale mici, al caselor de economii, al băncilor cooperatiste și al instituțiilor publice;</w:t>
      </w:r>
    </w:p>
    <w:p w14:paraId="519CA943" w14:textId="77777777" w:rsidR="00D76979" w:rsidRPr="004824E5" w:rsidRDefault="00D76979" w:rsidP="00D76979">
      <w:pPr>
        <w:pStyle w:val="NormalHanging12a"/>
      </w:pPr>
      <w:r w:rsidRPr="004824E5">
        <w:t>4.</w:t>
      </w:r>
      <w:r w:rsidRPr="004824E5">
        <w:tab/>
        <w:t>subliniază că UE ar trebui să depună eforturi pentru a face mediul de afaceri mai simplu și atractiv pentru mobilizarea capitalului și a investițiilor europene și internaționale; insistă că este necesar să se promoveze un ecosistem favorabil extinderii, bazat în principal pe investiții private și parteneriate public-privat, ceea ce ar contribui la mobilizarea capitalului și la facilitarea accesului întreprinderilor la finanțare; subliniază rolul important și bine dezvoltat al băncilor care dețin cunoștințe locale și regionale specifice privind furnizarea de finanțare către IMM-uri, provenind din relațiile de lungă durată cu aceste întreprinderi;</w:t>
      </w:r>
    </w:p>
    <w:p w14:paraId="0216436A" w14:textId="77777777" w:rsidR="00D76979" w:rsidRPr="004824E5" w:rsidRDefault="00D76979" w:rsidP="00D76979">
      <w:pPr>
        <w:pStyle w:val="NormalHanging12a"/>
      </w:pPr>
      <w:r w:rsidRPr="004824E5">
        <w:t>5.</w:t>
      </w:r>
      <w:r w:rsidRPr="004824E5">
        <w:tab/>
        <w:t xml:space="preserve">atrage atenția asupra dificultăților specifice pe care le întâmpină întreprinderile europene în faza de extindere pentru a obține finanțare pentru creșterea în stadiul avansat; constată că numeroase întreprinderi cu potențial ridicat din UE rămân dependente de capitalul de risc și de investitorii străini, o mare parte din finanțările ulterioare fiind efectuate de investitori din afara Europei; subliniază necesitatea de a crea condiții mai atractive pentru investiții în Uniune; subliniază că accesul la finanțare ar trebui să fie ghidat de criterii de eficiență economică, de rentabilitate și de capacitatea de extindere, indiferent de proveniența capitalului, și reamintește că o concurență deschisă și globală pentru atragerea investițiilor aduce beneficii întreprinderilor și inovării; evidențiază, în acest sens, adoptarea recentă a Actului legislativ al UE privind </w:t>
      </w:r>
      <w:r w:rsidRPr="004824E5">
        <w:lastRenderedPageBreak/>
        <w:t>cotarea la bursă</w:t>
      </w:r>
      <w:r w:rsidRPr="004824E5">
        <w:rPr>
          <w:rStyle w:val="FootnoteReference"/>
        </w:rPr>
        <w:footnoteReference w:id="4"/>
      </w:r>
      <w:r w:rsidRPr="004824E5">
        <w:t>, care va facilita cotarea la bursele europene a întreprinderilor de toate dimensiunile, inclusiv a IMM-urilor;</w:t>
      </w:r>
    </w:p>
    <w:p w14:paraId="2B24E558" w14:textId="77777777" w:rsidR="00D76979" w:rsidRPr="004824E5" w:rsidRDefault="00D76979" w:rsidP="00D76979">
      <w:pPr>
        <w:pStyle w:val="NormalHanging12a"/>
      </w:pPr>
      <w:r w:rsidRPr="004824E5">
        <w:t>6.</w:t>
      </w:r>
      <w:r w:rsidRPr="004824E5">
        <w:tab/>
        <w:t>ia act de publicarea de către Comisie a strategiei privind start-</w:t>
      </w:r>
      <w:proofErr w:type="spellStart"/>
      <w:r w:rsidRPr="004824E5">
        <w:t>up</w:t>
      </w:r>
      <w:proofErr w:type="spellEnd"/>
      <w:r w:rsidRPr="004824E5">
        <w:t>-urile și întreprinderile în faza de extindere, care ar trebui să promoveze inovarea și să răspundă problemelor cu care se confruntă inovatorii individuali, fondatorii, start-</w:t>
      </w:r>
      <w:proofErr w:type="spellStart"/>
      <w:r w:rsidRPr="004824E5">
        <w:t>up</w:t>
      </w:r>
      <w:proofErr w:type="spellEnd"/>
      <w:r w:rsidRPr="004824E5">
        <w:t>-urile și întreprinderile în faza de extindere din UE; subliniază că, deși diagnosticul conținut în strategie este într-o anumită măsură corect, măsurile propuse trebuie să fie mai ambițioase, fiind necesar un accent pe abrogarea tuturor reglementărilor UE care impun obstacole birocratice inutile ce împiedică crearea și extinderea întreprinderilor; solicită Comisiei să includă agricultura printre sectoarele prioritare identificate în strategie;</w:t>
      </w:r>
    </w:p>
    <w:p w14:paraId="417F1E6A" w14:textId="77777777" w:rsidR="00D76979" w:rsidRPr="004824E5" w:rsidRDefault="00D76979" w:rsidP="00D76979">
      <w:pPr>
        <w:pStyle w:val="NormalHanging12a"/>
      </w:pPr>
      <w:r w:rsidRPr="004824E5">
        <w:t>7.</w:t>
      </w:r>
      <w:r w:rsidRPr="004824E5">
        <w:tab/>
        <w:t>consideră că facilitarea accesului la finanțare pentru IMM-uri și întreprinderile în faza de extindere va depinde (i) de reducerea clară și continuă a birocrației și reglementărilor, inclusiv a procedurilor îndelungate de autorizare, a cerințelor costisitoare de raportare și a complexității și imprevizibilității mediului de reglementare, (ii) de mai buna capacitate de a debloca investițiile și economiile private, (iii) de reducerea deficitului de finanțare pentru întreprinderile în faza de extindere și (iv) de consolidarea unui ecosistem competitiv al piețelor de capital în cadrul UE; subliniază că, în acest scop, obiectivul final al Comisiei trebuie să fie realizarea unei uniuni a economiilor și a investițiilor care să respecte competențele statelor membre și principiul subsidiarității;</w:t>
      </w:r>
    </w:p>
    <w:p w14:paraId="44BE90E3" w14:textId="77777777" w:rsidR="00D76979" w:rsidRPr="004824E5" w:rsidRDefault="00D76979" w:rsidP="00D76979">
      <w:pPr>
        <w:pStyle w:val="Normal12a24b"/>
      </w:pPr>
      <w:r w:rsidRPr="004824E5">
        <w:rPr>
          <w:rStyle w:val="BoldItalic"/>
        </w:rPr>
        <w:t>Reducerea birocrației și a sarcinilor de reglementare</w:t>
      </w:r>
    </w:p>
    <w:p w14:paraId="5DC94023" w14:textId="77777777" w:rsidR="00D76979" w:rsidRPr="004824E5" w:rsidRDefault="00D76979" w:rsidP="00D76979">
      <w:pPr>
        <w:pStyle w:val="NormalHanging12a"/>
      </w:pPr>
      <w:r w:rsidRPr="004824E5">
        <w:t>8.</w:t>
      </w:r>
      <w:r w:rsidRPr="004824E5">
        <w:tab/>
        <w:t>reamintește că numeroase start-</w:t>
      </w:r>
      <w:proofErr w:type="spellStart"/>
      <w:r w:rsidRPr="004824E5">
        <w:t>up</w:t>
      </w:r>
      <w:proofErr w:type="spellEnd"/>
      <w:r w:rsidRPr="004824E5">
        <w:t>-uri și întreprinderi în faza de extindere europene promițătoare se mută în țări terțe din cauza peisajului juridic european împovărător, lent, fragmentat și imprevizibil; subliniază că, dacă această tendință nu va fi inversată printr-o simplificare substanțială, Europa va continua să piardă întreprinderi aflate în stadiul cel mai strategic de creștere, rezultatul fiind scăderea numărului de locuri de muncă create și o creștere economică mai lentă; regretă că pragurile fiscale și de reglementare descurajează creșterea întreprinderilor, prin impunerea unui tratament mai împovărător odată ce anumite niveluri de dimensiune sau de cifră de afaceri sunt depășite;</w:t>
      </w:r>
    </w:p>
    <w:p w14:paraId="0CAE593B" w14:textId="77777777" w:rsidR="00D76979" w:rsidRPr="004824E5" w:rsidRDefault="00D76979" w:rsidP="00D76979">
      <w:pPr>
        <w:pStyle w:val="NormalHanging12a"/>
      </w:pPr>
      <w:r w:rsidRPr="004824E5">
        <w:lastRenderedPageBreak/>
        <w:t>9.</w:t>
      </w:r>
      <w:r w:rsidRPr="004824E5">
        <w:tab/>
        <w:t>solicită eforturi suplimentare de simplificare și încurajează Comisia să prezinte propuneri ulterioare care depășesc pachetele sale de simplificare omnibus și care stabilesc reglementări și cadre favorabile start-</w:t>
      </w:r>
      <w:proofErr w:type="spellStart"/>
      <w:r w:rsidRPr="004824E5">
        <w:t>up</w:t>
      </w:r>
      <w:proofErr w:type="spellEnd"/>
      <w:r w:rsidRPr="004824E5">
        <w:t xml:space="preserve">-urilor care să faciliteze creșterea, </w:t>
      </w:r>
      <w:proofErr w:type="spellStart"/>
      <w:r w:rsidRPr="004824E5">
        <w:t>scalabilitatea</w:t>
      </w:r>
      <w:proofErr w:type="spellEnd"/>
      <w:r w:rsidRPr="004824E5">
        <w:t xml:space="preserve"> și operațiunile transfrontaliere ale start-</w:t>
      </w:r>
      <w:proofErr w:type="spellStart"/>
      <w:r w:rsidRPr="004824E5">
        <w:t>up</w:t>
      </w:r>
      <w:proofErr w:type="spellEnd"/>
      <w:r w:rsidRPr="004824E5">
        <w:t>-urilor și ale întreprinderilor în faza de extindere, asigurând, în același timp, protecția consumatorilor, confidențialitatea datelor și concurența loială; reamintește angajamentul Comisiei de a reduce birocrația printr-o abordare orizontală, în toate domeniile, și solicită examinarea sistematică a acquis-ului UE pentru a identifica și a elimina obstacolele de reglementare din calea IMM-urilor;</w:t>
      </w:r>
    </w:p>
    <w:p w14:paraId="17A1F019" w14:textId="77777777" w:rsidR="00D76979" w:rsidRPr="004824E5" w:rsidRDefault="00D76979" w:rsidP="00D76979">
      <w:pPr>
        <w:pStyle w:val="NormalHanging12a"/>
      </w:pPr>
      <w:r w:rsidRPr="004824E5">
        <w:t>10.</w:t>
      </w:r>
      <w:r w:rsidRPr="004824E5">
        <w:tab/>
        <w:t xml:space="preserve">subliniază că, în urma adoptării de către Comisie a celui de-al doilea pachet omnibus, trebuie simplificate procesele de implementare a programului </w:t>
      </w:r>
      <w:proofErr w:type="spellStart"/>
      <w:r w:rsidRPr="004824E5">
        <w:t>InvestEU</w:t>
      </w:r>
      <w:proofErr w:type="spellEnd"/>
      <w:r w:rsidRPr="004824E5">
        <w:t xml:space="preserve"> pentru a se asigura că IMM-urile – inclusiv cele mai mici – pot accesa mai ușor sprijinul financiar de care au nevoie pentru a se dezvolta și a inova; subliniază că este important să se garanteze că cadrele de reglementare și instrumentele finanțate de UE sunt proporționale cu dimensiunea și capacitatea administrativă a IMM-urilor și sunt mai degrabă adaptate adecvat decât reproduse după cerințele impuse întreprinderilor mai mari; </w:t>
      </w:r>
    </w:p>
    <w:p w14:paraId="3A84A362" w14:textId="77777777" w:rsidR="00D76979" w:rsidRPr="004824E5" w:rsidRDefault="00D76979" w:rsidP="00D76979">
      <w:pPr>
        <w:pStyle w:val="NormalHanging12a"/>
      </w:pPr>
      <w:r w:rsidRPr="004824E5">
        <w:t>11.</w:t>
      </w:r>
      <w:r w:rsidRPr="004824E5">
        <w:tab/>
        <w:t>observă că numeroasele cerințe de reglementare impuse băncilor pot avea un impact negativ asupra creditării IMM-urilor; subliniază importanța evitării cerințelor de raportare suprapuse și a canalelor multiple de raportare, care impun sarcini administrative inutile, în special băncilor mai mici; invită Comisia să evalueze, cu asistență din partea Autorității Bancare Europene și a mecanismului unic de supraveghere, efectele normelor actuale de reglementare asupra creditării IMM-urilor; subliniază că este necesar să se aplice principiul proporționalității în reglementarea bancară;</w:t>
      </w:r>
    </w:p>
    <w:p w14:paraId="0D7CB834" w14:textId="77777777" w:rsidR="00D76979" w:rsidRPr="004824E5" w:rsidRDefault="00D76979" w:rsidP="00D76979">
      <w:pPr>
        <w:pStyle w:val="NormalHanging12a"/>
      </w:pPr>
      <w:r w:rsidRPr="004824E5">
        <w:t>12.</w:t>
      </w:r>
      <w:r w:rsidRPr="004824E5">
        <w:tab/>
        <w:t>îndeamnă Comisia să evalueze obligațiile juridice în vigoare care grevează întreprinderile, cum ar fi cadrul privind finanțarea durabilă, care nu se potrivește IMM-urilor europene, și alte obligații derivate din Pactul verde european, și să elaboreze praguri de proporționalitate pentru a scuti IMM-urile de obligațiile excesive; salută noua inițiativă de evaluare a competitivității IMM-urilor; invită Comisia să se asigure că orice standarde de raportare privind durabilitatea sunt simple și voluntare și să revizuiască cerințele în materie de publicare a informațiilor bancare din cadrul Pilonului 3, care pot impune indirect clienților IMM-uri cerințe disproporționate privind datele;</w:t>
      </w:r>
    </w:p>
    <w:p w14:paraId="04B34EF4" w14:textId="77777777" w:rsidR="00D76979" w:rsidRPr="004824E5" w:rsidRDefault="00D76979" w:rsidP="00D76979">
      <w:pPr>
        <w:pStyle w:val="NormalHanging12a"/>
      </w:pPr>
      <w:r w:rsidRPr="004824E5">
        <w:t>13.</w:t>
      </w:r>
      <w:r w:rsidRPr="004824E5">
        <w:tab/>
        <w:t>subliniază că abordarea bazată pe principiul numărului constant, care, în practică, nu este suficient pusă în aplicare, nu este suficientă și invită Comisia să propună o strategie de simplificare mai ambițioasă, care să ofere securitate juridică și previzibilitate și care să revizuiască, de asemenea, legislația de nivel 2 și 3; subliniază că obiectivul Comisiei de reducere cu 35 % a obligațiilor de raportare trebuie să fie măsurabil, iar rezultatele trebuie să poată fi urmărite, cu un calendar clar, indicatori-cheie de performanță și o metodologie de urmărire adecvată scopului;</w:t>
      </w:r>
    </w:p>
    <w:p w14:paraId="6DE8929F" w14:textId="77777777" w:rsidR="00D76979" w:rsidRPr="004824E5" w:rsidRDefault="00D76979" w:rsidP="00D76979">
      <w:pPr>
        <w:pStyle w:val="Normal12a24b"/>
      </w:pPr>
      <w:r w:rsidRPr="004824E5">
        <w:rPr>
          <w:rStyle w:val="BoldItalic"/>
        </w:rPr>
        <w:t>Deblocarea capitalului privat și a economiilor</w:t>
      </w:r>
    </w:p>
    <w:p w14:paraId="0E4DCF82" w14:textId="77777777" w:rsidR="00D76979" w:rsidRPr="004824E5" w:rsidRDefault="00D76979" w:rsidP="00D76979">
      <w:pPr>
        <w:pStyle w:val="NormalHanging12a"/>
      </w:pPr>
      <w:r w:rsidRPr="004824E5">
        <w:t>14.</w:t>
      </w:r>
      <w:r w:rsidRPr="004824E5">
        <w:tab/>
        <w:t>ia act de intenția Comisiei privind o uniune a economiilor și a investițiilor, nu doar prin acțiuni la nivelul UE, ci și prin dezvoltarea de instrumente, soluții și bune practici care să respecte și să sprijine acțiunile statelor membre la nivel național și să promoveze coerența transfrontalieră și reducerea treptată a divergențelor critice;</w:t>
      </w:r>
    </w:p>
    <w:p w14:paraId="5A1E5783" w14:textId="77777777" w:rsidR="00D76979" w:rsidRPr="004824E5" w:rsidRDefault="00D76979" w:rsidP="00D76979">
      <w:pPr>
        <w:pStyle w:val="NormalHanging12a"/>
      </w:pPr>
      <w:r w:rsidRPr="004824E5">
        <w:lastRenderedPageBreak/>
        <w:t>15.</w:t>
      </w:r>
      <w:r w:rsidRPr="004824E5">
        <w:tab/>
        <w:t>invită Comisia să îmbunătățească accesul investitorilor la informații și protecție, valorificând în același timp potențialul produselor cu amănuntul simplificate pentru a contribui la canalizarea economiilor gospodăriilor către piețele de capital și reamintește rolul important pe care îl joacă fondurile de pensii și societățile de asigurări ca facilitatori ai acestei canalizări; remarcă lansarea etichetei „</w:t>
      </w:r>
      <w:proofErr w:type="spellStart"/>
      <w:r w:rsidRPr="004824E5">
        <w:t>Finance</w:t>
      </w:r>
      <w:proofErr w:type="spellEnd"/>
      <w:r w:rsidRPr="004824E5">
        <w:t xml:space="preserve"> Europe”, ceea ce ar trebui să permită titularilor de conturi de economii să-și investească economiile în întreprinderile europene și, astfel, să contribuie direct la finanțarea economiei Uniunii; subliniază că această etichetă nu ar trebui să introducă nicio sarcină administrativă suplimentară pentru întreprinderi;</w:t>
      </w:r>
    </w:p>
    <w:p w14:paraId="591019A6" w14:textId="77777777" w:rsidR="00D76979" w:rsidRPr="004824E5" w:rsidRDefault="00D76979" w:rsidP="00D76979">
      <w:pPr>
        <w:pStyle w:val="NormalHanging12a"/>
      </w:pPr>
      <w:r w:rsidRPr="004824E5">
        <w:t>16.</w:t>
      </w:r>
      <w:r w:rsidRPr="004824E5">
        <w:tab/>
        <w:t>regretă că Regulamentul privind fondurile europene cu capital de risc (</w:t>
      </w:r>
      <w:proofErr w:type="spellStart"/>
      <w:r w:rsidRPr="004824E5">
        <w:t>EuVECA</w:t>
      </w:r>
      <w:proofErr w:type="spellEnd"/>
      <w:r w:rsidRPr="004824E5">
        <w:t>)</w:t>
      </w:r>
      <w:r w:rsidRPr="004824E5">
        <w:rPr>
          <w:rStyle w:val="FootnoteReference"/>
        </w:rPr>
        <w:footnoteReference w:id="5"/>
      </w:r>
      <w:r w:rsidRPr="004824E5">
        <w:t xml:space="preserve"> a avut un impact pozitiv redus asupra piețelor locale de capital de risc; salută accentul pus pe capitalul de risc pentru IMM-urile tinere și inovatoare în comunicarea Comisiei privind uniunea economiilor și a investițiilor, dar regretă că propunerea Comisiei privind </w:t>
      </w:r>
      <w:proofErr w:type="spellStart"/>
      <w:r w:rsidRPr="004824E5">
        <w:t>EuVECA</w:t>
      </w:r>
      <w:proofErr w:type="spellEnd"/>
      <w:r w:rsidRPr="004824E5">
        <w:t xml:space="preserve"> a fost amânată până în trimestrul 3 din 2026; invită Comisia să ia în considerare eliminarea pragului minim de investiții de 100 000 EUR pentru a permite titularilor privați de conturi de economii să investească în fonduri alternative; îndeamnă Comisia să încurajeze statele membre să ofere cadre fiscale și de reglementare atractive și stabile pentru fondurile cu capital de risc care investesc în IMM-uri;</w:t>
      </w:r>
    </w:p>
    <w:p w14:paraId="59B4E612" w14:textId="77777777" w:rsidR="00D76979" w:rsidRPr="004824E5" w:rsidRDefault="00D76979" w:rsidP="00D76979">
      <w:pPr>
        <w:pStyle w:val="NormalHanging12a"/>
      </w:pPr>
      <w:r w:rsidRPr="004824E5">
        <w:t>17.</w:t>
      </w:r>
      <w:r w:rsidRPr="004824E5">
        <w:tab/>
        <w:t xml:space="preserve">subliniază cu fermitate necesitatea de a îmbunătăți cunoștințele financiare ale cetățenilor și antreprenorilor din UE și de a promova condiții mai bune de economisire și de investiții care să permită trecerea de la economii la investiții în cunoștință de cauză și în mod independent; invită Comisia să includă </w:t>
      </w:r>
      <w:proofErr w:type="spellStart"/>
      <w:r w:rsidRPr="004824E5">
        <w:t>antreprenoriatul</w:t>
      </w:r>
      <w:proofErr w:type="spellEnd"/>
      <w:r w:rsidRPr="004824E5">
        <w:t xml:space="preserve"> în viitoarea strategie de alfabetizare financiară și într-un set de instrumente pentru ca statele membre să-și îmbunătățească coordonarea în acest sens;</w:t>
      </w:r>
    </w:p>
    <w:p w14:paraId="0BEB288B" w14:textId="77777777" w:rsidR="00D76979" w:rsidRPr="004824E5" w:rsidRDefault="00D76979" w:rsidP="00D76979">
      <w:pPr>
        <w:pStyle w:val="NormalHanging12a"/>
      </w:pPr>
      <w:r w:rsidRPr="004824E5">
        <w:t>18.</w:t>
      </w:r>
      <w:r w:rsidRPr="004824E5">
        <w:tab/>
        <w:t xml:space="preserve">solicită ca finanțarea publică să nu fie utilizată sub formă de subvenții, ci mai degrabă ca un catalizator pentru mobilizarea investițiilor private și pentru a pune la dispoziția micro-întreprinderilor și IMM-urilor mai multe fonduri private; </w:t>
      </w:r>
      <w:bookmarkStart w:id="8" w:name="_Hlk210313322"/>
      <w:r w:rsidRPr="004824E5">
        <w:t>reamintește că cea mai mare parte a acestor investiții trebuie să fie private și subliniază că acest lucru trebuie stimulat de cadre fiscale și de reglementare atractive și stabile, care să fie atractive atât pentru investitorii profesionali, cât și pentru investitorii individuali; reamintește tendința structurală actuală față de împrumuturi și consideră că este necesar să se inițieze o dezbatere privind necesitatea unor stimulente fiscale pentru capitalurile proprii, precum și să se încurajeze capitalul de risc ca parte a modelului de afaceri al băncilor tradiționale, fără a compromite stabilitatea financiară</w:t>
      </w:r>
      <w:bookmarkEnd w:id="8"/>
      <w:r w:rsidRPr="004824E5">
        <w:t>;</w:t>
      </w:r>
    </w:p>
    <w:p w14:paraId="577F1477" w14:textId="77777777" w:rsidR="00D76979" w:rsidRPr="004824E5" w:rsidRDefault="00D76979" w:rsidP="00D76979">
      <w:pPr>
        <w:pStyle w:val="NormalHanging12a"/>
      </w:pPr>
      <w:r w:rsidRPr="004824E5">
        <w:t>19.</w:t>
      </w:r>
      <w:r w:rsidRPr="004824E5">
        <w:tab/>
        <w:t>subliniază că sectorul public poate juca un rol esențial în mobilizarea capitalului privat, în special în sectoarele sau regiunile asimetrice informaționale cu piețe financiare subdezvoltate; solicită ca instrumentele publice să fie concepute eficient, pe baza neutralității concurențiale și cu accentul pe impact, maximizând efectul de atragere a investițiilor private; subliniază, în acest scop, că potențialul Grupului Băncii Europene de Investiții (BEI) trebuie mobilizat pe deplin pentru a atrage investiții private și trebuie să aloce mai multe resurse proiectelor de inovare ale IMM-urilor, ale start-</w:t>
      </w:r>
      <w:proofErr w:type="spellStart"/>
      <w:r w:rsidRPr="004824E5">
        <w:t>up</w:t>
      </w:r>
      <w:proofErr w:type="spellEnd"/>
      <w:r w:rsidRPr="004824E5">
        <w:t xml:space="preserve">-urilor și ale întreprinderilor în faza de extindere; subliniază, de asemenea, rolul Fondului de dezvoltare regională, în special în regiunile cu o disponibilitate limitată a creditelor și </w:t>
      </w:r>
      <w:r w:rsidRPr="004824E5">
        <w:lastRenderedPageBreak/>
        <w:t>având în vedere faptul că costul împrumuturilor variază în UE, ceea ce dezavantajează IMM-urile din unele state membre;</w:t>
      </w:r>
    </w:p>
    <w:p w14:paraId="41410D5F" w14:textId="77777777" w:rsidR="00D76979" w:rsidRPr="004824E5" w:rsidRDefault="00D76979" w:rsidP="00D76979">
      <w:pPr>
        <w:pStyle w:val="NormalHanging12a"/>
      </w:pPr>
      <w:r w:rsidRPr="004824E5">
        <w:t>20.</w:t>
      </w:r>
      <w:r w:rsidRPr="004824E5">
        <w:tab/>
        <w:t>ia act de publicarea revizuirii cadrului privind securitizarea și invită Comisia să-l facă mai flexibil, astfel încât să permită instituțiilor de credit să ofere finanțare suplimentară întreprinderilor, inclusiv IMM-urilor, și să sprijine creșterea acestora fără a eroda transparența și calitatea creditului; subliniază, în acest sens, că soliditatea cadrului semnificativ de transfer al riscurilor trebuie consolidată prin introducerea unei sensibilități mai mari la risc și prin îmbunătățirea supravegherii prudențiale, contribuind astfel la simplificare;</w:t>
      </w:r>
    </w:p>
    <w:p w14:paraId="77AABDD0" w14:textId="77777777" w:rsidR="00D76979" w:rsidRPr="004824E5" w:rsidRDefault="00D76979" w:rsidP="00D76979">
      <w:pPr>
        <w:pStyle w:val="NormalHanging12a"/>
      </w:pPr>
      <w:r w:rsidRPr="004824E5">
        <w:t>21.</w:t>
      </w:r>
      <w:r w:rsidRPr="004824E5">
        <w:tab/>
        <w:t>recunoaște obiectivul Comisiei de elaborare a unui plan de acțiune pentru instituirea unui cont de economii pentru investiții al UE, care ar trebui să includă (i) o procedură simplificată de declarație fiscală, (ii) stimulente fiscale aferente și (iii) absența restricțiilor privind geografia investițiilor, sectorul, limitele depozitelor sau perioadele minime de deținere;</w:t>
      </w:r>
    </w:p>
    <w:p w14:paraId="6C40DFA1" w14:textId="77777777" w:rsidR="00D76979" w:rsidRPr="004824E5" w:rsidRDefault="00D76979" w:rsidP="00D76979">
      <w:pPr>
        <w:pStyle w:val="NormalHanging12a"/>
      </w:pPr>
      <w:r w:rsidRPr="004824E5">
        <w:t>22.</w:t>
      </w:r>
      <w:r w:rsidRPr="004824E5">
        <w:tab/>
        <w:t>recunoaște rolul central pe care îl joacă sectorul privat în creșterea economică și prosperitatea UE; subliniază că orice progres către integrarea piețelor de capital trebuie să se bazeze pe principiile libertății economice, concurenței și securității juridice;</w:t>
      </w:r>
    </w:p>
    <w:p w14:paraId="0FD00220" w14:textId="77777777" w:rsidR="00D76979" w:rsidRPr="004824E5" w:rsidRDefault="00D76979" w:rsidP="00D76979">
      <w:pPr>
        <w:pStyle w:val="NormalHanging12a"/>
      </w:pPr>
      <w:r w:rsidRPr="004824E5">
        <w:t>23.</w:t>
      </w:r>
      <w:r w:rsidRPr="004824E5">
        <w:tab/>
        <w:t>subliniază că o piață europeană pentru tranzacții secundare directe, care ar permite tranzacționarea acțiunilor start-</w:t>
      </w:r>
      <w:proofErr w:type="spellStart"/>
      <w:r w:rsidRPr="004824E5">
        <w:t>up</w:t>
      </w:r>
      <w:proofErr w:type="spellEnd"/>
      <w:r w:rsidRPr="004824E5">
        <w:t>-urilor aflate în stadiu avansat și pre-OPI (ofertă publică inițială), ar consolida ecosistemul de finanțare al Uniunii atât timp cât asigură condiții de concurență echitabile între statele membre, previne concentrarea activității financiare în doar câteva jurisdicții și respectă pe deplin competențele naționale;</w:t>
      </w:r>
    </w:p>
    <w:p w14:paraId="39EE48FC" w14:textId="77777777" w:rsidR="00D76979" w:rsidRPr="004824E5" w:rsidRDefault="00D76979" w:rsidP="00D76979">
      <w:pPr>
        <w:pStyle w:val="NormalHanging12a"/>
      </w:pPr>
      <w:r w:rsidRPr="004824E5">
        <w:t>24.</w:t>
      </w:r>
      <w:r w:rsidRPr="004824E5">
        <w:tab/>
        <w:t>constată că reformarea Directivei privind piețele instrumentelor financiare</w:t>
      </w:r>
      <w:r w:rsidRPr="004824E5">
        <w:rPr>
          <w:rStyle w:val="FootnoteReference"/>
        </w:rPr>
        <w:footnoteReference w:id="6"/>
      </w:r>
      <w:r w:rsidRPr="004824E5">
        <w:t xml:space="preserve"> (</w:t>
      </w:r>
      <w:proofErr w:type="spellStart"/>
      <w:r w:rsidRPr="004824E5">
        <w:t>MiFID</w:t>
      </w:r>
      <w:proofErr w:type="spellEnd"/>
      <w:r w:rsidRPr="004824E5">
        <w:t xml:space="preserve"> II) prevede o categorie specifică privind piețele de creștere pentru IMM-uri, care ar trebui să răspundă nevoilor specifice ale întreprinderilor mai mici; solicită Comisiei să dezvolte în continuare acest instrument prin asigurarea unui regim de reglementare mai flexibil, care să corespundă nevoilor întreprinderilor mici și cu capitalizare medie;</w:t>
      </w:r>
    </w:p>
    <w:p w14:paraId="0572D0B4" w14:textId="77777777" w:rsidR="00D76979" w:rsidRPr="004824E5" w:rsidRDefault="00D76979" w:rsidP="00D76979">
      <w:pPr>
        <w:pStyle w:val="Normal12a24b"/>
      </w:pPr>
      <w:r w:rsidRPr="004824E5">
        <w:rPr>
          <w:rStyle w:val="BoldItalic"/>
        </w:rPr>
        <w:t>Reducerea deficitului de finanțare pentru întreprinderile în faza de extindere</w:t>
      </w:r>
    </w:p>
    <w:p w14:paraId="20BD451C" w14:textId="77777777" w:rsidR="00D76979" w:rsidRPr="004824E5" w:rsidRDefault="00D76979" w:rsidP="00D76979">
      <w:pPr>
        <w:pStyle w:val="NormalHanging12a"/>
      </w:pPr>
      <w:r w:rsidRPr="004824E5">
        <w:t>25.</w:t>
      </w:r>
      <w:r w:rsidRPr="004824E5">
        <w:tab/>
        <w:t xml:space="preserve">regretă că, ca urmare a lipsei de opțiuni atractive de finanțare a întreprinderilor în faza de extindere și a unui mediu competitiv de reglementare, multe întreprinderi europene ajung să recurgă la capital de risc provenit din țări din afara UE și să se stabilească pe piețe terțe pentru a-și extinde activitatea; își exprimă îngrijorarea cu privire la numărul </w:t>
      </w:r>
      <w:r w:rsidRPr="004824E5">
        <w:lastRenderedPageBreak/>
        <w:t>tot mai mare de falimente ale IMM-urilor în UE</w:t>
      </w:r>
      <w:r w:rsidRPr="004824E5">
        <w:rPr>
          <w:rStyle w:val="FootnoteReference"/>
        </w:rPr>
        <w:footnoteReference w:id="7"/>
      </w:r>
      <w:r w:rsidRPr="004824E5">
        <w:t>; consideră că este prioritar să se abordeze cauzele subiacente, cum ar fi lipsa capitalului pe termen lung, presiunea fiscală în timpul reducerii și sarcinile administrative disproporționate;</w:t>
      </w:r>
    </w:p>
    <w:p w14:paraId="18111419" w14:textId="77777777" w:rsidR="00D76979" w:rsidRPr="004824E5" w:rsidRDefault="00D76979" w:rsidP="00D76979">
      <w:pPr>
        <w:pStyle w:val="NormalHanging12a"/>
      </w:pPr>
      <w:r w:rsidRPr="004824E5">
        <w:t>26.</w:t>
      </w:r>
      <w:r w:rsidRPr="004824E5">
        <w:tab/>
        <w:t>înțelege că mobilizarea investitorilor instituționali europeni, în special a societăților de asigurări, a băncilor și a fondurilor de pensii, este esențială pentru reducerea dificultăților cu care se confruntă întreprinderile în faza de extindere; constată că este necesară o creștere a cotei fondurilor cu capital de risc în Europa pentru a oferi mai multe fonduri întreprinderilor în faza de extindere, pentru care este nevoie de un cadru mai favorabil pentru finanțarea cu capital de risc și de investiții străine directe sigure în UE; invită Comisia să încurajeze statele membre cu sisteme de pensii insuficient dezvoltate să creeze sectoare de pensii suplimentare (pilonul 2), care ar putea contribui la consolidarea piețelor de capital de risc și să creeze un mediu de reglementare care să promoveze investițiile de capital ale investitorilor instituționali; reamintește angajamentul Comisiei de a lucra la măsuri de absorbție a riscurilor pentru a atrage finanțare privată din partea băncilor comerciale, a investitorilor și a capitalului de risc;</w:t>
      </w:r>
    </w:p>
    <w:p w14:paraId="623CBD26" w14:textId="77777777" w:rsidR="00D76979" w:rsidRPr="004824E5" w:rsidRDefault="00D76979" w:rsidP="00D76979">
      <w:pPr>
        <w:pStyle w:val="NormalHanging12a"/>
      </w:pPr>
      <w:r w:rsidRPr="004824E5">
        <w:t>27.</w:t>
      </w:r>
      <w:r w:rsidRPr="004824E5">
        <w:tab/>
        <w:t xml:space="preserve">încurajează Comisia să consolideze platformele de </w:t>
      </w:r>
      <w:proofErr w:type="spellStart"/>
      <w:r w:rsidRPr="004824E5">
        <w:t>coinvestiții</w:t>
      </w:r>
      <w:proofErr w:type="spellEnd"/>
      <w:r w:rsidRPr="004824E5">
        <w:t>, inclusiv vehiculele ancorate la nivel regional și rețelele de investitori providențiali, pentru a atrage capital privat și a elimina deficitele persistente de finanțare în faza incipientă pentru IMM-urile cu creștere puternică, bazate pe inovare; solicită ca viitoarea inițiativă europeană privind campionii tehnici 2.0 să fie capitalizată adecvat și să se prevadă scheme de finanțare specifice din partea UE care să sprijine strângerea de fonduri și cotarea la bursă a start-</w:t>
      </w:r>
      <w:proofErr w:type="spellStart"/>
      <w:r w:rsidRPr="004824E5">
        <w:t>up</w:t>
      </w:r>
      <w:proofErr w:type="spellEnd"/>
      <w:r w:rsidRPr="004824E5">
        <w:t xml:space="preserve">-urilor și a întreprinderilor tehnologice în faza de extindere; subliniază mandatul Grupului BEI de a sprijini IMM-urile, îndemnându-l să adopte un cadru mai flexibil de evaluare a riscurilor și să se asigure că noua platformă </w:t>
      </w:r>
      <w:proofErr w:type="spellStart"/>
      <w:r w:rsidRPr="004824E5">
        <w:t>TechEU</w:t>
      </w:r>
      <w:proofErr w:type="spellEnd"/>
      <w:r w:rsidRPr="004824E5">
        <w:t xml:space="preserve"> este accesibilă pe scară largă în toate statele membre prin proceduri simplificate; este de acord cu comunicarea Uniunii referitoare la economiile și investițiile în ceea ce privește importanța finanțelor publice la nivelul UE și, prin urmare, pledează pentru o reorientare a fondurilor UE către programe mai puține și mai flexibile, care să poată transfera resursele între priorități în timp;</w:t>
      </w:r>
    </w:p>
    <w:p w14:paraId="4F31523D" w14:textId="77777777" w:rsidR="00D76979" w:rsidRPr="004824E5" w:rsidRDefault="00D76979" w:rsidP="00D76979">
      <w:pPr>
        <w:pStyle w:val="NormalHanging12a"/>
      </w:pPr>
      <w:r w:rsidRPr="004824E5">
        <w:t>28.</w:t>
      </w:r>
      <w:r w:rsidRPr="004824E5">
        <w:tab/>
        <w:t>subliniază importanța creării unor condiții favorabile pentru ca cetățenii să-și canalizeze economiile către instrumente de investiții productive care pot aduce beneficii IMM-urilor și întreprinderilor în faza de extindere; încurajează Comisia să elimine factorii de descurajare legați de reglementare pentru produsele de investiții individuale și să se asigure că investitorii individuali sunt protejați corespunzător atunci când iau decizii privind investițiile; recunoaște că finanțarea participativă și tehnologiile precum contractele inteligente și finanțarea descentralizată pot extinde accesul IMM-urilor la finanțare directă și îndeamnă Comisia să-și revizuiască cadrul de reglementare printr-o abordare bazată pe inovare și riscuri proporționale;</w:t>
      </w:r>
    </w:p>
    <w:p w14:paraId="322CDC88" w14:textId="77777777" w:rsidR="00D76979" w:rsidRPr="004824E5" w:rsidRDefault="00D76979" w:rsidP="00D76979">
      <w:pPr>
        <w:pStyle w:val="NormalHanging12a"/>
      </w:pPr>
      <w:r w:rsidRPr="004824E5">
        <w:lastRenderedPageBreak/>
        <w:t>29.</w:t>
      </w:r>
      <w:r w:rsidRPr="004824E5">
        <w:tab/>
        <w:t>subliniază că un ecosistem de inovare mai integrat, cu rețele de universități, start-</w:t>
      </w:r>
      <w:proofErr w:type="spellStart"/>
      <w:r w:rsidRPr="004824E5">
        <w:t>up</w:t>
      </w:r>
      <w:proofErr w:type="spellEnd"/>
      <w:r w:rsidRPr="004824E5">
        <w:t>-uri, întreprinderi mari și organizații de capital de risc, susținut de accesul la instalațiile de testare și la infrastructura tehnologică, este esențial pentru a ajuta întreprinderile să se extindă; subliniază rolul pozitiv pe care îl pot juca forumurile antreprenorilor, acceleratoarele private și rețelele de mentorat în sprijinirea creșterii start-</w:t>
      </w:r>
      <w:proofErr w:type="spellStart"/>
      <w:r w:rsidRPr="004824E5">
        <w:t>up</w:t>
      </w:r>
      <w:proofErr w:type="spellEnd"/>
      <w:r w:rsidRPr="004824E5">
        <w:t>-urilor și invită Comisia și statele membre să se bazeze pe inițiative precum Rețeaua investitorilor de încredere, care urmărește să mobilizeze capital privat pentru a sprijini ambițiile Europei în materie de inovare;</w:t>
      </w:r>
    </w:p>
    <w:p w14:paraId="7E15163C" w14:textId="77777777" w:rsidR="00D76979" w:rsidRPr="004824E5" w:rsidRDefault="00D76979" w:rsidP="00D76979">
      <w:pPr>
        <w:pStyle w:val="Normal12a24b"/>
      </w:pPr>
      <w:r w:rsidRPr="004824E5">
        <w:rPr>
          <w:rStyle w:val="BoldItalic"/>
        </w:rPr>
        <w:t>Consolidarea unui ecosistem competitiv în UE</w:t>
      </w:r>
    </w:p>
    <w:p w14:paraId="0A02EAEB" w14:textId="77777777" w:rsidR="00D76979" w:rsidRPr="004824E5" w:rsidRDefault="00D76979" w:rsidP="00D76979">
      <w:pPr>
        <w:pStyle w:val="NormalHanging12a"/>
      </w:pPr>
      <w:r w:rsidRPr="004824E5">
        <w:t>30.</w:t>
      </w:r>
      <w:r w:rsidRPr="004824E5">
        <w:tab/>
        <w:t xml:space="preserve">consideră că un ecosistem competitiv în UE trebuie să fie compus atât din piețe naționale puternice, cât și dintr-o piață internă puternică și că o concurență sănătoasă între statele membre, în special în ceea ce privește abordările economice și de reglementare, le stimulează să-și mențină economiile dinamice și atractive, dar reamintește că statele membre nu trebuie să creeze obstacole în calea alocării transfrontaliere eficiente a capitalului sau să stabilească priorități exclusiv pe baza originii geografice a finanțării; </w:t>
      </w:r>
      <w:bookmarkStart w:id="9" w:name="_Hlk210313711"/>
      <w:r w:rsidRPr="004824E5">
        <w:t>solicită ca inițiativele Comisiei să respecte și să se bazeze pe cele mai bune practici care au avut deja succes în statele membre;</w:t>
      </w:r>
    </w:p>
    <w:bookmarkEnd w:id="9"/>
    <w:p w14:paraId="2CFAFB3C" w14:textId="77777777" w:rsidR="00D76979" w:rsidRPr="004824E5" w:rsidRDefault="00D76979" w:rsidP="00D76979">
      <w:pPr>
        <w:pStyle w:val="NormalHanging12a"/>
      </w:pPr>
      <w:r w:rsidRPr="004824E5">
        <w:t>31.</w:t>
      </w:r>
      <w:r w:rsidRPr="004824E5">
        <w:tab/>
        <w:t>îndeamnă Comisia să se concentreze asupra condițiilor favorabile pentru piețe, asupra numitorilor comuni relevanți pentru statele membre și asupra cadrelor voluntare și complementare care vizează reducerea treptată a fragmentării piețelor;</w:t>
      </w:r>
    </w:p>
    <w:p w14:paraId="3384F9AD" w14:textId="77777777" w:rsidR="00D76979" w:rsidRPr="004824E5" w:rsidRDefault="00D76979" w:rsidP="00D76979">
      <w:pPr>
        <w:pStyle w:val="NormalHanging12a"/>
      </w:pPr>
      <w:r w:rsidRPr="004824E5">
        <w:t>32.</w:t>
      </w:r>
      <w:r w:rsidRPr="004824E5">
        <w:tab/>
        <w:t>invită Comisia să clarifice în ce constă cel de-al 28-lea regim juridic și reamintește că, dacă ar fi introdus, acesta ar trebui să fie voluntar, să respecte pe deplin regimurile statelor membre și să fie dezvoltat în strânsă cooperare cu sectorul privat pentru a oferi un cadru simplificat care să atragă investitorii privați către start-</w:t>
      </w:r>
      <w:proofErr w:type="spellStart"/>
      <w:r w:rsidRPr="004824E5">
        <w:t>up</w:t>
      </w:r>
      <w:proofErr w:type="spellEnd"/>
      <w:r w:rsidRPr="004824E5">
        <w:t>-uri, întreprinderile în faza de extindere și IMM-urile europene și să ajute start-</w:t>
      </w:r>
      <w:proofErr w:type="spellStart"/>
      <w:r w:rsidRPr="004824E5">
        <w:t>up</w:t>
      </w:r>
      <w:proofErr w:type="spellEnd"/>
      <w:r w:rsidRPr="004824E5">
        <w:t>-urile europene să devină campioni ai tehnologiei la nivel mondial;</w:t>
      </w:r>
    </w:p>
    <w:p w14:paraId="0F6B2343" w14:textId="77777777" w:rsidR="00D76979" w:rsidRPr="004824E5" w:rsidRDefault="00D76979" w:rsidP="00D76979">
      <w:pPr>
        <w:pStyle w:val="NormalHanging12a"/>
      </w:pPr>
      <w:r w:rsidRPr="004824E5">
        <w:t>33.</w:t>
      </w:r>
      <w:r w:rsidRPr="004824E5">
        <w:tab/>
        <w:t>invită Comisia, cu sprijinul autorităților statelor membre, să elaboreze instrumente simplificate de orientare și ghișee unice pentru IMM-uri și întreprinderile în faza de extindere, pentru a le ajuta să navigheze în diferite sisteme juridice din întreaga UE în chestiuni precum dreptul societăților comerciale, dreptul muncii, legislația în materie de insolvență, legislația fiscală, drepturile de proprietate intelectuală și posibilitățile naționale de finanțare; invită, de asemenea, Comisia să îmbunătățească instrumentele de monitorizare a accesului IMM-urilor la finanțare, inclusiv dezvoltarea unor indicatori și tablouri de bord la nivelul UE care să le poată ajuta să identifice oportunități în toate statele membre fără a crea noi obligații de raportare sau fără a crește sarcinile administrative;</w:t>
      </w:r>
    </w:p>
    <w:p w14:paraId="1C348AC6" w14:textId="77777777" w:rsidR="00D76979" w:rsidRPr="004824E5" w:rsidRDefault="00D76979" w:rsidP="00D76979">
      <w:pPr>
        <w:pStyle w:val="NormalCenter12a"/>
      </w:pPr>
      <w:r w:rsidRPr="004824E5">
        <w:t>°</w:t>
      </w:r>
    </w:p>
    <w:p w14:paraId="26BC81B5" w14:textId="77777777" w:rsidR="00D76979" w:rsidRPr="004824E5" w:rsidRDefault="00D76979" w:rsidP="00D76979">
      <w:pPr>
        <w:pStyle w:val="NormalCenter12a"/>
      </w:pPr>
      <w:r w:rsidRPr="004824E5">
        <w:t>°</w:t>
      </w:r>
      <w:r w:rsidRPr="004824E5">
        <w:tab/>
        <w:t>°</w:t>
      </w:r>
    </w:p>
    <w:p w14:paraId="28C8C3F0" w14:textId="4414AB60" w:rsidR="0096304D" w:rsidRPr="004824E5" w:rsidRDefault="00D76979" w:rsidP="0096304D">
      <w:pPr>
        <w:pStyle w:val="NormalHanging12a"/>
      </w:pPr>
      <w:r w:rsidRPr="004824E5">
        <w:t>34.</w:t>
      </w:r>
      <w:r w:rsidRPr="004824E5">
        <w:tab/>
        <w:t>încredințează Președintei sarcina de a transmite prezenta rezoluție Consiliului și Comisiei.</w:t>
      </w:r>
    </w:p>
    <w:p w14:paraId="7535D846" w14:textId="0487FB37" w:rsidR="00E365E1" w:rsidRPr="004824E5" w:rsidRDefault="00E365E1" w:rsidP="009D788A"/>
    <w:sectPr w:rsidR="00E365E1" w:rsidRPr="004824E5" w:rsidSect="009630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4CD8A" w14:textId="77777777" w:rsidR="009D788A" w:rsidRPr="0096304D" w:rsidRDefault="009D788A">
      <w:r w:rsidRPr="0096304D">
        <w:separator/>
      </w:r>
    </w:p>
  </w:endnote>
  <w:endnote w:type="continuationSeparator" w:id="0">
    <w:p w14:paraId="7F31BEBF" w14:textId="77777777" w:rsidR="009D788A" w:rsidRPr="0096304D" w:rsidRDefault="009D788A">
      <w:r w:rsidRPr="009630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2E3BB" w14:textId="77777777" w:rsidR="00064002" w:rsidRPr="009630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2F79D" w14:textId="77777777" w:rsidR="00064002" w:rsidRPr="009630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B6DCC" w14:textId="77777777" w:rsidR="00064002" w:rsidRPr="009630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4E11C" w14:textId="77777777" w:rsidR="009D788A" w:rsidRPr="0096304D" w:rsidRDefault="009D788A">
      <w:r w:rsidRPr="0096304D">
        <w:separator/>
      </w:r>
    </w:p>
  </w:footnote>
  <w:footnote w:type="continuationSeparator" w:id="0">
    <w:p w14:paraId="2860D492" w14:textId="77777777" w:rsidR="009D788A" w:rsidRPr="0096304D" w:rsidRDefault="009D788A">
      <w:r w:rsidRPr="0096304D">
        <w:continuationSeparator/>
      </w:r>
    </w:p>
  </w:footnote>
  <w:footnote w:id="1">
    <w:p w14:paraId="72DE4371" w14:textId="6F598D46" w:rsidR="00D76979" w:rsidRPr="0096304D" w:rsidRDefault="00D76979" w:rsidP="0096304D">
      <w:pPr>
        <w:pStyle w:val="FootnoteText"/>
        <w:ind w:left="567" w:hanging="567"/>
        <w:rPr>
          <w:sz w:val="24"/>
          <w:lang w:val="ro-RO"/>
        </w:rPr>
      </w:pPr>
      <w:r w:rsidRPr="0096304D">
        <w:rPr>
          <w:sz w:val="24"/>
          <w:vertAlign w:val="superscript"/>
          <w:lang w:val="ro-RO"/>
        </w:rPr>
        <w:footnoteRef/>
      </w:r>
      <w:r w:rsidR="0096304D" w:rsidRPr="0096304D">
        <w:rPr>
          <w:sz w:val="24"/>
          <w:lang w:val="ro-RO"/>
        </w:rPr>
        <w:t xml:space="preserve"> </w:t>
      </w:r>
      <w:r w:rsidR="0096304D" w:rsidRPr="0096304D">
        <w:rPr>
          <w:sz w:val="24"/>
          <w:lang w:val="ro-RO"/>
        </w:rPr>
        <w:tab/>
      </w:r>
      <w:r w:rsidRPr="0096304D">
        <w:rPr>
          <w:sz w:val="24"/>
          <w:lang w:val="ro-RO"/>
        </w:rPr>
        <w:t xml:space="preserve">JO C, C/2024/4182, 2.8.2024, ELI: </w:t>
      </w:r>
      <w:hyperlink r:id="rId1" w:history="1">
        <w:r w:rsidRPr="0096304D">
          <w:rPr>
            <w:rStyle w:val="Hyperlink"/>
            <w:sz w:val="24"/>
            <w:lang w:val="ro-RO"/>
          </w:rPr>
          <w:t>http://data.europa.eu/eli/C/2024/4182/oj</w:t>
        </w:r>
      </w:hyperlink>
      <w:r w:rsidRPr="0096304D">
        <w:rPr>
          <w:sz w:val="24"/>
          <w:lang w:val="ro-RO"/>
        </w:rPr>
        <w:t>.</w:t>
      </w:r>
    </w:p>
  </w:footnote>
  <w:footnote w:id="2">
    <w:p w14:paraId="53CE2A14" w14:textId="2C4DFA7B" w:rsidR="00D76979" w:rsidRPr="0096304D" w:rsidRDefault="00D76979" w:rsidP="0096304D">
      <w:pPr>
        <w:pStyle w:val="FootnoteText"/>
        <w:ind w:left="567" w:hanging="567"/>
        <w:rPr>
          <w:sz w:val="24"/>
          <w:lang w:val="ro-RO"/>
        </w:rPr>
      </w:pPr>
      <w:r w:rsidRPr="0096304D">
        <w:rPr>
          <w:rStyle w:val="FootnoteReference"/>
          <w:sz w:val="24"/>
          <w:lang w:val="ro-RO"/>
        </w:rPr>
        <w:footnoteRef/>
      </w:r>
      <w:r w:rsidR="0096304D" w:rsidRPr="0096304D">
        <w:rPr>
          <w:sz w:val="24"/>
          <w:lang w:val="ro-RO"/>
        </w:rPr>
        <w:t xml:space="preserve"> </w:t>
      </w:r>
      <w:r w:rsidR="0096304D" w:rsidRPr="0096304D">
        <w:rPr>
          <w:sz w:val="24"/>
          <w:lang w:val="ro-RO"/>
        </w:rPr>
        <w:tab/>
      </w:r>
      <w:proofErr w:type="spellStart"/>
      <w:r w:rsidRPr="0096304D">
        <w:rPr>
          <w:sz w:val="24"/>
          <w:lang w:val="ro-RO"/>
        </w:rPr>
        <w:t>Katsinis</w:t>
      </w:r>
      <w:proofErr w:type="spellEnd"/>
      <w:r w:rsidRPr="0096304D">
        <w:rPr>
          <w:sz w:val="24"/>
          <w:lang w:val="ro-RO"/>
        </w:rPr>
        <w:t xml:space="preserve">, A., </w:t>
      </w:r>
      <w:proofErr w:type="spellStart"/>
      <w:r w:rsidRPr="0096304D">
        <w:rPr>
          <w:sz w:val="24"/>
          <w:lang w:val="ro-RO"/>
        </w:rPr>
        <w:t>Lagüera-González</w:t>
      </w:r>
      <w:proofErr w:type="spellEnd"/>
      <w:r w:rsidRPr="0096304D">
        <w:rPr>
          <w:sz w:val="24"/>
          <w:lang w:val="ro-RO"/>
        </w:rPr>
        <w:t xml:space="preserve">, J., Di Bella, L., </w:t>
      </w:r>
      <w:proofErr w:type="spellStart"/>
      <w:r w:rsidRPr="0096304D">
        <w:rPr>
          <w:sz w:val="24"/>
          <w:lang w:val="ro-RO"/>
        </w:rPr>
        <w:t>Odenthal</w:t>
      </w:r>
      <w:proofErr w:type="spellEnd"/>
      <w:r w:rsidRPr="0096304D">
        <w:rPr>
          <w:sz w:val="24"/>
          <w:lang w:val="ro-RO"/>
        </w:rPr>
        <w:t xml:space="preserve">, L., </w:t>
      </w:r>
      <w:proofErr w:type="spellStart"/>
      <w:r w:rsidRPr="0096304D">
        <w:rPr>
          <w:sz w:val="24"/>
          <w:lang w:val="ro-RO"/>
        </w:rPr>
        <w:t>Hell</w:t>
      </w:r>
      <w:proofErr w:type="spellEnd"/>
      <w:r w:rsidRPr="0096304D">
        <w:rPr>
          <w:sz w:val="24"/>
          <w:lang w:val="ro-RO"/>
        </w:rPr>
        <w:t xml:space="preserve">, M., </w:t>
      </w:r>
      <w:proofErr w:type="spellStart"/>
      <w:r w:rsidRPr="0096304D">
        <w:rPr>
          <w:sz w:val="24"/>
          <w:lang w:val="ro-RO"/>
        </w:rPr>
        <w:t>Lozar</w:t>
      </w:r>
      <w:proofErr w:type="spellEnd"/>
      <w:r w:rsidRPr="0096304D">
        <w:rPr>
          <w:sz w:val="24"/>
          <w:lang w:val="ro-RO"/>
        </w:rPr>
        <w:t>, B., „</w:t>
      </w:r>
      <w:proofErr w:type="spellStart"/>
      <w:r w:rsidRPr="0096304D">
        <w:rPr>
          <w:sz w:val="24"/>
          <w:lang w:val="ro-RO"/>
        </w:rPr>
        <w:t>Annual</w:t>
      </w:r>
      <w:proofErr w:type="spellEnd"/>
      <w:r w:rsidRPr="0096304D">
        <w:rPr>
          <w:sz w:val="24"/>
          <w:lang w:val="ro-RO"/>
        </w:rPr>
        <w:t xml:space="preserve"> Report on European </w:t>
      </w:r>
      <w:proofErr w:type="spellStart"/>
      <w:r w:rsidRPr="0096304D">
        <w:rPr>
          <w:sz w:val="24"/>
          <w:lang w:val="ro-RO"/>
        </w:rPr>
        <w:t>SMEs</w:t>
      </w:r>
      <w:proofErr w:type="spellEnd"/>
      <w:r w:rsidRPr="0096304D">
        <w:rPr>
          <w:sz w:val="24"/>
          <w:lang w:val="ro-RO"/>
        </w:rPr>
        <w:t xml:space="preserve"> 2023/2024” (Raport anual privind IMM-urile europene 2023/2024), Oficiul pentru Publicații al Uniunii Europene, 2024, </w:t>
      </w:r>
      <w:hyperlink r:id="rId2" w:history="1">
        <w:r w:rsidRPr="0096304D">
          <w:rPr>
            <w:rStyle w:val="Hyperlink"/>
            <w:sz w:val="24"/>
            <w:lang w:val="ro-RO"/>
          </w:rPr>
          <w:t>https://single-market-economy.ec.europa.eu/document/download/2bef0eda-2f75-497d-982e-c0d1cea57c0e_en?filename=Annual%20Report%20on%20European%20SMEs%202024.pdf</w:t>
        </w:r>
      </w:hyperlink>
      <w:r w:rsidRPr="0096304D">
        <w:rPr>
          <w:sz w:val="24"/>
          <w:lang w:val="ro-RO"/>
        </w:rPr>
        <w:t>.</w:t>
      </w:r>
    </w:p>
  </w:footnote>
  <w:footnote w:id="3">
    <w:p w14:paraId="27312DFD" w14:textId="777B6092" w:rsidR="00D76979" w:rsidRPr="0096304D" w:rsidRDefault="00D76979" w:rsidP="0096304D">
      <w:pPr>
        <w:ind w:left="567" w:hanging="567"/>
      </w:pPr>
      <w:r w:rsidRPr="0096304D">
        <w:rPr>
          <w:rStyle w:val="FootnoteReference"/>
        </w:rPr>
        <w:footnoteRef/>
      </w:r>
      <w:r w:rsidR="0096304D" w:rsidRPr="0096304D">
        <w:t xml:space="preserve"> </w:t>
      </w:r>
      <w:r w:rsidR="0096304D" w:rsidRPr="0096304D">
        <w:tab/>
      </w:r>
      <w:proofErr w:type="spellStart"/>
      <w:r w:rsidRPr="0096304D">
        <w:t>Draghi</w:t>
      </w:r>
      <w:proofErr w:type="spellEnd"/>
      <w:r w:rsidRPr="0096304D">
        <w:t xml:space="preserve">, Mario, „The </w:t>
      </w:r>
      <w:proofErr w:type="spellStart"/>
      <w:r w:rsidRPr="0096304D">
        <w:t>Future</w:t>
      </w:r>
      <w:proofErr w:type="spellEnd"/>
      <w:r w:rsidRPr="0096304D">
        <w:t xml:space="preserve"> of European </w:t>
      </w:r>
      <w:proofErr w:type="spellStart"/>
      <w:r w:rsidRPr="0096304D">
        <w:t>Competitiveness</w:t>
      </w:r>
      <w:proofErr w:type="spellEnd"/>
      <w:r w:rsidRPr="0096304D">
        <w:t xml:space="preserve"> – A </w:t>
      </w:r>
      <w:proofErr w:type="spellStart"/>
      <w:r w:rsidRPr="0096304D">
        <w:t>Competitiveness</w:t>
      </w:r>
      <w:proofErr w:type="spellEnd"/>
      <w:r w:rsidRPr="0096304D">
        <w:t xml:space="preserve"> </w:t>
      </w:r>
      <w:proofErr w:type="spellStart"/>
      <w:r w:rsidRPr="0096304D">
        <w:t>Strategy</w:t>
      </w:r>
      <w:proofErr w:type="spellEnd"/>
      <w:r w:rsidRPr="0096304D">
        <w:t xml:space="preserve"> for Europe” (Viitorul competitivității europene – O strategie de competitivitate pentru Europa), 2024.</w:t>
      </w:r>
      <w:hyperlink r:id="rId3" w:history="1">
        <w:r w:rsidRPr="0096304D">
          <w:rPr>
            <w:rStyle w:val="Hyperlink"/>
          </w:rPr>
          <w:t>https://commission.europa.eu/document/97e481fd-2dc3-412d-be4c-f152a8232961_en</w:t>
        </w:r>
      </w:hyperlink>
      <w:r w:rsidRPr="0096304D">
        <w:t>.</w:t>
      </w:r>
    </w:p>
  </w:footnote>
  <w:footnote w:id="4">
    <w:p w14:paraId="24BE0BE4" w14:textId="266E014F" w:rsidR="00D76979" w:rsidRPr="0096304D" w:rsidRDefault="00D76979" w:rsidP="0096304D">
      <w:pPr>
        <w:pStyle w:val="FootnoteText"/>
        <w:ind w:left="567" w:hanging="567"/>
        <w:rPr>
          <w:sz w:val="24"/>
          <w:lang w:val="ro-RO"/>
        </w:rPr>
      </w:pPr>
      <w:r w:rsidRPr="0096304D">
        <w:rPr>
          <w:rStyle w:val="FootnoteReference"/>
          <w:sz w:val="24"/>
          <w:lang w:val="ro-RO"/>
        </w:rPr>
        <w:footnoteRef/>
      </w:r>
      <w:bookmarkStart w:id="7" w:name="_Hlk210313079"/>
      <w:r w:rsidR="0096304D" w:rsidRPr="0096304D">
        <w:rPr>
          <w:sz w:val="24"/>
          <w:lang w:val="ro-RO"/>
        </w:rPr>
        <w:t xml:space="preserve"> </w:t>
      </w:r>
      <w:r w:rsidR="0096304D" w:rsidRPr="0096304D">
        <w:rPr>
          <w:sz w:val="24"/>
          <w:lang w:val="ro-RO"/>
        </w:rPr>
        <w:tab/>
      </w:r>
      <w:r w:rsidRPr="0096304D">
        <w:rPr>
          <w:sz w:val="24"/>
          <w:lang w:val="ro-RO"/>
        </w:rPr>
        <w:t xml:space="preserve">Actul legislativ privind cotarea la bursă este compus din Regulamentul (UE) 2024/2809 al Parlamentului European și al Consiliului din 23 octombrie 2024 de modificare a Regulamentelor (UE) 2017/1129, (UE) nr. 596/2014 și (UE) nr. 600/2014 pentru a face piețele publice de capital din Uniune mai atractive pentru întreprinderi și pentru a facilita accesul la capital al întreprinderilor mici și mijlocii (JO L, 2024/2809, 14.11.2024, ELI: </w:t>
      </w:r>
      <w:hyperlink r:id="rId4" w:history="1">
        <w:r w:rsidRPr="0096304D">
          <w:rPr>
            <w:rStyle w:val="Hyperlink"/>
            <w:sz w:val="24"/>
            <w:lang w:val="ro-RO"/>
          </w:rPr>
          <w:t>http://data.europa.eu/eli/reg/2024/2809/oj</w:t>
        </w:r>
      </w:hyperlink>
      <w:r w:rsidRPr="0096304D">
        <w:rPr>
          <w:sz w:val="24"/>
          <w:lang w:val="ro-RO"/>
        </w:rPr>
        <w:t xml:space="preserve">, Directiva (UE) 2024/2810 a Parlamentului European și a Consiliului din 23 octombrie 2024 privind structurile de acțiuni cu drepturi de vot multiple din societățile care solicită admiterea acțiunilor lor la tranzacționare în cadrul unui sistem multilateral de tranzacționare (JO L, 2024/2810, 14.11.2024, ELI: </w:t>
      </w:r>
      <w:hyperlink r:id="rId5" w:history="1">
        <w:r w:rsidRPr="0096304D">
          <w:rPr>
            <w:rStyle w:val="Hyperlink"/>
            <w:sz w:val="24"/>
            <w:lang w:val="ro-RO"/>
          </w:rPr>
          <w:t>http://data.europa.eu/eli/dir/2024/2810/oj</w:t>
        </w:r>
      </w:hyperlink>
      <w:r w:rsidRPr="0096304D">
        <w:rPr>
          <w:sz w:val="24"/>
          <w:lang w:val="ro-RO"/>
        </w:rPr>
        <w:t xml:space="preserve">) și Directiva (UE) 2024/2811 a Parlamentului European și a Consiliului din 23 octombrie 2024 de modificare a Directivei 2014/65/UE pentru a face piețele publice de capital din Uniune mai atractive pentru întreprinderi și a facilita accesul la capital al întreprinderilor mici și mijlocii și de abrogare a Directivei 2001/34/CE (JO L, 2024/2811, 14.11.2024, ELI: </w:t>
      </w:r>
      <w:hyperlink r:id="rId6" w:history="1">
        <w:r w:rsidRPr="0096304D">
          <w:rPr>
            <w:rStyle w:val="Hyperlink"/>
            <w:sz w:val="24"/>
            <w:lang w:val="ro-RO"/>
          </w:rPr>
          <w:t>http://data.europa.eu/eli/dir/2024/2811/oj</w:t>
        </w:r>
      </w:hyperlink>
      <w:r w:rsidRPr="0096304D">
        <w:rPr>
          <w:sz w:val="24"/>
          <w:lang w:val="ro-RO"/>
        </w:rPr>
        <w:t>).</w:t>
      </w:r>
      <w:bookmarkEnd w:id="7"/>
    </w:p>
  </w:footnote>
  <w:footnote w:id="5">
    <w:p w14:paraId="29DB0086" w14:textId="3CB776F0" w:rsidR="00D76979" w:rsidRPr="0096304D" w:rsidRDefault="00D76979" w:rsidP="0096304D">
      <w:pPr>
        <w:pStyle w:val="FootnoteText"/>
        <w:ind w:left="567" w:hanging="567"/>
        <w:rPr>
          <w:sz w:val="24"/>
          <w:lang w:val="ro-RO"/>
        </w:rPr>
      </w:pPr>
      <w:r w:rsidRPr="0096304D">
        <w:rPr>
          <w:rStyle w:val="FootnoteReference"/>
          <w:sz w:val="24"/>
          <w:lang w:val="ro-RO"/>
        </w:rPr>
        <w:footnoteRef/>
      </w:r>
      <w:r w:rsidR="0096304D" w:rsidRPr="0096304D">
        <w:rPr>
          <w:sz w:val="24"/>
          <w:lang w:val="ro-RO"/>
        </w:rPr>
        <w:t xml:space="preserve"> </w:t>
      </w:r>
      <w:r w:rsidR="0096304D" w:rsidRPr="0096304D">
        <w:rPr>
          <w:sz w:val="24"/>
          <w:lang w:val="ro-RO"/>
        </w:rPr>
        <w:tab/>
      </w:r>
      <w:r w:rsidRPr="0096304D">
        <w:rPr>
          <w:sz w:val="24"/>
          <w:lang w:val="ro-RO"/>
        </w:rPr>
        <w:t xml:space="preserve">Regulamentul (UE) nr. 345/2013 al Parlamentului European și al Consiliului din 17 aprilie 2013 privind fondurile europene cu capital de risc (JO L 115, 25.4.2013, p. 1, ELI:  </w:t>
      </w:r>
      <w:hyperlink r:id="rId7" w:history="1">
        <w:r w:rsidRPr="0096304D">
          <w:rPr>
            <w:rStyle w:val="Hyperlink"/>
            <w:sz w:val="24"/>
            <w:lang w:val="ro-RO"/>
          </w:rPr>
          <w:t>http://data.europa.eu/eli/reg/2013/345/oj</w:t>
        </w:r>
      </w:hyperlink>
      <w:r w:rsidRPr="0096304D">
        <w:rPr>
          <w:sz w:val="24"/>
          <w:lang w:val="ro-RO"/>
        </w:rPr>
        <w:t>).</w:t>
      </w:r>
    </w:p>
  </w:footnote>
  <w:footnote w:id="6">
    <w:p w14:paraId="51AFCE39" w14:textId="6313500D" w:rsidR="00D76979" w:rsidRPr="0096304D" w:rsidRDefault="00D76979" w:rsidP="0096304D">
      <w:pPr>
        <w:pStyle w:val="FootnoteText"/>
        <w:ind w:left="567" w:hanging="567"/>
        <w:rPr>
          <w:sz w:val="24"/>
          <w:lang w:val="ro-RO"/>
        </w:rPr>
      </w:pPr>
      <w:r w:rsidRPr="0096304D">
        <w:rPr>
          <w:rStyle w:val="FootnoteReference"/>
          <w:sz w:val="24"/>
          <w:lang w:val="ro-RO"/>
        </w:rPr>
        <w:footnoteRef/>
      </w:r>
      <w:r w:rsidR="0096304D" w:rsidRPr="0096304D">
        <w:rPr>
          <w:sz w:val="24"/>
          <w:lang w:val="ro-RO"/>
        </w:rPr>
        <w:t xml:space="preserve"> </w:t>
      </w:r>
      <w:r w:rsidR="0096304D" w:rsidRPr="0096304D">
        <w:rPr>
          <w:sz w:val="24"/>
          <w:lang w:val="ro-RO"/>
        </w:rPr>
        <w:tab/>
      </w:r>
      <w:r w:rsidRPr="0096304D">
        <w:rPr>
          <w:sz w:val="24"/>
          <w:lang w:val="ro-RO"/>
        </w:rPr>
        <w:t xml:space="preserve">Directiva 2014/65/UE a Parlamentului European și a Consiliului din 15 mai 2014 privind piețele instrumentelor financiare și de modificare a Directivei 2002/92/CE și a Directivei 2011/61/UE (JO L 173, 12.6.2014, p. 349, ELI:  </w:t>
      </w:r>
      <w:hyperlink r:id="rId8" w:history="1">
        <w:r w:rsidRPr="0096304D">
          <w:rPr>
            <w:rStyle w:val="Hyperlink"/>
            <w:sz w:val="24"/>
            <w:lang w:val="ro-RO"/>
          </w:rPr>
          <w:t>http://data.europa.eu/eli/dir/2014/65/oj</w:t>
        </w:r>
      </w:hyperlink>
      <w:r w:rsidRPr="0096304D">
        <w:rPr>
          <w:sz w:val="24"/>
          <w:lang w:val="ro-RO"/>
        </w:rPr>
        <w:t>).</w:t>
      </w:r>
    </w:p>
  </w:footnote>
  <w:footnote w:id="7">
    <w:p w14:paraId="60874DBA" w14:textId="5E23F08F" w:rsidR="00D76979" w:rsidRPr="0096304D" w:rsidRDefault="00D76979" w:rsidP="0096304D">
      <w:pPr>
        <w:pStyle w:val="FootnoteText"/>
        <w:ind w:left="567" w:hanging="567"/>
        <w:rPr>
          <w:sz w:val="24"/>
          <w:lang w:val="ro-RO"/>
        </w:rPr>
      </w:pPr>
      <w:r w:rsidRPr="0096304D">
        <w:rPr>
          <w:rStyle w:val="FootnoteReference"/>
          <w:sz w:val="24"/>
          <w:lang w:val="ro-RO"/>
        </w:rPr>
        <w:footnoteRef/>
      </w:r>
      <w:r w:rsidR="0096304D" w:rsidRPr="0096304D">
        <w:rPr>
          <w:sz w:val="24"/>
          <w:lang w:val="ro-RO"/>
        </w:rPr>
        <w:t xml:space="preserve"> </w:t>
      </w:r>
      <w:r w:rsidR="0096304D" w:rsidRPr="0096304D">
        <w:rPr>
          <w:sz w:val="24"/>
          <w:lang w:val="ro-RO"/>
        </w:rPr>
        <w:tab/>
      </w:r>
      <w:proofErr w:type="spellStart"/>
      <w:r w:rsidRPr="0096304D">
        <w:rPr>
          <w:sz w:val="24"/>
          <w:lang w:val="ro-RO"/>
        </w:rPr>
        <w:t>Katsinis</w:t>
      </w:r>
      <w:proofErr w:type="spellEnd"/>
      <w:r w:rsidRPr="0096304D">
        <w:rPr>
          <w:sz w:val="24"/>
          <w:lang w:val="ro-RO"/>
        </w:rPr>
        <w:t xml:space="preserve">, A., </w:t>
      </w:r>
      <w:proofErr w:type="spellStart"/>
      <w:r w:rsidRPr="0096304D">
        <w:rPr>
          <w:sz w:val="24"/>
          <w:lang w:val="ro-RO"/>
        </w:rPr>
        <w:t>Lagüera-González</w:t>
      </w:r>
      <w:proofErr w:type="spellEnd"/>
      <w:r w:rsidRPr="0096304D">
        <w:rPr>
          <w:sz w:val="24"/>
          <w:lang w:val="ro-RO"/>
        </w:rPr>
        <w:t xml:space="preserve">, J., Di Bella, L., </w:t>
      </w:r>
      <w:proofErr w:type="spellStart"/>
      <w:r w:rsidRPr="0096304D">
        <w:rPr>
          <w:sz w:val="24"/>
          <w:lang w:val="ro-RO"/>
        </w:rPr>
        <w:t>Odenthal</w:t>
      </w:r>
      <w:proofErr w:type="spellEnd"/>
      <w:r w:rsidRPr="0096304D">
        <w:rPr>
          <w:sz w:val="24"/>
          <w:lang w:val="ro-RO"/>
        </w:rPr>
        <w:t xml:space="preserve">, L., </w:t>
      </w:r>
      <w:proofErr w:type="spellStart"/>
      <w:r w:rsidRPr="0096304D">
        <w:rPr>
          <w:sz w:val="24"/>
          <w:lang w:val="ro-RO"/>
        </w:rPr>
        <w:t>Hell</w:t>
      </w:r>
      <w:proofErr w:type="spellEnd"/>
      <w:r w:rsidRPr="0096304D">
        <w:rPr>
          <w:sz w:val="24"/>
          <w:lang w:val="ro-RO"/>
        </w:rPr>
        <w:t xml:space="preserve">, M., </w:t>
      </w:r>
      <w:proofErr w:type="spellStart"/>
      <w:r w:rsidRPr="0096304D">
        <w:rPr>
          <w:sz w:val="24"/>
          <w:lang w:val="ro-RO"/>
        </w:rPr>
        <w:t>Lozar</w:t>
      </w:r>
      <w:proofErr w:type="spellEnd"/>
      <w:r w:rsidRPr="0096304D">
        <w:rPr>
          <w:sz w:val="24"/>
          <w:lang w:val="ro-RO"/>
        </w:rPr>
        <w:t>, B., „</w:t>
      </w:r>
      <w:proofErr w:type="spellStart"/>
      <w:r w:rsidRPr="0096304D">
        <w:rPr>
          <w:sz w:val="24"/>
          <w:lang w:val="ro-RO"/>
        </w:rPr>
        <w:t>Annual</w:t>
      </w:r>
      <w:proofErr w:type="spellEnd"/>
      <w:r w:rsidRPr="0096304D">
        <w:rPr>
          <w:sz w:val="24"/>
          <w:lang w:val="ro-RO"/>
        </w:rPr>
        <w:t xml:space="preserve"> Report on European </w:t>
      </w:r>
      <w:proofErr w:type="spellStart"/>
      <w:r w:rsidRPr="0096304D">
        <w:rPr>
          <w:sz w:val="24"/>
          <w:lang w:val="ro-RO"/>
        </w:rPr>
        <w:t>SMEs</w:t>
      </w:r>
      <w:proofErr w:type="spellEnd"/>
      <w:r w:rsidRPr="0096304D">
        <w:rPr>
          <w:sz w:val="24"/>
          <w:lang w:val="ro-RO"/>
        </w:rPr>
        <w:t xml:space="preserve"> 2023/2024” (Raport anual privind IMM-urile europene 2023/2024), Oficiul pentru Publicații al Uniunii Europene, 2024, </w:t>
      </w:r>
      <w:hyperlink r:id="rId9" w:history="1">
        <w:r w:rsidRPr="0096304D">
          <w:rPr>
            <w:rStyle w:val="Hyperlink"/>
            <w:sz w:val="24"/>
            <w:lang w:val="ro-RO"/>
          </w:rPr>
          <w:t>https://single-market-economy.ec.europa.eu/document/download/2bef0eda-2f75-497d-982e-c0d1cea57c0e_en?filename=Annual%20Report%20on%20European%20SMEs%202024.pdf</w:t>
        </w:r>
      </w:hyperlink>
      <w:r w:rsidRPr="0096304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0242" w14:textId="77777777" w:rsidR="00064002" w:rsidRPr="009630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B591" w14:textId="77777777" w:rsidR="00064002" w:rsidRPr="009630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3F61" w14:textId="77777777" w:rsidR="00064002" w:rsidRPr="009630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1016814">
    <w:abstractNumId w:val="9"/>
  </w:num>
  <w:num w:numId="2" w16cid:durableId="99185803">
    <w:abstractNumId w:val="9"/>
  </w:num>
  <w:num w:numId="3" w16cid:durableId="1983802339">
    <w:abstractNumId w:val="7"/>
  </w:num>
  <w:num w:numId="4" w16cid:durableId="983312033">
    <w:abstractNumId w:val="7"/>
  </w:num>
  <w:num w:numId="5" w16cid:durableId="3749386">
    <w:abstractNumId w:val="6"/>
  </w:num>
  <w:num w:numId="6" w16cid:durableId="418216660">
    <w:abstractNumId w:val="6"/>
  </w:num>
  <w:num w:numId="7" w16cid:durableId="581640447">
    <w:abstractNumId w:val="5"/>
  </w:num>
  <w:num w:numId="8" w16cid:durableId="1771898357">
    <w:abstractNumId w:val="5"/>
  </w:num>
  <w:num w:numId="9" w16cid:durableId="812217963">
    <w:abstractNumId w:val="4"/>
  </w:num>
  <w:num w:numId="10" w16cid:durableId="1740401064">
    <w:abstractNumId w:val="4"/>
  </w:num>
  <w:num w:numId="11" w16cid:durableId="1471094920">
    <w:abstractNumId w:val="8"/>
  </w:num>
  <w:num w:numId="12" w16cid:durableId="982543362">
    <w:abstractNumId w:val="8"/>
  </w:num>
  <w:num w:numId="13" w16cid:durableId="780685351">
    <w:abstractNumId w:val="3"/>
  </w:num>
  <w:num w:numId="14" w16cid:durableId="1825510365">
    <w:abstractNumId w:val="3"/>
  </w:num>
  <w:num w:numId="15" w16cid:durableId="1324242686">
    <w:abstractNumId w:val="2"/>
  </w:num>
  <w:num w:numId="16" w16cid:durableId="827474875">
    <w:abstractNumId w:val="2"/>
  </w:num>
  <w:num w:numId="17" w16cid:durableId="1571036577">
    <w:abstractNumId w:val="1"/>
  </w:num>
  <w:num w:numId="18" w16cid:durableId="1290820009">
    <w:abstractNumId w:val="1"/>
  </w:num>
  <w:num w:numId="19" w16cid:durableId="953826995">
    <w:abstractNumId w:val="0"/>
  </w:num>
  <w:num w:numId="20" w16cid:durableId="897591080">
    <w:abstractNumId w:val="0"/>
  </w:num>
  <w:num w:numId="21" w16cid:durableId="1730611802">
    <w:abstractNumId w:val="9"/>
  </w:num>
  <w:num w:numId="22" w16cid:durableId="563368775">
    <w:abstractNumId w:val="7"/>
  </w:num>
  <w:num w:numId="23" w16cid:durableId="292029414">
    <w:abstractNumId w:val="6"/>
  </w:num>
  <w:num w:numId="24" w16cid:durableId="1525244201">
    <w:abstractNumId w:val="5"/>
  </w:num>
  <w:num w:numId="25" w16cid:durableId="898320450">
    <w:abstractNumId w:val="4"/>
  </w:num>
  <w:num w:numId="26" w16cid:durableId="1986087308">
    <w:abstractNumId w:val="8"/>
  </w:num>
  <w:num w:numId="27" w16cid:durableId="1450204976">
    <w:abstractNumId w:val="3"/>
  </w:num>
  <w:num w:numId="28" w16cid:durableId="1497650740">
    <w:abstractNumId w:val="2"/>
  </w:num>
  <w:num w:numId="29" w16cid:durableId="1954970698">
    <w:abstractNumId w:val="1"/>
  </w:num>
  <w:num w:numId="30" w16cid:durableId="887647055">
    <w:abstractNumId w:val="0"/>
  </w:num>
  <w:num w:numId="31" w16cid:durableId="192967017">
    <w:abstractNumId w:val="9"/>
  </w:num>
  <w:num w:numId="32" w16cid:durableId="592858884">
    <w:abstractNumId w:val="7"/>
  </w:num>
  <w:num w:numId="33" w16cid:durableId="911542840">
    <w:abstractNumId w:val="6"/>
  </w:num>
  <w:num w:numId="34" w16cid:durableId="1539976091">
    <w:abstractNumId w:val="5"/>
  </w:num>
  <w:num w:numId="35" w16cid:durableId="627514771">
    <w:abstractNumId w:val="4"/>
  </w:num>
  <w:num w:numId="36" w16cid:durableId="1937209747">
    <w:abstractNumId w:val="8"/>
  </w:num>
  <w:num w:numId="37" w16cid:durableId="31422211">
    <w:abstractNumId w:val="3"/>
  </w:num>
  <w:num w:numId="38" w16cid:durableId="341323124">
    <w:abstractNumId w:val="2"/>
  </w:num>
  <w:num w:numId="39" w16cid:durableId="89204656">
    <w:abstractNumId w:val="1"/>
  </w:num>
  <w:num w:numId="40" w16cid:durableId="1205409589">
    <w:abstractNumId w:val="0"/>
  </w:num>
  <w:num w:numId="41" w16cid:durableId="1176311904">
    <w:abstractNumId w:val="10"/>
  </w:num>
  <w:num w:numId="42" w16cid:durableId="370426865">
    <w:abstractNumId w:val="10"/>
  </w:num>
  <w:num w:numId="43" w16cid:durableId="632248527">
    <w:abstractNumId w:val="10"/>
  </w:num>
  <w:num w:numId="44" w16cid:durableId="6585789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RO"/>
    <w:docVar w:name="dvnumam" w:val="0"/>
    <w:docVar w:name="dvpe" w:val="772.123"/>
    <w:docVar w:name="dvrapporteur" w:val="Raportor: "/>
    <w:docVar w:name="dvtitre" w:val="Rezoluția Parlamentului European din 26 noiembrie 2025 referitoare la accesul la finanțare al IMM-urilor și al întreprinderilor în faza de extindere(2025/2072(INI))"/>
  </w:docVars>
  <w:rsids>
    <w:rsidRoot w:val="009D788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24E5"/>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04D"/>
    <w:rsid w:val="00981893"/>
    <w:rsid w:val="009D788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CCD"/>
    <w:rsid w:val="00CC2357"/>
    <w:rsid w:val="00CF071A"/>
    <w:rsid w:val="00D058B8"/>
    <w:rsid w:val="00D56C11"/>
    <w:rsid w:val="00D7697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8C41B"/>
  <w15:chartTrackingRefBased/>
  <w15:docId w15:val="{508FA56E-4959-4EDE-9C2E-C1DFEB8AB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6979"/>
    <w:pPr>
      <w:spacing w:before="480" w:after="240"/>
    </w:pPr>
    <w:rPr>
      <w:snapToGrid w:val="0"/>
      <w:lang w:eastAsia="en-US"/>
    </w:rPr>
  </w:style>
  <w:style w:type="paragraph" w:customStyle="1" w:styleId="NormalHanging12a">
    <w:name w:val="NormalHanging12a"/>
    <w:basedOn w:val="Normal"/>
    <w:rsid w:val="00D76979"/>
    <w:pPr>
      <w:widowControl/>
      <w:spacing w:after="240"/>
      <w:ind w:left="567" w:hanging="567"/>
    </w:pPr>
    <w:rPr>
      <w:snapToGrid w:val="0"/>
      <w:lang w:eastAsia="en-US"/>
    </w:rPr>
  </w:style>
  <w:style w:type="paragraph" w:customStyle="1" w:styleId="NormalCenter12a">
    <w:name w:val="NormalCenter12a"/>
    <w:basedOn w:val="Normal"/>
    <w:rsid w:val="00D76979"/>
    <w:pPr>
      <w:spacing w:after="240"/>
      <w:jc w:val="center"/>
    </w:pPr>
  </w:style>
  <w:style w:type="character" w:customStyle="1" w:styleId="BoldItalic">
    <w:name w:val="BoldItalic"/>
    <w:uiPriority w:val="1"/>
    <w:rsid w:val="00D76979"/>
    <w:rPr>
      <w:b/>
      <w:i/>
      <w:u w:val="none"/>
    </w:rPr>
  </w:style>
  <w:style w:type="character" w:customStyle="1" w:styleId="Italic">
    <w:name w:val="Italic"/>
    <w:uiPriority w:val="1"/>
    <w:rsid w:val="00D76979"/>
    <w:rPr>
      <w:i/>
    </w:rPr>
  </w:style>
  <w:style w:type="paragraph" w:customStyle="1" w:styleId="Normal12a24b">
    <w:name w:val="Normal12a24b"/>
    <w:basedOn w:val="Normal"/>
    <w:rsid w:val="00D76979"/>
    <w:pPr>
      <w:spacing w:before="360" w:after="240"/>
    </w:pPr>
    <w:rPr>
      <w:snapToGrid w:val="0"/>
      <w:lang w:eastAsia="en-US"/>
    </w:rPr>
  </w:style>
  <w:style w:type="character" w:styleId="Hyperlink">
    <w:name w:val="Hyperlink"/>
    <w:basedOn w:val="DefaultParagraphFont"/>
    <w:rsid w:val="00D769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4072</Words>
  <Characters>24915</Characters>
  <Application>Microsoft Office Word</Application>
  <DocSecurity>0</DocSecurity>
  <Lines>207</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2025-11-26T14:11:00Z</dcterms:created>
  <dcterms:modified xsi:type="dcterms:W3CDTF">2025-11-26T14:11:00Z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A10-0185/2025</vt:lpwstr>
  </property>
  <property fmtid="{D5CDD505-2E9C-101B-9397-08002B2CF9AE}" pid="4" name="&lt;Type&gt;">
    <vt:lpwstr>RR</vt:lpwstr>
  </property>
</Properties>
</file>