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5FB8" w14:paraId="440ACAD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57BFF5" w14:textId="77777777" w:rsidR="00751A4A" w:rsidRPr="00375FB8" w:rsidRDefault="000119E7" w:rsidP="0010095E">
            <w:pPr>
              <w:pStyle w:val="EPName"/>
            </w:pPr>
            <w:r w:rsidRPr="00375FB8">
              <w:t>Európsky parlament</w:t>
            </w:r>
          </w:p>
          <w:p w14:paraId="396C1111" w14:textId="77777777" w:rsidR="00751A4A" w:rsidRPr="00375FB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5FB8">
              <w:t>2024</w:t>
            </w:r>
            <w:r w:rsidR="00817416" w:rsidRPr="00375FB8">
              <w:t>-202</w:t>
            </w:r>
            <w:r w:rsidRPr="00375FB8">
              <w:t>9</w:t>
            </w:r>
          </w:p>
        </w:tc>
        <w:tc>
          <w:tcPr>
            <w:tcW w:w="2268" w:type="dxa"/>
            <w:shd w:val="clear" w:color="auto" w:fill="auto"/>
          </w:tcPr>
          <w:p w14:paraId="01D784B5" w14:textId="77777777" w:rsidR="00751A4A" w:rsidRPr="00375FB8" w:rsidRDefault="00187494" w:rsidP="0010095E">
            <w:pPr>
              <w:pStyle w:val="EPLogo"/>
            </w:pPr>
            <w:r w:rsidRPr="00375FB8">
              <w:rPr>
                <w:noProof/>
                <w:lang w:eastAsia="ja-JP"/>
              </w:rPr>
              <w:drawing>
                <wp:inline distT="0" distB="0" distL="0" distR="0" wp14:anchorId="48766AA5" wp14:editId="01E623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13EDE6" w14:textId="77777777" w:rsidR="00D058B8" w:rsidRPr="00375FB8" w:rsidRDefault="00D058B8" w:rsidP="004C5D52">
      <w:pPr>
        <w:pStyle w:val="LineTop"/>
      </w:pPr>
    </w:p>
    <w:p w14:paraId="309A7AF4" w14:textId="77777777" w:rsidR="00680577" w:rsidRPr="00375FB8" w:rsidRDefault="000119E7" w:rsidP="00680577">
      <w:pPr>
        <w:pStyle w:val="EPBodyTA1"/>
      </w:pPr>
      <w:r w:rsidRPr="00375FB8">
        <w:t>PRIJATÉ TEXTY</w:t>
      </w:r>
    </w:p>
    <w:p w14:paraId="316BB9C9" w14:textId="77777777" w:rsidR="00D058B8" w:rsidRPr="00375FB8" w:rsidRDefault="00D058B8" w:rsidP="00D058B8">
      <w:pPr>
        <w:pStyle w:val="LineBottom"/>
      </w:pPr>
    </w:p>
    <w:p w14:paraId="0CC31104" w14:textId="3C34B6BC" w:rsidR="000119E7" w:rsidRPr="00375FB8" w:rsidRDefault="000119E7" w:rsidP="000119E7">
      <w:pPr>
        <w:pStyle w:val="ATHeading1"/>
      </w:pPr>
      <w:bookmarkStart w:id="0" w:name="TANumber"/>
      <w:r w:rsidRPr="00375FB8">
        <w:t>P10_TA(2025)0</w:t>
      </w:r>
      <w:r w:rsidR="00375FB8" w:rsidRPr="00375FB8">
        <w:t>3</w:t>
      </w:r>
      <w:r w:rsidRPr="00375FB8">
        <w:t>00</w:t>
      </w:r>
      <w:bookmarkEnd w:id="0"/>
    </w:p>
    <w:p w14:paraId="32707463" w14:textId="77777777" w:rsidR="000119E7" w:rsidRPr="00375FB8" w:rsidRDefault="000119E7" w:rsidP="000119E7">
      <w:pPr>
        <w:pStyle w:val="ATHeading2"/>
      </w:pPr>
      <w:bookmarkStart w:id="1" w:name="title"/>
      <w:r w:rsidRPr="00375FB8">
        <w:t>Prístup k financovaniu pre MSP a rozširujúce sa podniky</w:t>
      </w:r>
      <w:bookmarkEnd w:id="1"/>
    </w:p>
    <w:p w14:paraId="1F2DBAB5" w14:textId="77777777" w:rsidR="000119E7" w:rsidRPr="00375FB8" w:rsidRDefault="000119E7" w:rsidP="000119E7">
      <w:pPr>
        <w:rPr>
          <w:i/>
          <w:vanish/>
        </w:rPr>
      </w:pPr>
      <w:r w:rsidRPr="00375FB8">
        <w:rPr>
          <w:i/>
        </w:rPr>
        <w:fldChar w:fldCharType="begin"/>
      </w:r>
      <w:r w:rsidRPr="00375FB8">
        <w:rPr>
          <w:i/>
        </w:rPr>
        <w:instrText xml:space="preserve"> TC"(</w:instrText>
      </w:r>
      <w:bookmarkStart w:id="2" w:name="DocNumber"/>
      <w:r w:rsidRPr="00375FB8">
        <w:rPr>
          <w:i/>
        </w:rPr>
        <w:instrText>A10-0185/2025</w:instrText>
      </w:r>
      <w:bookmarkEnd w:id="2"/>
      <w:r w:rsidRPr="00375FB8">
        <w:rPr>
          <w:i/>
        </w:rPr>
        <w:instrText xml:space="preserve"> - Spravodajca: </w:instrText>
      </w:r>
      <w:proofErr w:type="spellStart"/>
      <w:r w:rsidRPr="00375FB8">
        <w:rPr>
          <w:i/>
        </w:rPr>
        <w:instrText>Jorge</w:instrText>
      </w:r>
      <w:proofErr w:type="spellEnd"/>
      <w:r w:rsidRPr="00375FB8">
        <w:rPr>
          <w:i/>
        </w:rPr>
        <w:instrText xml:space="preserve"> Martín </w:instrText>
      </w:r>
      <w:proofErr w:type="spellStart"/>
      <w:r w:rsidRPr="00375FB8">
        <w:rPr>
          <w:i/>
        </w:rPr>
        <w:instrText>Frías</w:instrText>
      </w:r>
      <w:proofErr w:type="spellEnd"/>
      <w:r w:rsidRPr="00375FB8">
        <w:rPr>
          <w:i/>
        </w:rPr>
        <w:instrText xml:space="preserve">)"\l3 \n&gt; \* MERGEFORMAT </w:instrText>
      </w:r>
      <w:r w:rsidRPr="00375FB8">
        <w:rPr>
          <w:i/>
        </w:rPr>
        <w:fldChar w:fldCharType="end"/>
      </w:r>
    </w:p>
    <w:p w14:paraId="386062D5" w14:textId="77777777" w:rsidR="000119E7" w:rsidRPr="00375FB8" w:rsidRDefault="000119E7" w:rsidP="000119E7">
      <w:pPr>
        <w:rPr>
          <w:vanish/>
        </w:rPr>
      </w:pPr>
      <w:bookmarkStart w:id="3" w:name="Commission"/>
      <w:r w:rsidRPr="00375FB8">
        <w:rPr>
          <w:vanish/>
        </w:rPr>
        <w:t>Výbor pre hospodárske a menové veci</w:t>
      </w:r>
      <w:bookmarkEnd w:id="3"/>
    </w:p>
    <w:p w14:paraId="64BC5E3E" w14:textId="77777777" w:rsidR="000119E7" w:rsidRPr="00375FB8" w:rsidRDefault="000119E7" w:rsidP="000119E7">
      <w:pPr>
        <w:rPr>
          <w:vanish/>
        </w:rPr>
      </w:pPr>
      <w:bookmarkStart w:id="4" w:name="PE"/>
      <w:r w:rsidRPr="00375FB8">
        <w:rPr>
          <w:vanish/>
        </w:rPr>
        <w:t>PE772.123</w:t>
      </w:r>
      <w:bookmarkEnd w:id="4"/>
    </w:p>
    <w:p w14:paraId="29785AB3" w14:textId="27B6D3BC" w:rsidR="000119E7" w:rsidRPr="00375FB8" w:rsidRDefault="000119E7" w:rsidP="000119E7">
      <w:pPr>
        <w:pStyle w:val="ATHeading3"/>
      </w:pPr>
      <w:bookmarkStart w:id="5" w:name="Sujet"/>
      <w:r w:rsidRPr="00375FB8">
        <w:t>Uznesenie Európskeho parlamentu z</w:t>
      </w:r>
      <w:r w:rsidR="00375FB8" w:rsidRPr="00375FB8">
        <w:t> 26</w:t>
      </w:r>
      <w:r w:rsidR="00A90927" w:rsidRPr="00375FB8">
        <w:t>.</w:t>
      </w:r>
      <w:r w:rsidRPr="00375FB8">
        <w:t xml:space="preserve"> novembra 2025 o prístupe k financovaniu pre MSP a rozširujúce sa podniky</w:t>
      </w:r>
      <w:bookmarkEnd w:id="5"/>
      <w:r w:rsidRPr="00375FB8">
        <w:t xml:space="preserve"> </w:t>
      </w:r>
      <w:bookmarkStart w:id="6" w:name="References"/>
      <w:r w:rsidRPr="00375FB8">
        <w:t>(2025/2072(INI))</w:t>
      </w:r>
      <w:bookmarkEnd w:id="6"/>
    </w:p>
    <w:p w14:paraId="1C88A220" w14:textId="77777777" w:rsidR="00601DA5" w:rsidRPr="00375FB8" w:rsidRDefault="00601DA5" w:rsidP="00601DA5">
      <w:pPr>
        <w:pStyle w:val="EPComma"/>
      </w:pPr>
      <w:r w:rsidRPr="00375FB8">
        <w:rPr>
          <w:rStyle w:val="Italic"/>
        </w:rPr>
        <w:t>Európsky parlament</w:t>
      </w:r>
      <w:r w:rsidRPr="00375FB8">
        <w:t>,</w:t>
      </w:r>
    </w:p>
    <w:p w14:paraId="40C06577" w14:textId="77777777" w:rsidR="00601DA5" w:rsidRPr="00375FB8" w:rsidRDefault="00601DA5" w:rsidP="00601DA5">
      <w:pPr>
        <w:pStyle w:val="NormalHanging12a"/>
      </w:pPr>
      <w:r w:rsidRPr="00375FB8">
        <w:t>–</w:t>
      </w:r>
      <w:r w:rsidRPr="00375FB8">
        <w:tab/>
        <w:t>so zreteľom na oznámenie Komisie z 29. januára 2025 s názvom Kompas konkurencieschopnosti pre EÚ (COM(2025)0030),</w:t>
      </w:r>
    </w:p>
    <w:p w14:paraId="300156C8" w14:textId="77777777" w:rsidR="00601DA5" w:rsidRPr="00375FB8" w:rsidRDefault="00601DA5" w:rsidP="00601DA5">
      <w:pPr>
        <w:pStyle w:val="NormalHanging12a"/>
        <w:rPr>
          <w:snapToGrid/>
        </w:rPr>
      </w:pPr>
      <w:r w:rsidRPr="00375FB8">
        <w:t>–</w:t>
      </w:r>
      <w:r w:rsidRPr="00375FB8">
        <w:tab/>
        <w:t xml:space="preserve">so zreteľom na oznámenie Komisie z 28. mája 2025 s názvom Stratégia EÚ pre startupy a </w:t>
      </w:r>
      <w:proofErr w:type="spellStart"/>
      <w:r w:rsidRPr="00375FB8">
        <w:t>scaleupy</w:t>
      </w:r>
      <w:proofErr w:type="spellEnd"/>
      <w:r w:rsidRPr="00375FB8">
        <w:t xml:space="preserve"> – Na začatie a rozširovanie podnikania si vyberte Európu (COM(2025)0270),</w:t>
      </w:r>
    </w:p>
    <w:p w14:paraId="3E6AF43F" w14:textId="77777777" w:rsidR="00601DA5" w:rsidRPr="00375FB8" w:rsidRDefault="00601DA5" w:rsidP="00601DA5">
      <w:pPr>
        <w:pStyle w:val="NormalHanging12a"/>
      </w:pPr>
      <w:r w:rsidRPr="00375FB8">
        <w:t>–</w:t>
      </w:r>
      <w:r w:rsidRPr="00375FB8">
        <w:tab/>
        <w:t>so zreteľom na oznámenie Komisie z 21. mája 2025 s názvom Jednotný trh: náš európsky domáci trh v neistom svete – Stratégia, ktorou sa dosiahne jednoduchý, plynulý a silný jednotný trh (COM(2025)0500),</w:t>
      </w:r>
    </w:p>
    <w:p w14:paraId="2828FA91" w14:textId="77777777" w:rsidR="00601DA5" w:rsidRPr="00375FB8" w:rsidRDefault="00601DA5" w:rsidP="00601DA5">
      <w:pPr>
        <w:pStyle w:val="NormalHanging12a"/>
      </w:pPr>
      <w:r w:rsidRPr="00375FB8">
        <w:t>–</w:t>
      </w:r>
      <w:r w:rsidRPr="00375FB8">
        <w:tab/>
        <w:t>so zreteľom na Vyhlásenie z Budapešti prijaté 8. novembra 2024 na neformálnom stretnutí hláv štátov alebo predsedov vlád,</w:t>
      </w:r>
    </w:p>
    <w:p w14:paraId="472152CF" w14:textId="77777777" w:rsidR="00601DA5" w:rsidRPr="00375FB8" w:rsidRDefault="00601DA5" w:rsidP="00601DA5">
      <w:pPr>
        <w:pStyle w:val="NormalHanging12a"/>
      </w:pPr>
      <w:r w:rsidRPr="00375FB8">
        <w:t>–</w:t>
      </w:r>
      <w:r w:rsidRPr="00375FB8">
        <w:tab/>
        <w:t xml:space="preserve">so zreteľom na publikáciu predsedníčky Komisie von der </w:t>
      </w:r>
      <w:proofErr w:type="spellStart"/>
      <w:r w:rsidRPr="00375FB8">
        <w:t>Leyenovej</w:t>
      </w:r>
      <w:proofErr w:type="spellEnd"/>
      <w:r w:rsidRPr="00375FB8">
        <w:t xml:space="preserve"> z 18. júla 2024 s názvom Európa má na výber: Politické usmernenia pre budúcu Európsku komisiu 2024 – 2029,</w:t>
      </w:r>
    </w:p>
    <w:p w14:paraId="6472A9A3" w14:textId="77777777" w:rsidR="00601DA5" w:rsidRPr="00375FB8" w:rsidRDefault="00601DA5" w:rsidP="00601DA5">
      <w:pPr>
        <w:pStyle w:val="NormalHanging12a"/>
      </w:pPr>
      <w:r w:rsidRPr="00375FB8">
        <w:t>–</w:t>
      </w:r>
      <w:r w:rsidRPr="00375FB8">
        <w:tab/>
        <w:t>so zreteľom na správu Európskej centrálnej banky s názvom Prieskum o prístupe podnikov v eurozóne k financovaniu – prvý štvrťrok 2025 (</w:t>
      </w:r>
      <w:proofErr w:type="spellStart"/>
      <w:r w:rsidRPr="00375FB8">
        <w:t>Survey</w:t>
      </w:r>
      <w:proofErr w:type="spellEnd"/>
      <w:r w:rsidRPr="00375FB8">
        <w:t xml:space="preserve"> on </w:t>
      </w:r>
      <w:proofErr w:type="spellStart"/>
      <w:r w:rsidRPr="00375FB8">
        <w:t>the</w:t>
      </w:r>
      <w:proofErr w:type="spellEnd"/>
      <w:r w:rsidRPr="00375FB8">
        <w:t xml:space="preserve"> Access to </w:t>
      </w:r>
      <w:proofErr w:type="spellStart"/>
      <w:r w:rsidRPr="00375FB8">
        <w:t>Finance</w:t>
      </w:r>
      <w:proofErr w:type="spellEnd"/>
      <w:r w:rsidRPr="00375FB8">
        <w:t xml:space="preserve"> of Enterprises in </w:t>
      </w:r>
      <w:proofErr w:type="spellStart"/>
      <w:r w:rsidRPr="00375FB8">
        <w:t>the</w:t>
      </w:r>
      <w:proofErr w:type="spellEnd"/>
      <w:r w:rsidRPr="00375FB8">
        <w:t xml:space="preserve"> euro </w:t>
      </w:r>
      <w:proofErr w:type="spellStart"/>
      <w:r w:rsidRPr="00375FB8">
        <w:t>area</w:t>
      </w:r>
      <w:proofErr w:type="spellEnd"/>
      <w:r w:rsidRPr="00375FB8">
        <w:t xml:space="preserve"> – </w:t>
      </w:r>
      <w:proofErr w:type="spellStart"/>
      <w:r w:rsidRPr="00375FB8">
        <w:t>First</w:t>
      </w:r>
      <w:proofErr w:type="spellEnd"/>
      <w:r w:rsidRPr="00375FB8">
        <w:t xml:space="preserve"> </w:t>
      </w:r>
      <w:proofErr w:type="spellStart"/>
      <w:r w:rsidRPr="00375FB8">
        <w:t>Quarter</w:t>
      </w:r>
      <w:proofErr w:type="spellEnd"/>
      <w:r w:rsidRPr="00375FB8">
        <w:t xml:space="preserve"> of 2025), ktorá bola uverejnená v apríli 2025,</w:t>
      </w:r>
    </w:p>
    <w:p w14:paraId="1DE2B546" w14:textId="77777777" w:rsidR="00601DA5" w:rsidRPr="00375FB8" w:rsidRDefault="00601DA5" w:rsidP="00601DA5">
      <w:pPr>
        <w:pStyle w:val="NormalHanging12a"/>
      </w:pPr>
      <w:r w:rsidRPr="00375FB8">
        <w:t>–</w:t>
      </w:r>
      <w:r w:rsidRPr="00375FB8">
        <w:tab/>
        <w:t>so zreteľom na oznámenie Komisie z 19. marca 2025 s názvom Únia úspor a investícií – Stratégia na podporu bohatstva občanov a hospodárskej konkurencieschopnosti v EÚ (COM(2025)0124),</w:t>
      </w:r>
    </w:p>
    <w:p w14:paraId="1D50F6DA" w14:textId="77777777" w:rsidR="00601DA5" w:rsidRPr="00375FB8" w:rsidRDefault="00601DA5" w:rsidP="00601DA5">
      <w:pPr>
        <w:pStyle w:val="NormalHanging12a"/>
      </w:pPr>
      <w:r w:rsidRPr="00375FB8">
        <w:t>–</w:t>
      </w:r>
      <w:r w:rsidRPr="00375FB8">
        <w:tab/>
        <w:t>so zreteľom na správu Komisie s názvom Prieskum o prístupe podnikov k financovaniu – Analytická správa za rok 2024 [</w:t>
      </w:r>
      <w:proofErr w:type="spellStart"/>
      <w:r w:rsidRPr="00375FB8">
        <w:t>Survey</w:t>
      </w:r>
      <w:proofErr w:type="spellEnd"/>
      <w:r w:rsidRPr="00375FB8">
        <w:t xml:space="preserve"> on </w:t>
      </w:r>
      <w:proofErr w:type="spellStart"/>
      <w:r w:rsidRPr="00375FB8">
        <w:t>the</w:t>
      </w:r>
      <w:proofErr w:type="spellEnd"/>
      <w:r w:rsidRPr="00375FB8">
        <w:t xml:space="preserve"> </w:t>
      </w:r>
      <w:proofErr w:type="spellStart"/>
      <w:r w:rsidRPr="00375FB8">
        <w:t>access</w:t>
      </w:r>
      <w:proofErr w:type="spellEnd"/>
      <w:r w:rsidRPr="00375FB8">
        <w:t xml:space="preserve"> to </w:t>
      </w:r>
      <w:proofErr w:type="spellStart"/>
      <w:r w:rsidRPr="00375FB8">
        <w:t>finance</w:t>
      </w:r>
      <w:proofErr w:type="spellEnd"/>
      <w:r w:rsidRPr="00375FB8">
        <w:t xml:space="preserve"> of </w:t>
      </w:r>
      <w:proofErr w:type="spellStart"/>
      <w:r w:rsidRPr="00375FB8">
        <w:t>enterprises</w:t>
      </w:r>
      <w:proofErr w:type="spellEnd"/>
      <w:r w:rsidRPr="00375FB8">
        <w:t xml:space="preserve"> (SAFE) – </w:t>
      </w:r>
      <w:proofErr w:type="spellStart"/>
      <w:r w:rsidRPr="00375FB8">
        <w:t>Analytical</w:t>
      </w:r>
      <w:proofErr w:type="spellEnd"/>
      <w:r w:rsidRPr="00375FB8">
        <w:t xml:space="preserve"> report 2024], ktorá bola uverejnená v januári 2025,</w:t>
      </w:r>
    </w:p>
    <w:p w14:paraId="461ADA6B" w14:textId="77777777" w:rsidR="00601DA5" w:rsidRPr="00375FB8" w:rsidRDefault="00601DA5" w:rsidP="00601DA5">
      <w:pPr>
        <w:pStyle w:val="NormalHanging12a"/>
      </w:pPr>
      <w:r w:rsidRPr="00375FB8">
        <w:lastRenderedPageBreak/>
        <w:t>–</w:t>
      </w:r>
      <w:r w:rsidRPr="00375FB8">
        <w:tab/>
        <w:t xml:space="preserve">so zreteľom na správu Maria </w:t>
      </w:r>
      <w:proofErr w:type="spellStart"/>
      <w:r w:rsidRPr="00375FB8">
        <w:t>Draghiho</w:t>
      </w:r>
      <w:proofErr w:type="spellEnd"/>
      <w:r w:rsidRPr="00375FB8">
        <w:t xml:space="preserve"> o budúcnosti európskej konkurencieschopnosti (</w:t>
      </w:r>
      <w:proofErr w:type="spellStart"/>
      <w:r w:rsidRPr="00375FB8">
        <w:t>Draghiho</w:t>
      </w:r>
      <w:proofErr w:type="spellEnd"/>
      <w:r w:rsidRPr="00375FB8">
        <w:t xml:space="preserve"> správa), ktorá bola uverejnená v septembri 2024,</w:t>
      </w:r>
    </w:p>
    <w:p w14:paraId="0F3A10D1" w14:textId="77777777" w:rsidR="00601DA5" w:rsidRPr="00375FB8" w:rsidRDefault="00601DA5" w:rsidP="00601DA5">
      <w:pPr>
        <w:pStyle w:val="NormalHanging12a"/>
      </w:pPr>
      <w:r w:rsidRPr="00375FB8">
        <w:t>–</w:t>
      </w:r>
      <w:r w:rsidRPr="00375FB8">
        <w:tab/>
        <w:t>so zreteľom na správu Komisie z 25. júla 2024 s názvom Výročná správa o európskych MSP za roky 2023/2024 (</w:t>
      </w:r>
      <w:proofErr w:type="spellStart"/>
      <w:r w:rsidRPr="00375FB8">
        <w:t>Annual</w:t>
      </w:r>
      <w:proofErr w:type="spellEnd"/>
      <w:r w:rsidRPr="00375FB8">
        <w:t xml:space="preserve"> Report on </w:t>
      </w:r>
      <w:proofErr w:type="spellStart"/>
      <w:r w:rsidRPr="00375FB8">
        <w:t>European</w:t>
      </w:r>
      <w:proofErr w:type="spellEnd"/>
      <w:r w:rsidRPr="00375FB8">
        <w:t xml:space="preserve"> </w:t>
      </w:r>
      <w:proofErr w:type="spellStart"/>
      <w:r w:rsidRPr="00375FB8">
        <w:t>SMEs</w:t>
      </w:r>
      <w:proofErr w:type="spellEnd"/>
      <w:r w:rsidRPr="00375FB8">
        <w:t xml:space="preserve"> 2023/2024),</w:t>
      </w:r>
    </w:p>
    <w:p w14:paraId="41A3E284" w14:textId="77777777" w:rsidR="00601DA5" w:rsidRPr="00375FB8" w:rsidRDefault="00601DA5" w:rsidP="00601DA5">
      <w:pPr>
        <w:pStyle w:val="NormalHanging12a"/>
      </w:pPr>
      <w:r w:rsidRPr="00375FB8">
        <w:t>–</w:t>
      </w:r>
      <w:r w:rsidRPr="00375FB8">
        <w:tab/>
        <w:t xml:space="preserve">so zreteľom na správu </w:t>
      </w:r>
      <w:proofErr w:type="spellStart"/>
      <w:r w:rsidRPr="00375FB8">
        <w:t>Enrica</w:t>
      </w:r>
      <w:proofErr w:type="spellEnd"/>
      <w:r w:rsidRPr="00375FB8">
        <w:t xml:space="preserve"> </w:t>
      </w:r>
      <w:proofErr w:type="spellStart"/>
      <w:r w:rsidRPr="00375FB8">
        <w:t>Lettu</w:t>
      </w:r>
      <w:proofErr w:type="spellEnd"/>
      <w:r w:rsidRPr="00375FB8">
        <w:t xml:space="preserve"> s názvom Oveľa viac než len trh (</w:t>
      </w:r>
      <w:proofErr w:type="spellStart"/>
      <w:r w:rsidRPr="00375FB8">
        <w:t>Lettova</w:t>
      </w:r>
      <w:proofErr w:type="spellEnd"/>
      <w:r w:rsidRPr="00375FB8">
        <w:t xml:space="preserve"> správa), ktorá bola uverejnená v apríli 2024,</w:t>
      </w:r>
    </w:p>
    <w:p w14:paraId="4735AB75" w14:textId="77777777" w:rsidR="00601DA5" w:rsidRPr="00375FB8" w:rsidRDefault="00601DA5" w:rsidP="00601DA5">
      <w:pPr>
        <w:pStyle w:val="NormalHanging12a"/>
      </w:pPr>
      <w:r w:rsidRPr="00375FB8">
        <w:t>–</w:t>
      </w:r>
      <w:r w:rsidRPr="00375FB8">
        <w:tab/>
        <w:t>so zreteľom na závery z mimoriadneho zasadnutia Európskej rady zo 17. a 18. apríla 2024,</w:t>
      </w:r>
    </w:p>
    <w:p w14:paraId="70FF889C" w14:textId="77777777" w:rsidR="00601DA5" w:rsidRPr="00375FB8" w:rsidRDefault="00601DA5" w:rsidP="00601DA5">
      <w:pPr>
        <w:pStyle w:val="NormalHanging12a"/>
      </w:pPr>
      <w:r w:rsidRPr="00375FB8">
        <w:t>–</w:t>
      </w:r>
      <w:r w:rsidRPr="00375FB8">
        <w:tab/>
        <w:t xml:space="preserve">so zreteľom na svoje uznesenie zo 14. decembra 2023 o posilňovaní inovácií a priemyselnej a technologickej konkurencieschopnosti prostredníctvom priaznivého prostredia pre startupy a </w:t>
      </w:r>
      <w:proofErr w:type="spellStart"/>
      <w:r w:rsidRPr="00375FB8">
        <w:t>scaleupy</w:t>
      </w:r>
      <w:proofErr w:type="spellEnd"/>
      <w:r w:rsidRPr="00375FB8">
        <w:rPr>
          <w:rStyle w:val="FootnoteReference"/>
        </w:rPr>
        <w:footnoteReference w:id="1"/>
      </w:r>
      <w:r w:rsidRPr="00375FB8">
        <w:t>,</w:t>
      </w:r>
    </w:p>
    <w:p w14:paraId="1628B219" w14:textId="77777777" w:rsidR="00601DA5" w:rsidRPr="00375FB8" w:rsidRDefault="00601DA5" w:rsidP="00601DA5">
      <w:pPr>
        <w:pStyle w:val="NormalHanging12a"/>
      </w:pPr>
      <w:r w:rsidRPr="00375FB8">
        <w:t>–</w:t>
      </w:r>
      <w:r w:rsidRPr="00375FB8">
        <w:tab/>
        <w:t>so zreteľom na oznámenie Komisie z 12. septembra 2023 s názvom Balík pomoci pre MSP (COM(2023)0535),</w:t>
      </w:r>
    </w:p>
    <w:p w14:paraId="32453270" w14:textId="77777777" w:rsidR="00601DA5" w:rsidRPr="00375FB8" w:rsidRDefault="00601DA5" w:rsidP="00601DA5">
      <w:pPr>
        <w:pStyle w:val="NormalHanging12a"/>
      </w:pPr>
      <w:r w:rsidRPr="00375FB8">
        <w:t>–</w:t>
      </w:r>
      <w:r w:rsidRPr="00375FB8">
        <w:tab/>
        <w:t>so zreteľom na článok 55 rokovacieho poriadku,</w:t>
      </w:r>
    </w:p>
    <w:p w14:paraId="23ACC5DC" w14:textId="77777777" w:rsidR="00601DA5" w:rsidRPr="00375FB8" w:rsidRDefault="00601DA5" w:rsidP="00601DA5">
      <w:pPr>
        <w:pStyle w:val="NormalHanging12a"/>
        <w:rPr>
          <w:snapToGrid/>
        </w:rPr>
      </w:pPr>
      <w:r w:rsidRPr="00375FB8">
        <w:t>–</w:t>
      </w:r>
      <w:r w:rsidRPr="00375FB8">
        <w:tab/>
        <w:t>so zreteľom na správu Výboru pre hospodárske a menové veci (A10-0185/2025),</w:t>
      </w:r>
    </w:p>
    <w:p w14:paraId="362F543A" w14:textId="77777777" w:rsidR="00601DA5" w:rsidRPr="00375FB8" w:rsidRDefault="00601DA5" w:rsidP="00601DA5">
      <w:pPr>
        <w:pStyle w:val="NormalHanging12a"/>
      </w:pPr>
      <w:r w:rsidRPr="00375FB8">
        <w:t>A.</w:t>
      </w:r>
      <w:r w:rsidRPr="00375FB8">
        <w:tab/>
        <w:t xml:space="preserve">keďže </w:t>
      </w:r>
      <w:proofErr w:type="spellStart"/>
      <w:r w:rsidRPr="00375FB8">
        <w:t>mikropodniky</w:t>
      </w:r>
      <w:proofErr w:type="spellEnd"/>
      <w:r w:rsidRPr="00375FB8">
        <w:t>, malé a stredné podniky (MSP) predstavujú základ európskeho podnikania, pričom MSP v roku 2023 predstavovali 99,8 % všetkých podnikov, 65,2 % zamestnanosti a 53,1 % pridanej hodnoty v nefinančnom podnikateľskom sektore v EÚ</w:t>
      </w:r>
      <w:r w:rsidRPr="00375FB8">
        <w:rPr>
          <w:rStyle w:val="FootnoteReference"/>
        </w:rPr>
        <w:footnoteReference w:id="2"/>
      </w:r>
      <w:r w:rsidRPr="00375FB8">
        <w:t>;</w:t>
      </w:r>
    </w:p>
    <w:p w14:paraId="50BEFD9A" w14:textId="77777777" w:rsidR="00601DA5" w:rsidRPr="00375FB8" w:rsidRDefault="00601DA5" w:rsidP="00601DA5">
      <w:pPr>
        <w:pStyle w:val="NormalHanging12a"/>
        <w:rPr>
          <w:snapToGrid/>
        </w:rPr>
      </w:pPr>
      <w:r w:rsidRPr="00375FB8">
        <w:t>B.</w:t>
      </w:r>
      <w:r w:rsidRPr="00375FB8">
        <w:tab/>
        <w:t>keďže EÚ ako celok – a najmä jej najväčšie ekonomiky – v súčasnosti zažíva pomalý hospodársky rast a problémy, pretože spoločnosti strácajú konkurencieschopnosť v prospech tretích krajín, čo ešte zhoršujú dôsledky pandémie, energetickej krízy a agresie Ruska voči Ukrajine, ktoré postihli najmä MSP a ekonomiky krajín pozdĺž východnej hranice EÚ;</w:t>
      </w:r>
    </w:p>
    <w:p w14:paraId="4A13D031" w14:textId="77777777" w:rsidR="00601DA5" w:rsidRPr="00375FB8" w:rsidRDefault="00601DA5" w:rsidP="00601DA5">
      <w:pPr>
        <w:pStyle w:val="NormalHanging12a"/>
      </w:pPr>
      <w:r w:rsidRPr="00375FB8">
        <w:t>C.</w:t>
      </w:r>
      <w:r w:rsidRPr="00375FB8">
        <w:tab/>
        <w:t>keďže európske MSP sa líšia z hľadiska rozsahu, odvetvia, finančných potrieb, umiestnenia, vlastníctva, obchodného modelu a inovačnej kapacity, a preto riešia rôzne výzvy a potreby financovania, pričom majú len obmedzenú schopnosť čeliť im; keďže väčšina európskych MSP pôsobí predovšetkým na vnútroštátnej úrovni; keďže do cezhraničných činností v rámci EÚ sa zapája len pomerne málo MSP, pričom tie, ktoré sa venujú vývozu mimo Únie, tvoria menšinu;</w:t>
      </w:r>
    </w:p>
    <w:p w14:paraId="7526BA12" w14:textId="77777777" w:rsidR="00601DA5" w:rsidRPr="00375FB8" w:rsidRDefault="00601DA5" w:rsidP="00601DA5">
      <w:pPr>
        <w:pStyle w:val="NormalHanging12a"/>
      </w:pPr>
      <w:r w:rsidRPr="00375FB8">
        <w:t>D.</w:t>
      </w:r>
      <w:r w:rsidRPr="00375FB8">
        <w:tab/>
        <w:t xml:space="preserve">keďže v </w:t>
      </w:r>
      <w:proofErr w:type="spellStart"/>
      <w:r w:rsidRPr="00375FB8">
        <w:t>Draghiho</w:t>
      </w:r>
      <w:proofErr w:type="spellEnd"/>
      <w:r w:rsidRPr="00375FB8">
        <w:t xml:space="preserve"> správe sa uvádza, že regulačné prekážky a administratívna záťaž patria medzi najväčšie výzvy, ktorým MSP čelia, pričom predpisy týkajúce sa podávania správ, najmä na základe Európskej zelenej dohody, považuje viac ako 60 % </w:t>
      </w:r>
      <w:r w:rsidRPr="00375FB8">
        <w:lastRenderedPageBreak/>
        <w:t xml:space="preserve">spoločností v EÚ za prekážku v investovaní a 55 % MSP označilo regulačné prekážky a administratívnu záťaž za svoj najväčší problém, pričom tento podiel je ešte väčší v prípade startupov a </w:t>
      </w:r>
      <w:proofErr w:type="spellStart"/>
      <w:r w:rsidRPr="00375FB8">
        <w:t>mikropodnikov</w:t>
      </w:r>
      <w:proofErr w:type="spellEnd"/>
      <w:r w:rsidRPr="00375FB8">
        <w:t>, a odporúča sa v nej, aby boli MSP z príslušných právnych predpisov vyňaté na základe proporcionality, keďže kľúčom k ich prosperite je jednoduchší, predvídateľnejší a konkurencieschopnejší regulačný rámec a preskúmanie Európskej zelenej dohody;</w:t>
      </w:r>
    </w:p>
    <w:p w14:paraId="69BD2F4F" w14:textId="77777777" w:rsidR="00601DA5" w:rsidRPr="00375FB8" w:rsidRDefault="00601DA5" w:rsidP="00601DA5">
      <w:pPr>
        <w:pStyle w:val="NormalHanging12a"/>
      </w:pPr>
      <w:r w:rsidRPr="00375FB8">
        <w:t>E.</w:t>
      </w:r>
      <w:r w:rsidRPr="00375FB8">
        <w:tab/>
        <w:t xml:space="preserve">keďže Komisia sa snaží zlepšiť prístup MSP k financovaniu s cieľom zvýšiť rozsah, znížiť neefektívnosť a podporiť </w:t>
      </w:r>
      <w:proofErr w:type="spellStart"/>
      <w:r w:rsidRPr="00375FB8">
        <w:t>interoperabilitu</w:t>
      </w:r>
      <w:proofErr w:type="spellEnd"/>
      <w:r w:rsidRPr="00375FB8">
        <w:t>, stanovila si cieľ znížiť záťaž pre MSP spojenú s podávaním správ aspoň o 35 % a oznámila novú kontrolu konkurencieschopnosti MSP v posúdeniach vplyvu; keďže tieto iniciatívy musí sprevádzať dobre rozvinutý ekosystém rizikového kapitálu, pričom treba mať na pamäti, že inštitucionálni investori, ako sú poisťovne, významne prispievajú k financovaniu MSP prostredníctvom prenosu a transformácie rizík, a tiež treba prihliadnuť na skutočnosť, že na rozdiel od Spojených štátov väčšina finančných prostriedkov v Európskej únii pochádza od bánk a medzi európskou investičnou kultúrou a inými regiónmi sveta existujú výrazné rozdiely, najmä pokiaľ ide o rizikový kapitál a investície podnikateľských anjelov; keďže v dôsledku tejto situácie sú MSP obzvlášť zraniteľné voči sprísneniu poskytovania bankových úverov;</w:t>
      </w:r>
    </w:p>
    <w:p w14:paraId="19CCE3C3" w14:textId="77777777" w:rsidR="00601DA5" w:rsidRPr="00375FB8" w:rsidRDefault="00601DA5" w:rsidP="00601DA5">
      <w:pPr>
        <w:pStyle w:val="NormalHanging12a"/>
      </w:pPr>
      <w:r w:rsidRPr="00375FB8">
        <w:t>F.</w:t>
      </w:r>
      <w:r w:rsidRPr="00375FB8">
        <w:tab/>
        <w:t>keďže Európe chýba dynamickejšie a priaznivejšie prostredie na rozširovanie inovačných spoločností a na ďalšie investície a pokrok v oblasti digitálnej infraštruktúry, čo vedie k tomu, že takmer 30 % „jednorožcov“ sa premiestnilo do zahraničia</w:t>
      </w:r>
      <w:r w:rsidRPr="00375FB8">
        <w:rPr>
          <w:rStyle w:val="FootnoteReference"/>
        </w:rPr>
        <w:footnoteReference w:id="3"/>
      </w:r>
      <w:r w:rsidRPr="00375FB8">
        <w:t>;</w:t>
      </w:r>
    </w:p>
    <w:p w14:paraId="644A5F31" w14:textId="77777777" w:rsidR="00601DA5" w:rsidRPr="00375FB8" w:rsidRDefault="00601DA5" w:rsidP="00601DA5">
      <w:pPr>
        <w:pStyle w:val="NormalHanging12a"/>
      </w:pPr>
      <w:r w:rsidRPr="00375FB8">
        <w:t>G.</w:t>
      </w:r>
      <w:r w:rsidRPr="00375FB8">
        <w:tab/>
        <w:t xml:space="preserve">keďže Komisia uverejnila stratégiu pre startupy a </w:t>
      </w:r>
      <w:proofErr w:type="spellStart"/>
      <w:r w:rsidRPr="00375FB8">
        <w:t>scaleupy</w:t>
      </w:r>
      <w:proofErr w:type="spellEnd"/>
      <w:r w:rsidRPr="00375FB8">
        <w:t xml:space="preserve"> a existujú rôzne iniciatívy zamerané na podporu podnikania, inovácií a digitálnej transformácie v EÚ, ako je Stratégia pre startupy a </w:t>
      </w:r>
      <w:proofErr w:type="spellStart"/>
      <w:r w:rsidRPr="00375FB8">
        <w:t>scaleupy</w:t>
      </w:r>
      <w:proofErr w:type="spellEnd"/>
      <w:r w:rsidRPr="00375FB8">
        <w:t>, hodnotiaca tabuľka ekologických inovácií, znalostné a inovačné spoločenstvá, Európska platforma pre spoluprácu klastrov, digitálne desaťročie a stratégia digitálneho jednotného trhu, ako aj programy financovania zamerané na inovácie v iných oblastiach politiky;</w:t>
      </w:r>
    </w:p>
    <w:p w14:paraId="1432D337" w14:textId="77777777" w:rsidR="00601DA5" w:rsidRPr="00375FB8" w:rsidRDefault="00601DA5" w:rsidP="00601DA5">
      <w:pPr>
        <w:pStyle w:val="Normal12a24b"/>
      </w:pPr>
      <w:r w:rsidRPr="00375FB8">
        <w:rPr>
          <w:rStyle w:val="BoldItalic"/>
        </w:rPr>
        <w:t>Všeobecné aspekty</w:t>
      </w:r>
    </w:p>
    <w:p w14:paraId="7CDD947B" w14:textId="77777777" w:rsidR="00601DA5" w:rsidRPr="00375FB8" w:rsidRDefault="00601DA5" w:rsidP="00601DA5">
      <w:pPr>
        <w:pStyle w:val="NormalHanging12a"/>
      </w:pPr>
      <w:r w:rsidRPr="00375FB8">
        <w:t>1.</w:t>
      </w:r>
      <w:r w:rsidRPr="00375FB8">
        <w:tab/>
        <w:t xml:space="preserve">domnieva sa, že vytvorenie priaznivých trhových podmienok pre európske spoločnosti, aby mohli inovovať, začať činnosť, tvoriť, rásť a rozširovať sa v Európe, je nevyhnutné na uvoľnenie plného potenciálu nášho trhu a nato, aby sa naše ekonomiky stali konkurencieschopnejšími; uznáva, že regulačná fragmentácia je jednou z prekážok, ktoré bránia </w:t>
      </w:r>
      <w:proofErr w:type="spellStart"/>
      <w:r w:rsidRPr="00375FB8">
        <w:t>scaleupom</w:t>
      </w:r>
      <w:proofErr w:type="spellEnd"/>
      <w:r w:rsidRPr="00375FB8">
        <w:t xml:space="preserve"> (rozširujúcim sa podnikom) využiť potenciál jednotného trhu naplno; uznáva, že MSP čelia v jednotlivých členských štátoch a regiónoch nerovnakým podmienkam financovania a požiadavkám na financovanie v dôsledku faktorov špecifických pre každý podnik, geografickej polohy – napríklad umiestnenia v odľahlých, najvzdialenejších a ostrovných oblastiach – a hospodárskeho prostredia, a preto potrebujú riešenia prispôsobené takýmto osobitostiam, ako aj potrebám menších ekonomík;</w:t>
      </w:r>
    </w:p>
    <w:p w14:paraId="5B963907" w14:textId="77777777" w:rsidR="00601DA5" w:rsidRPr="00375FB8" w:rsidRDefault="00601DA5" w:rsidP="00601DA5">
      <w:pPr>
        <w:pStyle w:val="NormalHanging12a"/>
      </w:pPr>
      <w:r w:rsidRPr="00375FB8">
        <w:lastRenderedPageBreak/>
        <w:t>2.</w:t>
      </w:r>
      <w:r w:rsidRPr="00375FB8">
        <w:tab/>
        <w:t xml:space="preserve">víta skutočnosť, že v nadväznosti na </w:t>
      </w:r>
      <w:proofErr w:type="spellStart"/>
      <w:r w:rsidRPr="00375FB8">
        <w:t>Draghiho</w:t>
      </w:r>
      <w:proofErr w:type="spellEnd"/>
      <w:r w:rsidRPr="00375FB8">
        <w:t xml:space="preserve"> a </w:t>
      </w:r>
      <w:proofErr w:type="spellStart"/>
      <w:r w:rsidRPr="00375FB8">
        <w:t>Lettovu</w:t>
      </w:r>
      <w:proofErr w:type="spellEnd"/>
      <w:r w:rsidRPr="00375FB8">
        <w:t xml:space="preserve"> správu sa uznala potreba konkurencieschopnejšieho, menej fragmentovaného a menej byrokratického jednotného trhu; vyzýva Komisiu, aby zohľadnila odporúčania z týchto správ, v ktorých sa uvádza, že sú potrebné okamžité a rázne opatrenia na regulačnej aj politickej úrovni; v tejto súvislosti vyjadruje poľutovanie nad nadmernou záťažou, ktorej MSP čelia v dôsledku plnenia rôznych povinností podľa Európskej zelenej dohody; je presvedčený, že osobitné vymedzenia startupov a </w:t>
      </w:r>
      <w:proofErr w:type="spellStart"/>
      <w:r w:rsidRPr="00375FB8">
        <w:t>scaleupov</w:t>
      </w:r>
      <w:proofErr w:type="spellEnd"/>
      <w:r w:rsidRPr="00375FB8">
        <w:t xml:space="preserve"> by zvýšili príležitosti na podporu prostredníctvom opatrení, ktoré sú prispôsobené ich osobitným potrebám;</w:t>
      </w:r>
    </w:p>
    <w:p w14:paraId="2D16B59C" w14:textId="77777777" w:rsidR="00601DA5" w:rsidRPr="00375FB8" w:rsidRDefault="00601DA5" w:rsidP="00601DA5">
      <w:pPr>
        <w:pStyle w:val="NormalHanging12a"/>
        <w:rPr>
          <w:bCs/>
          <w:iCs/>
        </w:rPr>
      </w:pPr>
      <w:r w:rsidRPr="00375FB8">
        <w:t>3.</w:t>
      </w:r>
      <w:r w:rsidRPr="00375FB8">
        <w:tab/>
        <w:t>berie na vedomie, že poskytovanie bankových úverov zostáva pre MSP v Únii hlavným zdrojom vonkajšieho financovania; zdôrazňuje kľúčovú úlohu tradičných bankových modelov vrátane malých regionálnych bánk, sporiteľní, družstevných bánk a verejných inštitúcií;</w:t>
      </w:r>
    </w:p>
    <w:p w14:paraId="5B41E302" w14:textId="77777777" w:rsidR="00601DA5" w:rsidRPr="00375FB8" w:rsidRDefault="00601DA5" w:rsidP="00601DA5">
      <w:pPr>
        <w:pStyle w:val="NormalHanging12a"/>
      </w:pPr>
      <w:r w:rsidRPr="00375FB8">
        <w:t>4.</w:t>
      </w:r>
      <w:r w:rsidRPr="00375FB8">
        <w:tab/>
        <w:t xml:space="preserve">zdôrazňuje, že EÚ by sa mala usilovať o to, aby bolo podnikateľské prostredie jednoduchšie a atraktívnejšie z hľadiska mobilizácie európskeho aj medzinárodného kapitálu a investícií; zdôrazňuje potrebu podporovať taký ekosystém </w:t>
      </w:r>
      <w:proofErr w:type="spellStart"/>
      <w:r w:rsidRPr="00375FB8">
        <w:t>scaleupov</w:t>
      </w:r>
      <w:proofErr w:type="spellEnd"/>
      <w:r w:rsidRPr="00375FB8">
        <w:t>, ktorý sa opiera predovšetkým o súkromné investície a verejno-súkromné partnerstvá, čo by pomohlo mobilizovať kapitál a uľahčilo podnikom prístup k financovaniu; zdôrazňuje významnú a riadne rozvinutú úlohu bánk s konkrétnymi regionálnymi a miestnymi znalosťami pri poskytovaní finančných prostriedkov pre MSP, ktorá vyplýva z dlhodobých vzťahov s týmito spoločnosťami;</w:t>
      </w:r>
    </w:p>
    <w:p w14:paraId="09AEAC8E" w14:textId="77777777" w:rsidR="00601DA5" w:rsidRPr="00375FB8" w:rsidRDefault="00601DA5" w:rsidP="00601DA5">
      <w:pPr>
        <w:pStyle w:val="NormalHanging12a"/>
      </w:pPr>
      <w:r w:rsidRPr="00375FB8">
        <w:t>5.</w:t>
      </w:r>
      <w:r w:rsidRPr="00375FB8">
        <w:tab/>
        <w:t xml:space="preserve">upozorňuje na osobitné výzvy, ktorým čelia európske </w:t>
      </w:r>
      <w:proofErr w:type="spellStart"/>
      <w:r w:rsidRPr="00375FB8">
        <w:t>scaleupy</w:t>
      </w:r>
      <w:proofErr w:type="spellEnd"/>
      <w:r w:rsidRPr="00375FB8">
        <w:t xml:space="preserve"> pri získavaní financovania rastu v neskoršej fáze; konštatuje, že mnohé firmy z EÚ s vysokým potenciálom sú stále závislé od zahraničného rizikového kapitálu a investorov, pričom veľkú časť neskorších kôl financovania vedú mimoeurópski investori; zdôrazňuje potrebu vytvoriť atraktívnejšie podmienky pre investície v rámci Únie; zdôrazňuje, že prístup k financovaniu by sa mal riadiť kritériami hospodárskej efektívnosti, ziskovosti a rozšíriteľnosti bez ohľadu na pôvod kapitálu, a pripomína, že otvorená a celosvetová hospodárska súťaž na prilákanie investícií je prínosom pre podniky a inovácie; v tejto súvislosti zdôrazňuje nedávne prijatie aktu EÚ o kótovaní</w:t>
      </w:r>
      <w:r w:rsidRPr="00375FB8">
        <w:rPr>
          <w:rStyle w:val="FootnoteReference"/>
        </w:rPr>
        <w:footnoteReference w:id="4"/>
      </w:r>
      <w:r w:rsidRPr="00375FB8">
        <w:t>, ktorým sa spoločnostiam všetkých veľkostí vrátane MSP uľahčuje kótovanie na európskych burzách cenných papierov;</w:t>
      </w:r>
    </w:p>
    <w:p w14:paraId="0D1E7B7C" w14:textId="77777777" w:rsidR="00601DA5" w:rsidRPr="00375FB8" w:rsidRDefault="00601DA5" w:rsidP="00601DA5">
      <w:pPr>
        <w:pStyle w:val="NormalHanging12a"/>
      </w:pPr>
      <w:r w:rsidRPr="00375FB8">
        <w:t>6.</w:t>
      </w:r>
      <w:r w:rsidRPr="00375FB8">
        <w:tab/>
        <w:t xml:space="preserve">berie na vedomie, že Komisia uverejnila európsku stratégiu pre startupy a </w:t>
      </w:r>
      <w:proofErr w:type="spellStart"/>
      <w:r w:rsidRPr="00375FB8">
        <w:t>scaleupy</w:t>
      </w:r>
      <w:proofErr w:type="spellEnd"/>
      <w:r w:rsidRPr="00375FB8">
        <w:t xml:space="preserve">, ktorá by mala podporovať inovácie a riešiť problémy, s ktorými sa v EÚ stretávajú </w:t>
      </w:r>
      <w:r w:rsidRPr="00375FB8">
        <w:lastRenderedPageBreak/>
        <w:t xml:space="preserve">jednotliví inovátori, zakladatelia, startupy a </w:t>
      </w:r>
      <w:proofErr w:type="spellStart"/>
      <w:r w:rsidRPr="00375FB8">
        <w:t>scaleupy</w:t>
      </w:r>
      <w:proofErr w:type="spellEnd"/>
      <w:r w:rsidRPr="00375FB8">
        <w:t>; zdôrazňuje, že hoci je diagnostika uvedená v stratégii do určitej miery správna, navrhované opatrenia musia byť ambicióznejšie, pričom dôraz sa musí klásť na zrušenie všetkých predpisov EÚ predstavujúcich zbytočnú byrokratickú záťaž, ktorá bráni zakladaniu a rozširovaniu podnikov; žiada Komisiu, aby medzi prioritné odvetvia stanovené v stratégii zahrnula aj poľnohospodárstvo;</w:t>
      </w:r>
    </w:p>
    <w:p w14:paraId="65740ADA" w14:textId="77777777" w:rsidR="00601DA5" w:rsidRPr="00375FB8" w:rsidRDefault="00601DA5" w:rsidP="00601DA5">
      <w:pPr>
        <w:pStyle w:val="NormalHanging12a"/>
      </w:pPr>
      <w:r w:rsidRPr="00375FB8">
        <w:t>7.</w:t>
      </w:r>
      <w:r w:rsidRPr="00375FB8">
        <w:tab/>
        <w:t xml:space="preserve">domnieva sa, že uľahčenie prístupu MSP a rozširujúcich sa podnikov k financovaniu bude závisieť od i) výrazného a nepretržitého znižovania byrokratickej a regulačnej záťaže vrátane zdĺhavých postupov vydávania povolení, nákladných požiadaviek na podávanie správ a zložitosti a nepredvídateľnosti regulačného prostredia, ii) zvýšenej kapacity na uvoľnenie súkromných investícií a úspor, iii) preklenutia medzery vo financovaní pre </w:t>
      </w:r>
      <w:proofErr w:type="spellStart"/>
      <w:r w:rsidRPr="00375FB8">
        <w:t>scaleupy</w:t>
      </w:r>
      <w:proofErr w:type="spellEnd"/>
      <w:r w:rsidRPr="00375FB8">
        <w:t xml:space="preserve"> a iv) posilnenia konkurencieschopného ekosystému kapitálových trhov v rámci EÚ; zdôrazňuje, že na tieto účely musí byť konečným cieľom Komisie dokončenie únie úspor a investícií, ktorá rešpektuje právomoci členských štátov a zásadu subsidiarity;</w:t>
      </w:r>
    </w:p>
    <w:p w14:paraId="2FD13FFD" w14:textId="77777777" w:rsidR="00601DA5" w:rsidRPr="00375FB8" w:rsidRDefault="00601DA5" w:rsidP="00601DA5">
      <w:pPr>
        <w:pStyle w:val="Normal12a24b"/>
      </w:pPr>
      <w:r w:rsidRPr="00375FB8">
        <w:rPr>
          <w:rStyle w:val="BoldItalic"/>
        </w:rPr>
        <w:t>Znižovanie byrokratickej a regulačnej záťaže</w:t>
      </w:r>
    </w:p>
    <w:p w14:paraId="09908AE1" w14:textId="77777777" w:rsidR="00601DA5" w:rsidRPr="00375FB8" w:rsidRDefault="00601DA5" w:rsidP="00601DA5">
      <w:pPr>
        <w:pStyle w:val="NormalHanging12a"/>
      </w:pPr>
      <w:r w:rsidRPr="00375FB8">
        <w:t>8.</w:t>
      </w:r>
      <w:r w:rsidRPr="00375FB8">
        <w:tab/>
        <w:t xml:space="preserve">pripomína, že mnohé sľubné európske startupy a </w:t>
      </w:r>
      <w:proofErr w:type="spellStart"/>
      <w:r w:rsidRPr="00375FB8">
        <w:t>scaleupy</w:t>
      </w:r>
      <w:proofErr w:type="spellEnd"/>
      <w:r w:rsidRPr="00375FB8">
        <w:t xml:space="preserve"> sa premiestňujú do tretích krajín z dôvodu zaťažujúceho, pomalého, roztriešteného a nepredvídateľného európskeho regulačného prostredia; zdôrazňuje, že ak sa tento trend nezvráti v podobe výrazného zjednodušenia, Európa bude naďalej strácať spoločnosti v najstrategickejšej fáze rastu, čo povedie k vytváraniu menšieho počtu pracovných miest a pomalšiemu hospodárskemu rastu; vyjadruje poľutovanie nad tým, že daňové a regulačné prahové hodnoty odrádzajú podniky od rastu, keďže po prekročení určitých úrovní veľkosti alebo obratu sa na základe týchto hodnôt ukladajú ďalšie zaťažujúce postupy;</w:t>
      </w:r>
    </w:p>
    <w:p w14:paraId="092C9589" w14:textId="77777777" w:rsidR="00601DA5" w:rsidRPr="00375FB8" w:rsidRDefault="00601DA5" w:rsidP="00601DA5">
      <w:pPr>
        <w:pStyle w:val="NormalHanging12a"/>
      </w:pPr>
      <w:r w:rsidRPr="00375FB8">
        <w:t>9.</w:t>
      </w:r>
      <w:r w:rsidRPr="00375FB8">
        <w:tab/>
        <w:t xml:space="preserve">vyzýva na ďalšie úsilie o zjednodušenie a nabáda Komisiu, aby predložila následné návrhy, ktoré presiahnu rámec jej súhrnných balíkov zjednodušujúcich opatrení a ktorými sa zavedú právne predpisy a rámce priaznivé pre startupy, ktoré uľahčia rast, rozšíriteľnosť a cezhraničnú činnosť startupov a </w:t>
      </w:r>
      <w:proofErr w:type="spellStart"/>
      <w:r w:rsidRPr="00375FB8">
        <w:t>scaleupov</w:t>
      </w:r>
      <w:proofErr w:type="spellEnd"/>
      <w:r w:rsidRPr="00375FB8">
        <w:t xml:space="preserve">, pričom zároveň zabezpečia ochranu spotrebiteľa, ochranu údajov a spravodlivú hospodársku súťaž; pripomína záväzok Komisie znížiť byrokraciu prostredníctvom horizontálneho prístupu vo všetkých oblastiach a vyzýva na systematické preverovanie </w:t>
      </w:r>
      <w:proofErr w:type="spellStart"/>
      <w:r w:rsidRPr="00375FB8">
        <w:rPr>
          <w:i/>
          <w:iCs/>
        </w:rPr>
        <w:t>acquis</w:t>
      </w:r>
      <w:proofErr w:type="spellEnd"/>
      <w:r w:rsidRPr="00375FB8">
        <w:t xml:space="preserve"> EÚ s cieľom identifikovať a odstrániť regulačné prekážky pre MSP;</w:t>
      </w:r>
    </w:p>
    <w:p w14:paraId="0E715A4D" w14:textId="77777777" w:rsidR="00601DA5" w:rsidRPr="00375FB8" w:rsidRDefault="00601DA5" w:rsidP="00601DA5">
      <w:pPr>
        <w:pStyle w:val="NormalHanging12a"/>
      </w:pPr>
      <w:r w:rsidRPr="00375FB8">
        <w:t>10.</w:t>
      </w:r>
      <w:r w:rsidRPr="00375FB8">
        <w:tab/>
        <w:t xml:space="preserve">zdôrazňuje, že po tom, ako Komisia prijala druhý súhrnný balík opatrení, treba zjednodušiť procesy pri vykonávaní Programu </w:t>
      </w:r>
      <w:proofErr w:type="spellStart"/>
      <w:r w:rsidRPr="00375FB8">
        <w:t>InvestEU</w:t>
      </w:r>
      <w:proofErr w:type="spellEnd"/>
      <w:r w:rsidRPr="00375FB8">
        <w:t xml:space="preserve"> s cieľom zabezpečiť, aby MSP – vrátane tých najmenších podnikov – mali ľahší prístup k finančnej podpore, ktorú potrebujú na rast a inovácie; zdôrazňuje, že je dôležité zabezpečiť, aby regulačné rámce a nástroje financované z prostriedkov EÚ boli úmerné veľkosti a administratívnej kapacite MSP a aby boli náležite prispôsobené MSP namiesto toho, aby len kopírovali požiadavky na väčšie spoločnosti; </w:t>
      </w:r>
    </w:p>
    <w:p w14:paraId="2DA1F1EC" w14:textId="77777777" w:rsidR="00601DA5" w:rsidRPr="00375FB8" w:rsidRDefault="00601DA5" w:rsidP="00601DA5">
      <w:pPr>
        <w:pStyle w:val="NormalHanging12a"/>
      </w:pPr>
      <w:r w:rsidRPr="00375FB8">
        <w:t>11.</w:t>
      </w:r>
      <w:r w:rsidRPr="00375FB8">
        <w:tab/>
        <w:t xml:space="preserve">konštatuje, že uloženie viacerých regulačných požiadaviek bankám môže mať negatívny vplyv na poskytovanie úverov pre MSP; zdôrazňuje, že je dôležité zabrániť duplicitným požiadavkám na podávanie správ a viacnásobným kanálom podávania správ, ktoré predstavujú zbytočnú administratívnu záťaž, najmä pre menšie banky; vyzýva Komisiu, aby s pomocou Európskeho orgánu pre bankovníctvo a jednotného mechanizmu dohľadu posúdila účinky súčasných regulačných pravidiel na poskytovanie úverov pre </w:t>
      </w:r>
      <w:r w:rsidRPr="00375FB8">
        <w:lastRenderedPageBreak/>
        <w:t>MSP; podčiarkuje potrebu uplatňovať v rámci bankovej regulácie zásadu proporcionality;</w:t>
      </w:r>
    </w:p>
    <w:p w14:paraId="38CABC2F" w14:textId="77777777" w:rsidR="00601DA5" w:rsidRPr="00375FB8" w:rsidRDefault="00601DA5" w:rsidP="00601DA5">
      <w:pPr>
        <w:pStyle w:val="NormalHanging12a"/>
      </w:pPr>
      <w:r w:rsidRPr="00375FB8">
        <w:t>12.</w:t>
      </w:r>
      <w:r w:rsidRPr="00375FB8">
        <w:tab/>
        <w:t>naliehavo vyzýva Komisiu, aby posúdila existujúce regulačné povinnosti, ktoré zaťažujú spoločnosti, ako napríklad rámec udržateľného financovania, ktorý je pre európske MSP nevhodný, a ďalšie povinnosti vyplývajúce z Európskej zelenej dohody, a aby vypracovala prahové hodnoty proporcionality s cieľom oslobodiť MSP od nadmerných povinností; víta navrhovanú novú kontrolu konkurencieschopnosti MSP; vyzýva Komisiu, aby zabezpečila, že všetky štandardy podávania správ o udržateľnosti budú jednoduché a dobrovoľné, a aby preskúmala požiadavky na zverejňovanie bankových informácií v rámci 3. piliera, ktoré môžu na klientov MSP nepriamo klásť neprimerané požiadavky na údaje;</w:t>
      </w:r>
    </w:p>
    <w:p w14:paraId="54A21B8F" w14:textId="77777777" w:rsidR="00601DA5" w:rsidRPr="00375FB8" w:rsidRDefault="00601DA5" w:rsidP="00601DA5">
      <w:pPr>
        <w:pStyle w:val="NormalHanging12a"/>
      </w:pPr>
      <w:r w:rsidRPr="00375FB8">
        <w:t>13.</w:t>
      </w:r>
      <w:r w:rsidRPr="00375FB8">
        <w:tab/>
        <w:t>zdôrazňuje, že prístup založený na zásade rovnováhy záťaže, ktorý sa v praxi dostatočne neuplatňuje, nestačí, a vyzýva Komisiu, aby navrhla ambicióznejšiu stratégiu zjednodušenia, ktorou sa zabezpečí právna istota a predvídateľnosť a zároveň sa preskúmajú právne predpisy úrovne 2 a 3; zdôrazňuje, že cieľ Komisie týkajúci sa zníženia povinností v oblasti podávania správ o 35 % musí byť merateľný a výsledky musia byť sledovateľné s jasným harmonogramom, kľúčovými ukazovateľmi výkonnosti a metodikou sledovania, ktorá je vhodná na daný účel;</w:t>
      </w:r>
    </w:p>
    <w:p w14:paraId="6A081789" w14:textId="77777777" w:rsidR="00601DA5" w:rsidRPr="00375FB8" w:rsidRDefault="00601DA5" w:rsidP="00601DA5">
      <w:pPr>
        <w:pStyle w:val="Normal12a24b"/>
      </w:pPr>
      <w:r w:rsidRPr="00375FB8">
        <w:rPr>
          <w:rStyle w:val="BoldItalic"/>
        </w:rPr>
        <w:t>Uvoľnenie súkromného kapitálu a úspor</w:t>
      </w:r>
    </w:p>
    <w:p w14:paraId="537BD3C3" w14:textId="77777777" w:rsidR="00601DA5" w:rsidRPr="00375FB8" w:rsidRDefault="00601DA5" w:rsidP="00601DA5">
      <w:pPr>
        <w:pStyle w:val="NormalHanging12a"/>
      </w:pPr>
      <w:r w:rsidRPr="00375FB8">
        <w:t>14.</w:t>
      </w:r>
      <w:r w:rsidRPr="00375FB8">
        <w:tab/>
        <w:t>konštatuje, že cieľom Komisie je zaviesť úniu úspor a investícií, ktorá musí zahŕňať nielen opatrenia na úrovni EÚ, ale aj vývoj nástrojov, riešení a najlepších postupov, ktoré rešpektujú a podporujú opatrenia členských štátov na vnútroštátnej úrovni a podporujú cezhraničnú súdržnosť a postupné znižovanie kritických rozdielov;</w:t>
      </w:r>
    </w:p>
    <w:p w14:paraId="5077B662" w14:textId="77777777" w:rsidR="00601DA5" w:rsidRPr="00375FB8" w:rsidRDefault="00601DA5" w:rsidP="00601DA5">
      <w:pPr>
        <w:pStyle w:val="NormalHanging12a"/>
      </w:pPr>
      <w:r w:rsidRPr="00375FB8">
        <w:t>15.</w:t>
      </w:r>
      <w:r w:rsidRPr="00375FB8">
        <w:tab/>
        <w:t xml:space="preserve">vyzýva Komisiu, aby zlepšila prístup investorov k informáciám a ochrane a zároveň využila potenciál zjednodušených </w:t>
      </w:r>
      <w:proofErr w:type="spellStart"/>
      <w:r w:rsidRPr="00375FB8">
        <w:t>retailových</w:t>
      </w:r>
      <w:proofErr w:type="spellEnd"/>
      <w:r w:rsidRPr="00375FB8">
        <w:t xml:space="preserve"> produktov nato, aby pomohla nasmerovať úspory domácností na kapitálové trhy, a pripomína dôležitú úlohu, ktorú zohrávajú dôchodkové fondy a poisťovne ako sprostredkovatelia tohto smerovania; berie na vedomie zavedenie značky </w:t>
      </w:r>
      <w:proofErr w:type="spellStart"/>
      <w:r w:rsidRPr="00375FB8">
        <w:t>Finance</w:t>
      </w:r>
      <w:proofErr w:type="spellEnd"/>
      <w:r w:rsidRPr="00375FB8">
        <w:t xml:space="preserve"> </w:t>
      </w:r>
      <w:proofErr w:type="spellStart"/>
      <w:r w:rsidRPr="00375FB8">
        <w:t>Europe</w:t>
      </w:r>
      <w:proofErr w:type="spellEnd"/>
      <w:r w:rsidRPr="00375FB8">
        <w:t>, ktorá by mala umožniť sporiteľom, ktorí si to želajú, investovať svoje úspory do európskych spoločností, a tým priamo prispievať k financovaniu hospodárstva Únie; zdôrazňuje, že táto značka by nemala spoločnostiam prinášať žiadnu ďalšiu administratívnu záťaž;</w:t>
      </w:r>
    </w:p>
    <w:p w14:paraId="1B9C9F93" w14:textId="77777777" w:rsidR="00601DA5" w:rsidRPr="00375FB8" w:rsidRDefault="00601DA5" w:rsidP="00601DA5">
      <w:pPr>
        <w:pStyle w:val="NormalHanging12a"/>
      </w:pPr>
      <w:r w:rsidRPr="00375FB8">
        <w:t>16.</w:t>
      </w:r>
      <w:r w:rsidRPr="00375FB8">
        <w:tab/>
        <w:t>vyjadruje poľutovanie nad tým, že nariadenie o európskych fondoch rizikového kapitálu (</w:t>
      </w:r>
      <w:proofErr w:type="spellStart"/>
      <w:r w:rsidRPr="00375FB8">
        <w:t>EuVECA</w:t>
      </w:r>
      <w:proofErr w:type="spellEnd"/>
      <w:r w:rsidRPr="00375FB8">
        <w:t>)</w:t>
      </w:r>
      <w:r w:rsidRPr="00375FB8">
        <w:rPr>
          <w:rStyle w:val="FootnoteReference"/>
        </w:rPr>
        <w:footnoteReference w:id="5"/>
      </w:r>
      <w:r w:rsidRPr="00375FB8">
        <w:t xml:space="preserve"> malo len malý pozitívny vplyv na miestne trhy s rizikovým kapitálom; víta, že oznámenie Komisie o únii úspor a investícií sa zameriava na rizikový kapitál pre mladé, inovatívne MSP, vyjadruje však poľutovanie nad tým, že návrh Komisie týkajúci sa </w:t>
      </w:r>
      <w:proofErr w:type="spellStart"/>
      <w:r w:rsidRPr="00375FB8">
        <w:t>EuVECA</w:t>
      </w:r>
      <w:proofErr w:type="spellEnd"/>
      <w:r w:rsidRPr="00375FB8">
        <w:t xml:space="preserve"> bol odložený až na 3. štvrťrok 2026; vyzýva Komisiu, aby zvážila zrušenie minimálnej výšky investície na úrovni 100 000 EUR s cieľom umožniť súkromným sporiteľom investovať do alternatívnych fondov; naliehavo vyzýva Komisiu, aby nabádala členské štáty k tomu, aby zabezpečovali atraktívne a stabilné daňové a regulačné rámce pre fondy rizikového kapitálu investujúce do MSP;</w:t>
      </w:r>
    </w:p>
    <w:p w14:paraId="62A2994D" w14:textId="77777777" w:rsidR="00601DA5" w:rsidRPr="00375FB8" w:rsidRDefault="00601DA5" w:rsidP="00601DA5">
      <w:pPr>
        <w:pStyle w:val="NormalHanging12a"/>
      </w:pPr>
      <w:r w:rsidRPr="00375FB8">
        <w:lastRenderedPageBreak/>
        <w:t>17.</w:t>
      </w:r>
      <w:r w:rsidRPr="00375FB8">
        <w:tab/>
        <w:t>dôrazne upozorňuje na to, že je potrebné zlepšiť finančnú gramotnosť občanov a podnikateľov EÚ a podporovať lepšie sporiace a investičné podmienky, ktoré umožnia informovaný a nezávislý prechod od sporenia k investíciám; vyzýva Komisiu, aby zahrnula podnikanie do rozsahu nadchádzajúcej stratégie finančnej gramotnosti a do súboru nástrojov pre členské štáty na zlepšenie koordinácie v tomto smere;</w:t>
      </w:r>
    </w:p>
    <w:p w14:paraId="12E00314" w14:textId="77777777" w:rsidR="00601DA5" w:rsidRPr="00375FB8" w:rsidRDefault="00601DA5" w:rsidP="00601DA5">
      <w:pPr>
        <w:pStyle w:val="NormalHanging12a"/>
      </w:pPr>
      <w:r w:rsidRPr="00375FB8">
        <w:t>18.</w:t>
      </w:r>
      <w:r w:rsidRPr="00375FB8">
        <w:tab/>
        <w:t xml:space="preserve">žiada, aby sa verejné financovanie nepoužívalo ako dotácie, ale skôr ako katalyzátor na mobilizáciu súkromných investícií a sprístupnenie väčšieho množstva súkromných finančných prostriedkov </w:t>
      </w:r>
      <w:proofErr w:type="spellStart"/>
      <w:r w:rsidRPr="00375FB8">
        <w:t>mikropodnikom</w:t>
      </w:r>
      <w:proofErr w:type="spellEnd"/>
      <w:r w:rsidRPr="00375FB8">
        <w:t xml:space="preserve"> a MSP; </w:t>
      </w:r>
      <w:bookmarkStart w:id="8" w:name="_Hlk210313322"/>
      <w:r w:rsidRPr="00375FB8">
        <w:t xml:space="preserve">pripomína, že väčšina týchto investícií musí byť súkromná, a zdôrazňuje, že ich musia stimulovať atraktívne a stabilné daňové a regulačné rámce, ktoré sú príťažlivé pre profesionálnych aj </w:t>
      </w:r>
      <w:proofErr w:type="spellStart"/>
      <w:r w:rsidRPr="00375FB8">
        <w:t>retailových</w:t>
      </w:r>
      <w:proofErr w:type="spellEnd"/>
      <w:r w:rsidRPr="00375FB8">
        <w:t xml:space="preserve"> investorov; pripomína súčasné štrukturálne zvýhodňovanie úverov a považuje za potrebné otvoriť diskusiu o potrebe kapitálových daňových stimulov, ako aj podporovať rizikový kapitál ako súčasť obchodného modelu tradičného bankovníctva bez ohrozenia finančnej stability</w:t>
      </w:r>
      <w:bookmarkEnd w:id="8"/>
      <w:r w:rsidRPr="00375FB8">
        <w:t>;</w:t>
      </w:r>
    </w:p>
    <w:p w14:paraId="36E2E384" w14:textId="77777777" w:rsidR="00601DA5" w:rsidRPr="00375FB8" w:rsidRDefault="00601DA5" w:rsidP="00601DA5">
      <w:pPr>
        <w:pStyle w:val="NormalHanging12a"/>
      </w:pPr>
      <w:r w:rsidRPr="00375FB8">
        <w:t>19.</w:t>
      </w:r>
      <w:r w:rsidRPr="00375FB8">
        <w:tab/>
        <w:t xml:space="preserve">zdôrazňuje, že verejný sektor môže zohrávať kľúčovú úlohu pri mobilizácii súkromného kapitálu, najmä v informačne asymetrických odvetviach alebo v regiónoch s nedostatočne rozvinutými finančnými trhmi; žiada, aby sa verejné nástroje navrhovali efektívne, podľa zásady konkurenčnej neutrality a so zameraním na vplyv, čím sa maximalizuje ich efekt vťahovania súkromných investícií; v tejto súvislosti zdôrazňuje, že treba naplno využiť potenciál skupiny Európskej investičnej banky (EIB) na vťahovanie súkromných investícií a že táto skupina musí vyčleniť viac zdrojov na inovačné projekty MSP, startupy a </w:t>
      </w:r>
      <w:proofErr w:type="spellStart"/>
      <w:r w:rsidRPr="00375FB8">
        <w:t>scaleupy</w:t>
      </w:r>
      <w:proofErr w:type="spellEnd"/>
      <w:r w:rsidRPr="00375FB8">
        <w:t>; okrem toho zdôrazňuje úlohu Európskeho fondu regionálneho rozvoja, najmä v regiónoch s obmedzenou dostupnosťou úverov a vzhľadom na skutočnosť, že náklady na úvery sa v rámci EÚ líšia, čo v niektorých členských štátoch znevýhodňuje MSP;</w:t>
      </w:r>
    </w:p>
    <w:p w14:paraId="393F2335" w14:textId="77777777" w:rsidR="00601DA5" w:rsidRPr="00375FB8" w:rsidRDefault="00601DA5" w:rsidP="00601DA5">
      <w:pPr>
        <w:pStyle w:val="NormalHanging12a"/>
      </w:pPr>
      <w:r w:rsidRPr="00375FB8">
        <w:t>20.</w:t>
      </w:r>
      <w:r w:rsidRPr="00375FB8">
        <w:tab/>
        <w:t xml:space="preserve">berie na vedomie zverejnenie revízie </w:t>
      </w:r>
      <w:proofErr w:type="spellStart"/>
      <w:r w:rsidRPr="00375FB8">
        <w:t>sekuritizačného</w:t>
      </w:r>
      <w:proofErr w:type="spellEnd"/>
      <w:r w:rsidRPr="00375FB8">
        <w:t xml:space="preserve"> rámca a vyzýva Komisiu, aby zvýšila jeho flexibilitu a umožnila tak úverovým inštitúciám poskytovať ďalšie finančné prostriedky spoločnostiam vrátane MSP a podporovať ich rast bez narušenia transparentnosti a kreditnej kvality; zdôrazňuje, že na tento účel sa musí posilniť spoľahlivosť rámca prenosu významného rizika, a to zavedením väčšej citlivosti na riziká a zlepšením dohľadu, čo prispeje k zjednodušeniu;</w:t>
      </w:r>
    </w:p>
    <w:p w14:paraId="46368371" w14:textId="77777777" w:rsidR="00601DA5" w:rsidRPr="00375FB8" w:rsidRDefault="00601DA5" w:rsidP="00601DA5">
      <w:pPr>
        <w:pStyle w:val="NormalHanging12a"/>
      </w:pPr>
      <w:r w:rsidRPr="00375FB8">
        <w:t>21.</w:t>
      </w:r>
      <w:r w:rsidRPr="00375FB8">
        <w:tab/>
        <w:t>berie na vedomie cieľ Komisie vypracovať koncepciu investičného sporiaceho účtu EÚ, ktorá by mala zahŕňať i) zjednodušený postup podávania daňového priznania, ii) sprievodné daňové stimuly a iii) neexistenciu obmedzení týkajúcich sa zemepisnej polohy investície, odvetvia, limitov vkladov alebo minimálnych období držby;</w:t>
      </w:r>
    </w:p>
    <w:p w14:paraId="345D6210" w14:textId="77777777" w:rsidR="00601DA5" w:rsidRPr="00375FB8" w:rsidRDefault="00601DA5" w:rsidP="00601DA5">
      <w:pPr>
        <w:pStyle w:val="NormalHanging12a"/>
      </w:pPr>
      <w:r w:rsidRPr="00375FB8">
        <w:t>22.</w:t>
      </w:r>
      <w:r w:rsidRPr="00375FB8">
        <w:tab/>
        <w:t>uznáva ústrednú úlohu, ktorú v hospodárskom raste a prosperite EÚ zohráva súkromný sektor; zdôrazňuje, že akýkoľvek pokrok smerom k integrácii kapitálových trhov musí vychádzať zo zásad hospodárskej slobody, hospodárskej súťaže a právnej istoty;</w:t>
      </w:r>
    </w:p>
    <w:p w14:paraId="7D87DBBF" w14:textId="77777777" w:rsidR="00601DA5" w:rsidRPr="00375FB8" w:rsidRDefault="00601DA5" w:rsidP="00601DA5">
      <w:pPr>
        <w:pStyle w:val="NormalHanging12a"/>
      </w:pPr>
      <w:r w:rsidRPr="00375FB8">
        <w:t>23.</w:t>
      </w:r>
      <w:r w:rsidRPr="00375FB8">
        <w:tab/>
        <w:t>zdôrazňuje, že európsky trh s priamymi sekundárnymi transakciami, ktorý by umožnil obchodovanie s akciami startupov v neskorom štádiu a v štádiu pred IPO (prvotná verejná ponuka akcií), by posilnil ekosystém financovania Únie, pokiaľ by zabezpečoval rovnaké podmienky medzi členskými štátmi, bránil koncentrácii finančnej činnosti len v niekoľkých jurisdikciách a plne rešpektoval vnútroštátne právomoci;</w:t>
      </w:r>
    </w:p>
    <w:p w14:paraId="600629B8" w14:textId="77777777" w:rsidR="00601DA5" w:rsidRPr="00375FB8" w:rsidRDefault="00601DA5" w:rsidP="00601DA5">
      <w:pPr>
        <w:pStyle w:val="NormalHanging12a"/>
      </w:pPr>
      <w:r w:rsidRPr="00375FB8">
        <w:lastRenderedPageBreak/>
        <w:t>24.</w:t>
      </w:r>
      <w:r w:rsidRPr="00375FB8">
        <w:tab/>
        <w:t>konštatuje, že v prepracovanom znení smernice o trhoch s finančnými nástrojmi</w:t>
      </w:r>
      <w:r w:rsidRPr="00375FB8">
        <w:rPr>
          <w:rStyle w:val="FootnoteReference"/>
        </w:rPr>
        <w:footnoteReference w:id="6"/>
      </w:r>
      <w:r w:rsidRPr="00375FB8">
        <w:t xml:space="preserve"> (</w:t>
      </w:r>
      <w:proofErr w:type="spellStart"/>
      <w:r w:rsidRPr="00375FB8">
        <w:t>MiFID</w:t>
      </w:r>
      <w:proofErr w:type="spellEnd"/>
      <w:r w:rsidRPr="00375FB8">
        <w:t xml:space="preserve"> II) sa stanovuje osobitná kategória rastových trhov MSP, ktoré majú uspokojiť osobitné potreby menších spoločností; vyzýva Komisiu, aby tento nástroj ďalej rozvíjala tým, že zabezpečí pružnejší regulačný režim, ktorý zodpovedá potrebám malých spoločností a spoločností so strednou trhovou kapitalizáciou;</w:t>
      </w:r>
    </w:p>
    <w:p w14:paraId="677B5115" w14:textId="77777777" w:rsidR="00601DA5" w:rsidRPr="00375FB8" w:rsidRDefault="00601DA5" w:rsidP="00601DA5">
      <w:pPr>
        <w:pStyle w:val="Normal12a24b"/>
      </w:pPr>
      <w:r w:rsidRPr="00375FB8">
        <w:rPr>
          <w:rStyle w:val="BoldItalic"/>
        </w:rPr>
        <w:t>Riešenie nedostatočného financovania rozširujúcich sa podnikov</w:t>
      </w:r>
    </w:p>
    <w:p w14:paraId="00E27949" w14:textId="77777777" w:rsidR="00601DA5" w:rsidRPr="00375FB8" w:rsidRDefault="00601DA5" w:rsidP="00601DA5">
      <w:pPr>
        <w:pStyle w:val="NormalHanging12a"/>
      </w:pPr>
      <w:r w:rsidRPr="00375FB8">
        <w:t>25.</w:t>
      </w:r>
      <w:r w:rsidRPr="00375FB8">
        <w:tab/>
        <w:t xml:space="preserve">vyjadruje poľutovanie nad tým, že vzhľadom na nedostatok atraktívnych možností financovania pre </w:t>
      </w:r>
      <w:proofErr w:type="spellStart"/>
      <w:r w:rsidRPr="00375FB8">
        <w:t>scaleupy</w:t>
      </w:r>
      <w:proofErr w:type="spellEnd"/>
      <w:r w:rsidRPr="00375FB8">
        <w:t xml:space="preserve"> na našom trhu a neexistenciu konkurenčného regulačného prostredia mnohé európske podniky nakoniec využijú investorov rizikového kapitálu so sídlom v tretích krajinách a usadia sa na trhoch tretích krajín, kde svoje podniky rozširujú; vyjadruje znepokojenie nad rastúcim počtom zlyhaní MSP v EÚ</w:t>
      </w:r>
      <w:r w:rsidRPr="00375FB8">
        <w:rPr>
          <w:rStyle w:val="FootnoteReference"/>
        </w:rPr>
        <w:footnoteReference w:id="7"/>
      </w:r>
      <w:r w:rsidRPr="00375FB8">
        <w:t>; považuje za prioritu riešiť základné príčiny, ako je nedostatok dlhodobého kapitálu, daňový tlak počas rozširovania a neprimeraná administratívna záťaž;</w:t>
      </w:r>
    </w:p>
    <w:p w14:paraId="0B539328" w14:textId="77777777" w:rsidR="00601DA5" w:rsidRPr="00375FB8" w:rsidRDefault="00601DA5" w:rsidP="00601DA5">
      <w:pPr>
        <w:pStyle w:val="NormalHanging12a"/>
      </w:pPr>
      <w:r w:rsidRPr="00375FB8">
        <w:t>26.</w:t>
      </w:r>
      <w:r w:rsidRPr="00375FB8">
        <w:tab/>
        <w:t xml:space="preserve">chápe, že kľúčom k riešeniu nedostatočného financovania </w:t>
      </w:r>
      <w:proofErr w:type="spellStart"/>
      <w:r w:rsidRPr="00375FB8">
        <w:t>scaleupov</w:t>
      </w:r>
      <w:proofErr w:type="spellEnd"/>
      <w:r w:rsidRPr="00375FB8">
        <w:t xml:space="preserve"> je mobilizácia európskych inštitucionálnych investorov, najmä poisťovní, bánk a dôchodkových fondov; konštatuje, že treba zvýšiť podiel fondov rizikového kapitálu v Európe s cieľom poskytnúť viac finančných prostriedkov </w:t>
      </w:r>
      <w:proofErr w:type="spellStart"/>
      <w:r w:rsidRPr="00375FB8">
        <w:t>scaleupom</w:t>
      </w:r>
      <w:proofErr w:type="spellEnd"/>
      <w:r w:rsidRPr="00375FB8">
        <w:t>, ktoré potrebujú priaznivejší rámec pre financovanie rizikového kapitálu a bezpečné priame zahraničné investície v EÚ; vyzýva Komisiu, aby nabádala členské štáty s nedostatočne rozvinutými dôchodkovými systémami, aby rozvíjali sektory doplnkového dôchodkového zabezpečenia (2. pilier), ktoré by mohli pomôcť vybudovať trhy s rizikovým kapitálom, a aby vytvorili regulačné prostredie, ktoré podporuje kapitálové investície inštitucionálnych investorov; pripomína záväzok Komisie pracovať na opatreniach na absorpciu rizík s cieľom vtiahnuť súkromné financovanie, ktoré by poskytli komerčné banky, investori a rizikový kapitál;</w:t>
      </w:r>
    </w:p>
    <w:p w14:paraId="20410A66" w14:textId="77777777" w:rsidR="00601DA5" w:rsidRPr="00375FB8" w:rsidRDefault="00601DA5" w:rsidP="00601DA5">
      <w:pPr>
        <w:pStyle w:val="NormalHanging12a"/>
      </w:pPr>
      <w:r w:rsidRPr="00375FB8">
        <w:t>27.</w:t>
      </w:r>
      <w:r w:rsidRPr="00375FB8">
        <w:tab/>
        <w:t xml:space="preserve">nabáda Komisiu, aby posilnila platformy spoluinvestovania vrátane regionálne ukotvených nástrojov a sietí podnikateľských anjelov s cieľom vtiahnuť súkromný kapitál a odstrániť pretrvávajúce medzery v počiatočnej fáze financovania rýchlo rastúcich MSP orientovaných na inovácie; vyzýva na primeranú kapitalizáciu nadchádzajúcej iniciatívy Európski technologickí šampióni 2.0 a na zavedenie špecializovaných systémov financovania EÚ, ktoré podporujú získavanie finančných prostriedkov a kótovanie startupov a rozširujúcich sa technologických spoločností; zdôrazňuje mandát skupiny EIB podporovať MSP a naliehavo ju vyzýva, aby prijala flexibilnejší rámec pre posúdenie rizík a zabezpečila, aby bola nová platforma </w:t>
      </w:r>
      <w:proofErr w:type="spellStart"/>
      <w:r w:rsidRPr="00375FB8">
        <w:t>TechEU</w:t>
      </w:r>
      <w:proofErr w:type="spellEnd"/>
      <w:r w:rsidRPr="00375FB8">
        <w:t xml:space="preserve"> prostredníctvom zjednodušených postupov široko prístupná vo všetkých členských štátoch; súhlasí s oznámením o únii úspor a investícií, v ktorom sa opisuje význam verejných financií na úrovni EÚ, a preto sa zasadzuje za presmerovanie finančných </w:t>
      </w:r>
      <w:r w:rsidRPr="00375FB8">
        <w:lastRenderedPageBreak/>
        <w:t>prostriedkov EÚ do menšieho počtu pružnejších programov, v rámci ktorých sa časom môžu zdroje presúvať medzi jednotlivými prioritami;</w:t>
      </w:r>
    </w:p>
    <w:p w14:paraId="7A38B81D" w14:textId="77777777" w:rsidR="00601DA5" w:rsidRPr="00375FB8" w:rsidRDefault="00601DA5" w:rsidP="00601DA5">
      <w:pPr>
        <w:pStyle w:val="NormalHanging12a"/>
      </w:pPr>
      <w:r w:rsidRPr="00375FB8">
        <w:t>28.</w:t>
      </w:r>
      <w:r w:rsidRPr="00375FB8">
        <w:tab/>
        <w:t xml:space="preserve">zdôrazňuje, že je dôležité vytvoriť správne podmienky nato, aby úspory občanov smerovali do produktívnych investičných nástrojov, ktoré môžu byť prínosom pre MSP a rozširujúce sa podniky; nabáda Komisiu, aby odstránila regulačné </w:t>
      </w:r>
      <w:proofErr w:type="spellStart"/>
      <w:r w:rsidRPr="00375FB8">
        <w:t>demotivačné</w:t>
      </w:r>
      <w:proofErr w:type="spellEnd"/>
      <w:r w:rsidRPr="00375FB8">
        <w:t xml:space="preserve"> faktory pre </w:t>
      </w:r>
      <w:proofErr w:type="spellStart"/>
      <w:r w:rsidRPr="00375FB8">
        <w:t>retailové</w:t>
      </w:r>
      <w:proofErr w:type="spellEnd"/>
      <w:r w:rsidRPr="00375FB8">
        <w:t xml:space="preserve"> investičné produkty a zabezpečila primeranú ochranu </w:t>
      </w:r>
      <w:proofErr w:type="spellStart"/>
      <w:r w:rsidRPr="00375FB8">
        <w:t>retailových</w:t>
      </w:r>
      <w:proofErr w:type="spellEnd"/>
      <w:r w:rsidRPr="00375FB8">
        <w:t xml:space="preserve"> investorov pri prijímaní investičných rozhodnutí; uznáva, že hromadné financovanie a technológie, ako sú inteligentné zmluvy a decentralizované financovanie, môžu rozšíriť prístup MSP k priamemu financovaniu, a naliehavo vyzýva Komisiu, aby preskúmala svoj regulačný rámec na základe prístupu zameraného na inovácie, ktorý primerane zohľadňuje riziko;</w:t>
      </w:r>
    </w:p>
    <w:p w14:paraId="6CFC3CE9" w14:textId="77777777" w:rsidR="00601DA5" w:rsidRPr="00375FB8" w:rsidRDefault="00601DA5" w:rsidP="00601DA5">
      <w:pPr>
        <w:pStyle w:val="NormalHanging12a"/>
      </w:pPr>
      <w:r w:rsidRPr="00375FB8">
        <w:t>29.</w:t>
      </w:r>
      <w:r w:rsidRPr="00375FB8">
        <w:tab/>
        <w:t xml:space="preserve">zdôrazňuje, že integrovanejší inovačný ekosystém so sieťami univerzít, startupov, veľkých podnikov a investorov rizikového kapitálu, ktorý sa opiera o prístup k testovacím zariadeniam a technologickej infraštruktúre, má pre rozširovanie podnikov kľúčový význam; zdôrazňuje pozitívnu úlohu, ktorú môžu pri podpore rastu startupov zohrávať podnikateľské fóra, súkromní </w:t>
      </w:r>
      <w:proofErr w:type="spellStart"/>
      <w:r w:rsidRPr="00375FB8">
        <w:t>akcelerátori</w:t>
      </w:r>
      <w:proofErr w:type="spellEnd"/>
      <w:r w:rsidRPr="00375FB8">
        <w:t xml:space="preserve"> a mentorské siete, a vyzýva Komisiu a členské štáty, aby stavali na iniciatívach, ako je sieť dôveryhodných investorov, ktorej cieľom je mobilizovať súkromný kapitál na podporu inovačných ambícií Európy;</w:t>
      </w:r>
    </w:p>
    <w:p w14:paraId="23B9AF5B" w14:textId="77777777" w:rsidR="00601DA5" w:rsidRPr="00375FB8" w:rsidRDefault="00601DA5" w:rsidP="00601DA5">
      <w:pPr>
        <w:pStyle w:val="Normal12a24b"/>
      </w:pPr>
      <w:r w:rsidRPr="00375FB8">
        <w:rPr>
          <w:rStyle w:val="BoldItalic"/>
        </w:rPr>
        <w:t>Posilnenie konkurencieschopného ekosystému v EÚ</w:t>
      </w:r>
    </w:p>
    <w:p w14:paraId="25890183" w14:textId="77777777" w:rsidR="00601DA5" w:rsidRPr="00375FB8" w:rsidRDefault="00601DA5" w:rsidP="00601DA5">
      <w:pPr>
        <w:pStyle w:val="NormalHanging12a"/>
      </w:pPr>
      <w:r w:rsidRPr="00375FB8">
        <w:t>30.</w:t>
      </w:r>
      <w:r w:rsidRPr="00375FB8">
        <w:tab/>
        <w:t xml:space="preserve">domnieva sa, že konkurencieschopný ekosystém v EÚ musia tvoriť silné vnútroštátne trhy aj silný vnútorný trh a že zdravá hospodárska súťaž medzi členskými štátmi, najmä pokiaľ ide o hospodárske a regulačné prístupy, ich motivuje k tomu, aby si zachovali dynamiku a atraktívnosť svojich ekonomík, hoci pripomína, že členské štáty nesmú vytvárať prekážky v účinnom cezhraničnom prideľovaní kapitálu ani stanovovať priority výlučne na základe geografického pôvodu finančných prostriedkov; </w:t>
      </w:r>
      <w:bookmarkStart w:id="9" w:name="_Hlk210313711"/>
      <w:r w:rsidRPr="00375FB8">
        <w:t>žiada, aby iniciatívy Komisie rešpektovali najlepšie postupy, ktoré sa už v členských štátoch osvedčili, a stavali na týchto postupoch;</w:t>
      </w:r>
    </w:p>
    <w:bookmarkEnd w:id="9"/>
    <w:p w14:paraId="140BD50F" w14:textId="77777777" w:rsidR="00601DA5" w:rsidRPr="00375FB8" w:rsidRDefault="00601DA5" w:rsidP="00601DA5">
      <w:pPr>
        <w:pStyle w:val="NormalHanging12a"/>
      </w:pPr>
      <w:r w:rsidRPr="00375FB8">
        <w:t>31.</w:t>
      </w:r>
      <w:r w:rsidRPr="00375FB8">
        <w:tab/>
        <w:t>naliehavo vyzýva Komisiu, aby sa zamerala na základné podmienky pre trhy, príslušné spoločné menovatele pre členské štáty a dobrovoľné a doplnkové rámce zamerané na postupné znižovanie fragmentácie trhu;</w:t>
      </w:r>
    </w:p>
    <w:p w14:paraId="24F96B74" w14:textId="77777777" w:rsidR="00601DA5" w:rsidRPr="00375FB8" w:rsidRDefault="00601DA5" w:rsidP="00601DA5">
      <w:pPr>
        <w:pStyle w:val="NormalHanging12a"/>
      </w:pPr>
      <w:r w:rsidRPr="00375FB8">
        <w:t>32.</w:t>
      </w:r>
      <w:r w:rsidRPr="00375FB8">
        <w:tab/>
        <w:t xml:space="preserve">vyzýva Komisiu, aby objasnila, z čoho by pozostával 28. právny režim, a pripomína, že ak by sa mal zaviesť, musel by byť dobrovoľný, plne rešpektovať režimy členských štátov a musel by sa rozvíjať v úzkej spolupráci so súkromným sektorom s cieľom ponúknuť zjednodušený rámec, ktorý priláka súkromných investorov do európskych startupov, </w:t>
      </w:r>
      <w:proofErr w:type="spellStart"/>
      <w:r w:rsidRPr="00375FB8">
        <w:t>scaleupov</w:t>
      </w:r>
      <w:proofErr w:type="spellEnd"/>
      <w:r w:rsidRPr="00375FB8">
        <w:t xml:space="preserve"> a MSP a pomôže európskym startupom stať sa globálnymi technologickými šampiónmi;</w:t>
      </w:r>
    </w:p>
    <w:p w14:paraId="0F9C142A" w14:textId="1F3943F2" w:rsidR="00601DA5" w:rsidRPr="00375FB8" w:rsidRDefault="00601DA5" w:rsidP="00601DA5">
      <w:pPr>
        <w:pStyle w:val="NormalHanging12a"/>
      </w:pPr>
      <w:r w:rsidRPr="00375FB8">
        <w:t>33.</w:t>
      </w:r>
      <w:r w:rsidRPr="00375FB8">
        <w:tab/>
        <w:t xml:space="preserve">vyzýva Komisiu, aby s podporou orgánov členských štátov vytvorila zjednodušené usmerňovacie nástroje a zriadila jednotné kontaktné miesta pre MSP a rozširujúce sa podniky s cieľom pomôcť im orientovať sa v rôznych právnych systémoch v celej EÚ v otázkach, ako je právo obchodných spoločností, pracovné právo, </w:t>
      </w:r>
      <w:proofErr w:type="spellStart"/>
      <w:r w:rsidRPr="00375FB8">
        <w:t>insolvenčné</w:t>
      </w:r>
      <w:proofErr w:type="spellEnd"/>
      <w:r w:rsidRPr="00375FB8">
        <w:t xml:space="preserve"> právo, daňové právo, práva duševného vlastníctva a možnosti vnútroštátneho financovania; okrem toho vyzýva Komisiu, aby zlepšila nástroje na monitorovanie prístupu MSP k financovaniu vrátane vypracovania </w:t>
      </w:r>
      <w:proofErr w:type="spellStart"/>
      <w:r w:rsidRPr="00375FB8">
        <w:t>celoúnijných</w:t>
      </w:r>
      <w:proofErr w:type="spellEnd"/>
      <w:r w:rsidRPr="00375FB8">
        <w:t xml:space="preserve"> ukazovateľov a prehľadov, ktoré im </w:t>
      </w:r>
      <w:r w:rsidRPr="00375FB8">
        <w:lastRenderedPageBreak/>
        <w:t>môžu pomôcť identifikovať príležitosti vo všetkých členských štátoch bez vytvárania nových povinností v oblasti podávania správ alebo zvyšovania administratívnej záťaže;</w:t>
      </w:r>
    </w:p>
    <w:p w14:paraId="0A942621" w14:textId="70877A34" w:rsidR="00787B08" w:rsidRPr="00375FB8" w:rsidRDefault="00787B08" w:rsidP="00787B08">
      <w:pPr>
        <w:pStyle w:val="NormalHanging12a"/>
        <w:ind w:left="0" w:firstLine="0"/>
        <w:jc w:val="center"/>
      </w:pPr>
      <w:r w:rsidRPr="00375FB8">
        <w:t>°</w:t>
      </w:r>
    </w:p>
    <w:p w14:paraId="6DF74A77" w14:textId="42F0A72C" w:rsidR="00787B08" w:rsidRPr="00375FB8" w:rsidRDefault="00787B08" w:rsidP="00787B08">
      <w:pPr>
        <w:pStyle w:val="NormalHanging12a"/>
        <w:ind w:left="0" w:firstLine="0"/>
        <w:jc w:val="center"/>
      </w:pPr>
      <w:r w:rsidRPr="00375FB8">
        <w:t>°     °</w:t>
      </w:r>
    </w:p>
    <w:p w14:paraId="6E0E5833" w14:textId="57A1B6EB" w:rsidR="003570C4" w:rsidRPr="00375FB8" w:rsidRDefault="00601DA5" w:rsidP="003570C4">
      <w:pPr>
        <w:pStyle w:val="NormalHanging12a"/>
      </w:pPr>
      <w:r w:rsidRPr="00375FB8">
        <w:t>34.</w:t>
      </w:r>
      <w:r w:rsidRPr="00375FB8">
        <w:tab/>
        <w:t>poveruje svoju predsedníčku, aby postúpila toto uznesenie Rade a Komisii.</w:t>
      </w:r>
    </w:p>
    <w:p w14:paraId="1542A39F" w14:textId="4F836DFE" w:rsidR="00E365E1" w:rsidRPr="00375FB8" w:rsidRDefault="00E365E1" w:rsidP="000119E7"/>
    <w:sectPr w:rsidR="00E365E1" w:rsidRPr="00375FB8" w:rsidSect="003570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8046C" w14:textId="77777777" w:rsidR="000119E7" w:rsidRPr="003570C4" w:rsidRDefault="000119E7">
      <w:r w:rsidRPr="003570C4">
        <w:separator/>
      </w:r>
    </w:p>
  </w:endnote>
  <w:endnote w:type="continuationSeparator" w:id="0">
    <w:p w14:paraId="24455E2E" w14:textId="77777777" w:rsidR="000119E7" w:rsidRPr="003570C4" w:rsidRDefault="000119E7">
      <w:r w:rsidRPr="003570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3E946" w14:textId="77777777" w:rsidR="00064002" w:rsidRPr="003570C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E2FF9" w14:textId="77777777" w:rsidR="00064002" w:rsidRPr="003570C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83979" w14:textId="77777777" w:rsidR="00064002" w:rsidRPr="003570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47C3E" w14:textId="77777777" w:rsidR="000119E7" w:rsidRPr="003570C4" w:rsidRDefault="000119E7">
      <w:r w:rsidRPr="003570C4">
        <w:separator/>
      </w:r>
    </w:p>
  </w:footnote>
  <w:footnote w:type="continuationSeparator" w:id="0">
    <w:p w14:paraId="0523E7E4" w14:textId="77777777" w:rsidR="000119E7" w:rsidRPr="003570C4" w:rsidRDefault="000119E7">
      <w:r w:rsidRPr="003570C4">
        <w:continuationSeparator/>
      </w:r>
    </w:p>
  </w:footnote>
  <w:footnote w:id="1">
    <w:p w14:paraId="267E4ED3" w14:textId="31214AD5" w:rsidR="00601DA5" w:rsidRPr="003570C4" w:rsidRDefault="00601DA5" w:rsidP="003570C4">
      <w:pPr>
        <w:pStyle w:val="FootnoteText"/>
        <w:ind w:left="567" w:hanging="567"/>
        <w:rPr>
          <w:sz w:val="24"/>
          <w:lang w:val="sk-SK"/>
        </w:rPr>
      </w:pPr>
      <w:r w:rsidRPr="003570C4">
        <w:rPr>
          <w:sz w:val="24"/>
          <w:vertAlign w:val="superscript"/>
          <w:lang w:val="sk-SK"/>
        </w:rPr>
        <w:footnoteRef/>
      </w:r>
      <w:r w:rsidR="003570C4" w:rsidRPr="003570C4">
        <w:rPr>
          <w:sz w:val="24"/>
          <w:lang w:val="sk-SK"/>
        </w:rPr>
        <w:t xml:space="preserve"> </w:t>
      </w:r>
      <w:r w:rsidR="003570C4" w:rsidRPr="003570C4">
        <w:rPr>
          <w:sz w:val="24"/>
          <w:lang w:val="sk-SK"/>
        </w:rPr>
        <w:tab/>
      </w:r>
      <w:r w:rsidRPr="003570C4">
        <w:rPr>
          <w:sz w:val="24"/>
          <w:lang w:val="sk-SK"/>
        </w:rPr>
        <w:t xml:space="preserve">Ú. v. EÚ C, C/2024/4182, 2.8.2024, ELI: </w:t>
      </w:r>
      <w:hyperlink r:id="rId1" w:history="1">
        <w:r w:rsidRPr="003570C4">
          <w:rPr>
            <w:rStyle w:val="Hyperlink"/>
            <w:sz w:val="24"/>
            <w:lang w:val="sk-SK"/>
          </w:rPr>
          <w:t>http://data.europa.eu/eli/C/2024/4182/oj</w:t>
        </w:r>
      </w:hyperlink>
      <w:r w:rsidRPr="003570C4">
        <w:rPr>
          <w:sz w:val="24"/>
          <w:lang w:val="sk-SK"/>
        </w:rPr>
        <w:t>.</w:t>
      </w:r>
    </w:p>
  </w:footnote>
  <w:footnote w:id="2">
    <w:p w14:paraId="56A2ACD9" w14:textId="7D61753E" w:rsidR="00601DA5" w:rsidRPr="003570C4" w:rsidRDefault="00601DA5" w:rsidP="003570C4">
      <w:pPr>
        <w:pStyle w:val="FootnoteText"/>
        <w:ind w:left="567" w:hanging="567"/>
        <w:rPr>
          <w:sz w:val="24"/>
          <w:lang w:val="sk-SK"/>
        </w:rPr>
      </w:pPr>
      <w:r w:rsidRPr="003570C4">
        <w:rPr>
          <w:rStyle w:val="FootnoteReference"/>
          <w:sz w:val="24"/>
          <w:lang w:val="sk-SK"/>
        </w:rPr>
        <w:footnoteRef/>
      </w:r>
      <w:r w:rsidR="003570C4" w:rsidRPr="003570C4">
        <w:rPr>
          <w:sz w:val="24"/>
          <w:lang w:val="sk-SK"/>
        </w:rPr>
        <w:t xml:space="preserve"> </w:t>
      </w:r>
      <w:r w:rsidR="003570C4" w:rsidRPr="003570C4">
        <w:rPr>
          <w:sz w:val="24"/>
          <w:lang w:val="sk-SK"/>
        </w:rPr>
        <w:tab/>
      </w:r>
      <w:proofErr w:type="spellStart"/>
      <w:r w:rsidRPr="003570C4">
        <w:rPr>
          <w:sz w:val="24"/>
          <w:lang w:val="sk-SK"/>
        </w:rPr>
        <w:t>Katsinis</w:t>
      </w:r>
      <w:proofErr w:type="spellEnd"/>
      <w:r w:rsidRPr="003570C4">
        <w:rPr>
          <w:sz w:val="24"/>
          <w:lang w:val="sk-SK"/>
        </w:rPr>
        <w:t xml:space="preserve">, A., </w:t>
      </w:r>
      <w:proofErr w:type="spellStart"/>
      <w:r w:rsidRPr="003570C4">
        <w:rPr>
          <w:sz w:val="24"/>
          <w:lang w:val="sk-SK"/>
        </w:rPr>
        <w:t>Lagüera-González</w:t>
      </w:r>
      <w:proofErr w:type="spellEnd"/>
      <w:r w:rsidRPr="003570C4">
        <w:rPr>
          <w:sz w:val="24"/>
          <w:lang w:val="sk-SK"/>
        </w:rPr>
        <w:t xml:space="preserve">, J., </w:t>
      </w:r>
      <w:proofErr w:type="spellStart"/>
      <w:r w:rsidRPr="003570C4">
        <w:rPr>
          <w:sz w:val="24"/>
          <w:lang w:val="sk-SK"/>
        </w:rPr>
        <w:t>Di</w:t>
      </w:r>
      <w:proofErr w:type="spellEnd"/>
      <w:r w:rsidRPr="003570C4">
        <w:rPr>
          <w:sz w:val="24"/>
          <w:lang w:val="sk-SK"/>
        </w:rPr>
        <w:t xml:space="preserve"> </w:t>
      </w:r>
      <w:proofErr w:type="spellStart"/>
      <w:r w:rsidRPr="003570C4">
        <w:rPr>
          <w:sz w:val="24"/>
          <w:lang w:val="sk-SK"/>
        </w:rPr>
        <w:t>Bella</w:t>
      </w:r>
      <w:proofErr w:type="spellEnd"/>
      <w:r w:rsidRPr="003570C4">
        <w:rPr>
          <w:sz w:val="24"/>
          <w:lang w:val="sk-SK"/>
        </w:rPr>
        <w:t xml:space="preserve">, L., </w:t>
      </w:r>
      <w:proofErr w:type="spellStart"/>
      <w:r w:rsidRPr="003570C4">
        <w:rPr>
          <w:sz w:val="24"/>
          <w:lang w:val="sk-SK"/>
        </w:rPr>
        <w:t>Odenthal</w:t>
      </w:r>
      <w:proofErr w:type="spellEnd"/>
      <w:r w:rsidRPr="003570C4">
        <w:rPr>
          <w:sz w:val="24"/>
          <w:lang w:val="sk-SK"/>
        </w:rPr>
        <w:t xml:space="preserve">, L., </w:t>
      </w:r>
      <w:proofErr w:type="spellStart"/>
      <w:r w:rsidRPr="003570C4">
        <w:rPr>
          <w:sz w:val="24"/>
          <w:lang w:val="sk-SK"/>
        </w:rPr>
        <w:t>Hell</w:t>
      </w:r>
      <w:proofErr w:type="spellEnd"/>
      <w:r w:rsidRPr="003570C4">
        <w:rPr>
          <w:sz w:val="24"/>
          <w:lang w:val="sk-SK"/>
        </w:rPr>
        <w:t xml:space="preserve">, M., </w:t>
      </w:r>
      <w:r w:rsidRPr="003570C4">
        <w:rPr>
          <w:sz w:val="24"/>
          <w:lang w:val="sk-SK"/>
        </w:rPr>
        <w:t xml:space="preserve">a kol., </w:t>
      </w:r>
      <w:proofErr w:type="spellStart"/>
      <w:r w:rsidRPr="003570C4">
        <w:rPr>
          <w:sz w:val="24"/>
          <w:lang w:val="sk-SK"/>
        </w:rPr>
        <w:t>Annual</w:t>
      </w:r>
      <w:proofErr w:type="spellEnd"/>
      <w:r w:rsidRPr="003570C4">
        <w:rPr>
          <w:sz w:val="24"/>
          <w:lang w:val="sk-SK"/>
        </w:rPr>
        <w:t xml:space="preserve"> Report on </w:t>
      </w:r>
      <w:proofErr w:type="spellStart"/>
      <w:r w:rsidRPr="003570C4">
        <w:rPr>
          <w:sz w:val="24"/>
          <w:lang w:val="sk-SK"/>
        </w:rPr>
        <w:t>European</w:t>
      </w:r>
      <w:proofErr w:type="spellEnd"/>
      <w:r w:rsidRPr="003570C4">
        <w:rPr>
          <w:sz w:val="24"/>
          <w:lang w:val="sk-SK"/>
        </w:rPr>
        <w:t xml:space="preserve"> </w:t>
      </w:r>
      <w:proofErr w:type="spellStart"/>
      <w:r w:rsidRPr="003570C4">
        <w:rPr>
          <w:sz w:val="24"/>
          <w:lang w:val="sk-SK"/>
        </w:rPr>
        <w:t>SMEs</w:t>
      </w:r>
      <w:proofErr w:type="spellEnd"/>
      <w:r w:rsidRPr="003570C4">
        <w:rPr>
          <w:sz w:val="24"/>
          <w:lang w:val="sk-SK"/>
        </w:rPr>
        <w:t xml:space="preserve"> 2023/2024 (Výročná správa o európskych MSP za roky 2023/2024), Úrad pre vydávanie publikácií Európskej únie, 2024: </w:t>
      </w:r>
      <w:hyperlink r:id="rId2" w:history="1">
        <w:r w:rsidRPr="003570C4">
          <w:rPr>
            <w:rStyle w:val="Hyperlink"/>
            <w:sz w:val="24"/>
            <w:lang w:val="sk-SK"/>
          </w:rPr>
          <w:t>https://single-market-economy.ec.europa.eu/document/download/2bef0eda-2f75-497d-982e-c0d1cea57c0e_en?filename=Annual%20Report%20on%20European%20SMEs%202024.pdf</w:t>
        </w:r>
      </w:hyperlink>
      <w:r w:rsidRPr="003570C4">
        <w:rPr>
          <w:sz w:val="24"/>
          <w:lang w:val="sk-SK"/>
        </w:rPr>
        <w:t>.</w:t>
      </w:r>
    </w:p>
  </w:footnote>
  <w:footnote w:id="3">
    <w:p w14:paraId="39CDE383" w14:textId="725CC225" w:rsidR="00601DA5" w:rsidRPr="003570C4" w:rsidRDefault="00601DA5" w:rsidP="003570C4">
      <w:pPr>
        <w:ind w:left="567" w:hanging="567"/>
      </w:pPr>
      <w:r w:rsidRPr="003570C4">
        <w:rPr>
          <w:rStyle w:val="FootnoteReference"/>
        </w:rPr>
        <w:footnoteRef/>
      </w:r>
      <w:r w:rsidR="003570C4" w:rsidRPr="003570C4">
        <w:t xml:space="preserve"> </w:t>
      </w:r>
      <w:r w:rsidR="003570C4" w:rsidRPr="003570C4">
        <w:tab/>
      </w:r>
      <w:proofErr w:type="spellStart"/>
      <w:r w:rsidRPr="003570C4">
        <w:t>Draghi</w:t>
      </w:r>
      <w:proofErr w:type="spellEnd"/>
      <w:r w:rsidRPr="003570C4">
        <w:t xml:space="preserve">, </w:t>
      </w:r>
      <w:proofErr w:type="spellStart"/>
      <w:r w:rsidRPr="003570C4">
        <w:t>Mario</w:t>
      </w:r>
      <w:proofErr w:type="spellEnd"/>
      <w:r w:rsidRPr="003570C4">
        <w:t xml:space="preserve">, </w:t>
      </w:r>
      <w:proofErr w:type="spellStart"/>
      <w:r w:rsidRPr="003570C4">
        <w:t>The</w:t>
      </w:r>
      <w:proofErr w:type="spellEnd"/>
      <w:r w:rsidRPr="003570C4">
        <w:t xml:space="preserve"> </w:t>
      </w:r>
      <w:proofErr w:type="spellStart"/>
      <w:r w:rsidRPr="003570C4">
        <w:t>Future</w:t>
      </w:r>
      <w:proofErr w:type="spellEnd"/>
      <w:r w:rsidRPr="003570C4">
        <w:t xml:space="preserve"> of </w:t>
      </w:r>
      <w:proofErr w:type="spellStart"/>
      <w:r w:rsidRPr="003570C4">
        <w:t>European</w:t>
      </w:r>
      <w:proofErr w:type="spellEnd"/>
      <w:r w:rsidRPr="003570C4">
        <w:t xml:space="preserve"> </w:t>
      </w:r>
      <w:proofErr w:type="spellStart"/>
      <w:r w:rsidRPr="003570C4">
        <w:t>Competitiveness</w:t>
      </w:r>
      <w:proofErr w:type="spellEnd"/>
      <w:r w:rsidRPr="003570C4">
        <w:t xml:space="preserve"> – A </w:t>
      </w:r>
      <w:proofErr w:type="spellStart"/>
      <w:r w:rsidRPr="003570C4">
        <w:t>Competitiveness</w:t>
      </w:r>
      <w:proofErr w:type="spellEnd"/>
      <w:r w:rsidRPr="003570C4">
        <w:t xml:space="preserve"> </w:t>
      </w:r>
      <w:proofErr w:type="spellStart"/>
      <w:r w:rsidRPr="003570C4">
        <w:t>Strategy</w:t>
      </w:r>
      <w:proofErr w:type="spellEnd"/>
      <w:r w:rsidRPr="003570C4">
        <w:t xml:space="preserve"> </w:t>
      </w:r>
      <w:proofErr w:type="spellStart"/>
      <w:r w:rsidRPr="003570C4">
        <w:t>for</w:t>
      </w:r>
      <w:proofErr w:type="spellEnd"/>
      <w:r w:rsidRPr="003570C4">
        <w:t xml:space="preserve"> </w:t>
      </w:r>
      <w:proofErr w:type="spellStart"/>
      <w:r w:rsidRPr="003570C4">
        <w:t>Europe</w:t>
      </w:r>
      <w:proofErr w:type="spellEnd"/>
      <w:r w:rsidRPr="003570C4">
        <w:t xml:space="preserve"> (Budúcnosť európskej konkurencieschopnosti – Stratégia konkurencieschopnosti pre Európu), 2024, </w:t>
      </w:r>
      <w:hyperlink r:id="rId3" w:history="1">
        <w:r w:rsidRPr="003570C4">
          <w:rPr>
            <w:rStyle w:val="Hyperlink"/>
          </w:rPr>
          <w:t>https://commission.europa.eu/document/97e481fd-2dc3-412d-be4c-f152a8232961_en</w:t>
        </w:r>
      </w:hyperlink>
      <w:r w:rsidRPr="003570C4">
        <w:t>.</w:t>
      </w:r>
    </w:p>
  </w:footnote>
  <w:footnote w:id="4">
    <w:p w14:paraId="2A9DFAE6" w14:textId="316DAC7C" w:rsidR="00601DA5" w:rsidRPr="003570C4" w:rsidRDefault="00601DA5" w:rsidP="003570C4">
      <w:pPr>
        <w:pStyle w:val="FootnoteText"/>
        <w:ind w:left="567" w:hanging="567"/>
        <w:rPr>
          <w:sz w:val="24"/>
          <w:lang w:val="sk-SK"/>
        </w:rPr>
      </w:pPr>
      <w:r w:rsidRPr="003570C4">
        <w:rPr>
          <w:rStyle w:val="FootnoteReference"/>
          <w:sz w:val="24"/>
          <w:lang w:val="sk-SK"/>
        </w:rPr>
        <w:footnoteRef/>
      </w:r>
      <w:bookmarkStart w:id="7" w:name="_Hlk210313079"/>
      <w:r w:rsidR="003570C4" w:rsidRPr="003570C4">
        <w:rPr>
          <w:sz w:val="24"/>
          <w:lang w:val="sk-SK"/>
        </w:rPr>
        <w:t xml:space="preserve"> </w:t>
      </w:r>
      <w:r w:rsidR="003570C4" w:rsidRPr="003570C4">
        <w:rPr>
          <w:sz w:val="24"/>
          <w:lang w:val="sk-SK"/>
        </w:rPr>
        <w:tab/>
      </w:r>
      <w:r w:rsidRPr="003570C4">
        <w:rPr>
          <w:sz w:val="24"/>
          <w:lang w:val="sk-SK"/>
        </w:rPr>
        <w:t xml:space="preserve">Akt o kótovaní pozostáva z nariadenia Európskeho parlamentu a Rady (EÚ) 2024/2809 z 23. októbra 2024, ktorým sa menia nariadenia (EÚ) 2017/1129, (EÚ) č. 596/2014 a (EÚ) č. 600/2014 s cieľom zatraktívniť verejné kapitálové trhy v Únii pre spoločnosti a uľahčiť malým a stredným podnikom prístup ku kapitálu (Ú. v. </w:t>
      </w:r>
      <w:r w:rsidRPr="003570C4">
        <w:rPr>
          <w:sz w:val="24"/>
          <w:lang w:val="sk-SK"/>
        </w:rPr>
        <w:t xml:space="preserve">EÚ L, 2024/2809, 14.11.2024, ELI: </w:t>
      </w:r>
      <w:hyperlink r:id="rId4" w:history="1">
        <w:r w:rsidRPr="003570C4">
          <w:rPr>
            <w:rStyle w:val="Hyperlink"/>
            <w:sz w:val="24"/>
            <w:lang w:val="sk-SK"/>
          </w:rPr>
          <w:t>http://data.europa.eu/eli/reg/2024/2809/oj</w:t>
        </w:r>
      </w:hyperlink>
      <w:r w:rsidRPr="003570C4">
        <w:rPr>
          <w:sz w:val="24"/>
          <w:lang w:val="sk-SK"/>
        </w:rPr>
        <w:t xml:space="preserve">), zo smernice Európskeho parlamentu a Rady (EÚ) 2024/2810 z 23. októbra 2024 o akciových štruktúrach s viacnásobnými hlasovacími právami v spoločnostiach, ktoré sa uchádzajú o prijatie svojich akcií na obchodovanie v multilaterálnom obchodnom systéme (Ú. v. EÚ L, 2024/2810, 14.11.2024, ELI: </w:t>
      </w:r>
      <w:hyperlink r:id="rId5" w:history="1">
        <w:r w:rsidRPr="003570C4">
          <w:rPr>
            <w:rStyle w:val="Hyperlink"/>
            <w:sz w:val="24"/>
            <w:lang w:val="sk-SK"/>
          </w:rPr>
          <w:t>http://data.europa.eu/eli/dir/2024/2810/oj</w:t>
        </w:r>
      </w:hyperlink>
      <w:r w:rsidRPr="003570C4">
        <w:rPr>
          <w:sz w:val="24"/>
          <w:lang w:val="sk-SK"/>
        </w:rPr>
        <w:t xml:space="preserve">), a zo smernice Európskeho parlamentu a Rady (EÚ) 2024/2811 z 23. októbra 2024, ktorou sa mení smernica 2014/65/EÚ s cieľom zatraktívniť verejné kapitálové trhy v Únii pre spoločnosti a uľahčiť malým a stredným podnikom prístup ku kapitálu a ktorou sa zrušuje smernica 2001/34/ES (Ú. v. EÚ L, 2024/2811, 14.11.2024, ELI: </w:t>
      </w:r>
      <w:hyperlink r:id="rId6" w:history="1">
        <w:r w:rsidRPr="003570C4">
          <w:rPr>
            <w:rStyle w:val="Hyperlink"/>
            <w:sz w:val="24"/>
            <w:lang w:val="sk-SK"/>
          </w:rPr>
          <w:t>http://data.europa.eu/eli/dir/2024/2811/oj</w:t>
        </w:r>
      </w:hyperlink>
      <w:r w:rsidRPr="003570C4">
        <w:rPr>
          <w:sz w:val="24"/>
          <w:lang w:val="sk-SK"/>
        </w:rPr>
        <w:t>).</w:t>
      </w:r>
      <w:bookmarkEnd w:id="7"/>
    </w:p>
  </w:footnote>
  <w:footnote w:id="5">
    <w:p w14:paraId="09AF0906" w14:textId="3AFA58A8" w:rsidR="00601DA5" w:rsidRPr="003570C4" w:rsidRDefault="00601DA5" w:rsidP="003570C4">
      <w:pPr>
        <w:pStyle w:val="FootnoteText"/>
        <w:ind w:left="567" w:hanging="567"/>
        <w:rPr>
          <w:sz w:val="24"/>
          <w:lang w:val="sk-SK"/>
        </w:rPr>
      </w:pPr>
      <w:r w:rsidRPr="003570C4">
        <w:rPr>
          <w:rStyle w:val="FootnoteReference"/>
          <w:sz w:val="24"/>
          <w:lang w:val="sk-SK"/>
        </w:rPr>
        <w:footnoteRef/>
      </w:r>
      <w:r w:rsidR="003570C4" w:rsidRPr="003570C4">
        <w:rPr>
          <w:sz w:val="24"/>
          <w:lang w:val="sk-SK"/>
        </w:rPr>
        <w:t xml:space="preserve"> </w:t>
      </w:r>
      <w:r w:rsidR="003570C4" w:rsidRPr="003570C4">
        <w:rPr>
          <w:sz w:val="24"/>
          <w:lang w:val="sk-SK"/>
        </w:rPr>
        <w:tab/>
      </w:r>
      <w:r w:rsidRPr="003570C4">
        <w:rPr>
          <w:sz w:val="24"/>
          <w:lang w:val="sk-SK"/>
        </w:rPr>
        <w:t xml:space="preserve">Nariadenie Európskeho parlamentu a Rady (EÚ) č. 345/2013 zo 17. apríla 2013 o európskych fondoch rizikového kapitálu (Ú. v. EÚ L 115, 25.4.2013, s. </w:t>
      </w:r>
      <w:r w:rsidRPr="003570C4">
        <w:rPr>
          <w:sz w:val="24"/>
          <w:lang w:val="sk-SK"/>
        </w:rPr>
        <w:t xml:space="preserve">1, ELI: </w:t>
      </w:r>
      <w:hyperlink r:id="rId7" w:history="1">
        <w:r w:rsidRPr="003570C4">
          <w:rPr>
            <w:rStyle w:val="Hyperlink"/>
            <w:sz w:val="24"/>
            <w:lang w:val="sk-SK"/>
          </w:rPr>
          <w:t>http://data.europa.eu/eli/reg/2013/345/oj</w:t>
        </w:r>
      </w:hyperlink>
      <w:r w:rsidRPr="003570C4">
        <w:rPr>
          <w:sz w:val="24"/>
          <w:lang w:val="sk-SK"/>
        </w:rPr>
        <w:t>).</w:t>
      </w:r>
    </w:p>
  </w:footnote>
  <w:footnote w:id="6">
    <w:p w14:paraId="1AF9D8E3" w14:textId="6310E939" w:rsidR="00601DA5" w:rsidRPr="003570C4" w:rsidRDefault="00601DA5" w:rsidP="003570C4">
      <w:pPr>
        <w:pStyle w:val="FootnoteText"/>
        <w:ind w:left="567" w:hanging="567"/>
        <w:rPr>
          <w:sz w:val="24"/>
          <w:lang w:val="sk-SK"/>
        </w:rPr>
      </w:pPr>
      <w:r w:rsidRPr="003570C4">
        <w:rPr>
          <w:rStyle w:val="FootnoteReference"/>
          <w:sz w:val="24"/>
          <w:lang w:val="sk-SK"/>
        </w:rPr>
        <w:footnoteRef/>
      </w:r>
      <w:r w:rsidR="003570C4" w:rsidRPr="003570C4">
        <w:rPr>
          <w:sz w:val="24"/>
          <w:lang w:val="sk-SK"/>
        </w:rPr>
        <w:t xml:space="preserve"> </w:t>
      </w:r>
      <w:r w:rsidR="003570C4" w:rsidRPr="003570C4">
        <w:rPr>
          <w:sz w:val="24"/>
          <w:lang w:val="sk-SK"/>
        </w:rPr>
        <w:tab/>
      </w:r>
      <w:r w:rsidRPr="003570C4">
        <w:rPr>
          <w:sz w:val="24"/>
          <w:lang w:val="sk-SK"/>
        </w:rPr>
        <w:t>Smernica Európskeho parlamentu a Rady 2014/65/EÚ z 15. mája 2014 o trhoch s finančnými nástrojmi, ktorou sa mení smernica 2002/92/ES a smernica 2011/61/EÚ (Ú. v. EÚ L 173, 12.6.2014, s. </w:t>
      </w:r>
      <w:r w:rsidRPr="003570C4">
        <w:rPr>
          <w:sz w:val="24"/>
          <w:lang w:val="sk-SK"/>
        </w:rPr>
        <w:t xml:space="preserve">349, ELI: </w:t>
      </w:r>
      <w:hyperlink r:id="rId8" w:history="1">
        <w:r w:rsidRPr="003570C4">
          <w:rPr>
            <w:rStyle w:val="Hyperlink"/>
            <w:sz w:val="24"/>
            <w:lang w:val="sk-SK"/>
          </w:rPr>
          <w:t>http://data.europa.eu/eli/dir/2014/65/oj</w:t>
        </w:r>
      </w:hyperlink>
      <w:r w:rsidRPr="003570C4">
        <w:rPr>
          <w:sz w:val="24"/>
          <w:lang w:val="sk-SK"/>
        </w:rPr>
        <w:t>).</w:t>
      </w:r>
    </w:p>
  </w:footnote>
  <w:footnote w:id="7">
    <w:p w14:paraId="7E024EA8" w14:textId="3A0B1188" w:rsidR="00601DA5" w:rsidRPr="003570C4" w:rsidRDefault="00601DA5" w:rsidP="003570C4">
      <w:pPr>
        <w:pStyle w:val="FootnoteText"/>
        <w:ind w:left="567" w:hanging="567"/>
        <w:rPr>
          <w:sz w:val="24"/>
          <w:lang w:val="sk-SK"/>
        </w:rPr>
      </w:pPr>
      <w:r w:rsidRPr="003570C4">
        <w:rPr>
          <w:rStyle w:val="FootnoteReference"/>
          <w:sz w:val="24"/>
          <w:lang w:val="sk-SK"/>
        </w:rPr>
        <w:footnoteRef/>
      </w:r>
      <w:r w:rsidR="003570C4" w:rsidRPr="003570C4">
        <w:rPr>
          <w:sz w:val="24"/>
          <w:lang w:val="sk-SK"/>
        </w:rPr>
        <w:t xml:space="preserve"> </w:t>
      </w:r>
      <w:r w:rsidR="003570C4" w:rsidRPr="003570C4">
        <w:rPr>
          <w:sz w:val="24"/>
          <w:lang w:val="sk-SK"/>
        </w:rPr>
        <w:tab/>
      </w:r>
      <w:proofErr w:type="spellStart"/>
      <w:r w:rsidRPr="003570C4">
        <w:rPr>
          <w:sz w:val="24"/>
          <w:lang w:val="sk-SK"/>
        </w:rPr>
        <w:t>Katsinis</w:t>
      </w:r>
      <w:proofErr w:type="spellEnd"/>
      <w:r w:rsidRPr="003570C4">
        <w:rPr>
          <w:sz w:val="24"/>
          <w:lang w:val="sk-SK"/>
        </w:rPr>
        <w:t xml:space="preserve">, A., </w:t>
      </w:r>
      <w:proofErr w:type="spellStart"/>
      <w:r w:rsidRPr="003570C4">
        <w:rPr>
          <w:sz w:val="24"/>
          <w:lang w:val="sk-SK"/>
        </w:rPr>
        <w:t>Lagüera-González</w:t>
      </w:r>
      <w:proofErr w:type="spellEnd"/>
      <w:r w:rsidRPr="003570C4">
        <w:rPr>
          <w:sz w:val="24"/>
          <w:lang w:val="sk-SK"/>
        </w:rPr>
        <w:t xml:space="preserve">, J., </w:t>
      </w:r>
      <w:proofErr w:type="spellStart"/>
      <w:r w:rsidRPr="003570C4">
        <w:rPr>
          <w:sz w:val="24"/>
          <w:lang w:val="sk-SK"/>
        </w:rPr>
        <w:t>Di</w:t>
      </w:r>
      <w:proofErr w:type="spellEnd"/>
      <w:r w:rsidRPr="003570C4">
        <w:rPr>
          <w:sz w:val="24"/>
          <w:lang w:val="sk-SK"/>
        </w:rPr>
        <w:t xml:space="preserve"> </w:t>
      </w:r>
      <w:proofErr w:type="spellStart"/>
      <w:r w:rsidRPr="003570C4">
        <w:rPr>
          <w:sz w:val="24"/>
          <w:lang w:val="sk-SK"/>
        </w:rPr>
        <w:t>Bella</w:t>
      </w:r>
      <w:proofErr w:type="spellEnd"/>
      <w:r w:rsidRPr="003570C4">
        <w:rPr>
          <w:sz w:val="24"/>
          <w:lang w:val="sk-SK"/>
        </w:rPr>
        <w:t xml:space="preserve">, L., </w:t>
      </w:r>
      <w:proofErr w:type="spellStart"/>
      <w:r w:rsidRPr="003570C4">
        <w:rPr>
          <w:sz w:val="24"/>
          <w:lang w:val="sk-SK"/>
        </w:rPr>
        <w:t>Odenthal</w:t>
      </w:r>
      <w:proofErr w:type="spellEnd"/>
      <w:r w:rsidRPr="003570C4">
        <w:rPr>
          <w:sz w:val="24"/>
          <w:lang w:val="sk-SK"/>
        </w:rPr>
        <w:t xml:space="preserve">, L., </w:t>
      </w:r>
      <w:proofErr w:type="spellStart"/>
      <w:r w:rsidRPr="003570C4">
        <w:rPr>
          <w:sz w:val="24"/>
          <w:lang w:val="sk-SK"/>
        </w:rPr>
        <w:t>Hell</w:t>
      </w:r>
      <w:proofErr w:type="spellEnd"/>
      <w:r w:rsidRPr="003570C4">
        <w:rPr>
          <w:sz w:val="24"/>
          <w:lang w:val="sk-SK"/>
        </w:rPr>
        <w:t xml:space="preserve">, M., </w:t>
      </w:r>
      <w:r w:rsidRPr="003570C4">
        <w:rPr>
          <w:sz w:val="24"/>
          <w:lang w:val="sk-SK"/>
        </w:rPr>
        <w:t xml:space="preserve">a kol., </w:t>
      </w:r>
      <w:proofErr w:type="spellStart"/>
      <w:r w:rsidRPr="003570C4">
        <w:rPr>
          <w:i/>
          <w:iCs/>
          <w:sz w:val="24"/>
          <w:lang w:val="sk-SK"/>
        </w:rPr>
        <w:t>Annual</w:t>
      </w:r>
      <w:proofErr w:type="spellEnd"/>
      <w:r w:rsidRPr="003570C4">
        <w:rPr>
          <w:i/>
          <w:iCs/>
          <w:sz w:val="24"/>
          <w:lang w:val="sk-SK"/>
        </w:rPr>
        <w:t xml:space="preserve"> Report on </w:t>
      </w:r>
      <w:proofErr w:type="spellStart"/>
      <w:r w:rsidRPr="003570C4">
        <w:rPr>
          <w:i/>
          <w:iCs/>
          <w:sz w:val="24"/>
          <w:lang w:val="sk-SK"/>
        </w:rPr>
        <w:t>European</w:t>
      </w:r>
      <w:proofErr w:type="spellEnd"/>
      <w:r w:rsidRPr="003570C4">
        <w:rPr>
          <w:i/>
          <w:iCs/>
          <w:sz w:val="24"/>
          <w:lang w:val="sk-SK"/>
        </w:rPr>
        <w:t xml:space="preserve"> </w:t>
      </w:r>
      <w:proofErr w:type="spellStart"/>
      <w:r w:rsidRPr="003570C4">
        <w:rPr>
          <w:i/>
          <w:iCs/>
          <w:sz w:val="24"/>
          <w:lang w:val="sk-SK"/>
        </w:rPr>
        <w:t>SMEs</w:t>
      </w:r>
      <w:proofErr w:type="spellEnd"/>
      <w:r w:rsidRPr="003570C4">
        <w:rPr>
          <w:i/>
          <w:iCs/>
          <w:sz w:val="24"/>
          <w:lang w:val="sk-SK"/>
        </w:rPr>
        <w:t xml:space="preserve"> 2023/2024</w:t>
      </w:r>
      <w:r w:rsidRPr="003570C4">
        <w:rPr>
          <w:sz w:val="24"/>
          <w:lang w:val="sk-SK"/>
        </w:rPr>
        <w:t xml:space="preserve"> (Výročná správa o európskych MSP za roky 2023/2024), Úrad pre vydávanie publikácií Európskej únie, 2024: </w:t>
      </w:r>
      <w:hyperlink r:id="rId9" w:history="1">
        <w:r w:rsidRPr="003570C4">
          <w:rPr>
            <w:rStyle w:val="Hyperlink"/>
            <w:sz w:val="24"/>
            <w:lang w:val="sk-SK"/>
          </w:rPr>
          <w:t>https://single-market-economy.ec.europa.eu/document/download/2bef0eda-2f75-497d-982e-c0d1cea57c0e_en?filename=Annual%20Report%20on%20European%20SMEs%202024.pdf</w:t>
        </w:r>
      </w:hyperlink>
      <w:r w:rsidRPr="003570C4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3D458" w14:textId="77777777" w:rsidR="00064002" w:rsidRPr="003570C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84544" w14:textId="77777777" w:rsidR="00064002" w:rsidRPr="003570C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79415" w14:textId="77777777" w:rsidR="00064002" w:rsidRPr="003570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1716894">
    <w:abstractNumId w:val="9"/>
  </w:num>
  <w:num w:numId="2" w16cid:durableId="38752868">
    <w:abstractNumId w:val="9"/>
  </w:num>
  <w:num w:numId="3" w16cid:durableId="1277327002">
    <w:abstractNumId w:val="7"/>
  </w:num>
  <w:num w:numId="4" w16cid:durableId="121969865">
    <w:abstractNumId w:val="7"/>
  </w:num>
  <w:num w:numId="5" w16cid:durableId="1574193011">
    <w:abstractNumId w:val="6"/>
  </w:num>
  <w:num w:numId="6" w16cid:durableId="986472139">
    <w:abstractNumId w:val="6"/>
  </w:num>
  <w:num w:numId="7" w16cid:durableId="163396751">
    <w:abstractNumId w:val="5"/>
  </w:num>
  <w:num w:numId="8" w16cid:durableId="1396974020">
    <w:abstractNumId w:val="5"/>
  </w:num>
  <w:num w:numId="9" w16cid:durableId="1078361388">
    <w:abstractNumId w:val="4"/>
  </w:num>
  <w:num w:numId="10" w16cid:durableId="1888448212">
    <w:abstractNumId w:val="4"/>
  </w:num>
  <w:num w:numId="11" w16cid:durableId="609049363">
    <w:abstractNumId w:val="8"/>
  </w:num>
  <w:num w:numId="12" w16cid:durableId="1657033505">
    <w:abstractNumId w:val="8"/>
  </w:num>
  <w:num w:numId="13" w16cid:durableId="122843860">
    <w:abstractNumId w:val="3"/>
  </w:num>
  <w:num w:numId="14" w16cid:durableId="1962225150">
    <w:abstractNumId w:val="3"/>
  </w:num>
  <w:num w:numId="15" w16cid:durableId="1893883097">
    <w:abstractNumId w:val="2"/>
  </w:num>
  <w:num w:numId="16" w16cid:durableId="1349671106">
    <w:abstractNumId w:val="2"/>
  </w:num>
  <w:num w:numId="17" w16cid:durableId="2006084043">
    <w:abstractNumId w:val="1"/>
  </w:num>
  <w:num w:numId="18" w16cid:durableId="1408918562">
    <w:abstractNumId w:val="1"/>
  </w:num>
  <w:num w:numId="19" w16cid:durableId="1608655694">
    <w:abstractNumId w:val="0"/>
  </w:num>
  <w:num w:numId="20" w16cid:durableId="1340039145">
    <w:abstractNumId w:val="0"/>
  </w:num>
  <w:num w:numId="21" w16cid:durableId="2049253813">
    <w:abstractNumId w:val="9"/>
  </w:num>
  <w:num w:numId="22" w16cid:durableId="1347291226">
    <w:abstractNumId w:val="7"/>
  </w:num>
  <w:num w:numId="23" w16cid:durableId="534773773">
    <w:abstractNumId w:val="6"/>
  </w:num>
  <w:num w:numId="24" w16cid:durableId="317150645">
    <w:abstractNumId w:val="5"/>
  </w:num>
  <w:num w:numId="25" w16cid:durableId="274142672">
    <w:abstractNumId w:val="4"/>
  </w:num>
  <w:num w:numId="26" w16cid:durableId="14578441">
    <w:abstractNumId w:val="8"/>
  </w:num>
  <w:num w:numId="27" w16cid:durableId="2078432831">
    <w:abstractNumId w:val="3"/>
  </w:num>
  <w:num w:numId="28" w16cid:durableId="1829781320">
    <w:abstractNumId w:val="2"/>
  </w:num>
  <w:num w:numId="29" w16cid:durableId="1188178982">
    <w:abstractNumId w:val="1"/>
  </w:num>
  <w:num w:numId="30" w16cid:durableId="1600989105">
    <w:abstractNumId w:val="0"/>
  </w:num>
  <w:num w:numId="31" w16cid:durableId="347292856">
    <w:abstractNumId w:val="9"/>
  </w:num>
  <w:num w:numId="32" w16cid:durableId="1642343303">
    <w:abstractNumId w:val="7"/>
  </w:num>
  <w:num w:numId="33" w16cid:durableId="232282502">
    <w:abstractNumId w:val="6"/>
  </w:num>
  <w:num w:numId="34" w16cid:durableId="914315264">
    <w:abstractNumId w:val="5"/>
  </w:num>
  <w:num w:numId="35" w16cid:durableId="2136440654">
    <w:abstractNumId w:val="4"/>
  </w:num>
  <w:num w:numId="36" w16cid:durableId="1204174088">
    <w:abstractNumId w:val="8"/>
  </w:num>
  <w:num w:numId="37" w16cid:durableId="590822451">
    <w:abstractNumId w:val="3"/>
  </w:num>
  <w:num w:numId="38" w16cid:durableId="1249730597">
    <w:abstractNumId w:val="2"/>
  </w:num>
  <w:num w:numId="39" w16cid:durableId="279185187">
    <w:abstractNumId w:val="1"/>
  </w:num>
  <w:num w:numId="40" w16cid:durableId="379786313">
    <w:abstractNumId w:val="0"/>
  </w:num>
  <w:num w:numId="41" w16cid:durableId="1506625269">
    <w:abstractNumId w:val="10"/>
  </w:num>
  <w:num w:numId="42" w16cid:durableId="304749166">
    <w:abstractNumId w:val="10"/>
  </w:num>
  <w:num w:numId="43" w16cid:durableId="1766222452">
    <w:abstractNumId w:val="10"/>
  </w:num>
  <w:num w:numId="44" w16cid:durableId="4388358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5/2025"/>
    <w:docVar w:name="dvlangue" w:val="SK"/>
    <w:docVar w:name="dvnumam" w:val="0"/>
    <w:docVar w:name="dvpe" w:val="772.123"/>
    <w:docVar w:name="dvrapporteur" w:val="Spravodajca: "/>
    <w:docVar w:name="dvtitre" w:val="Uznesenie Európskeho parlamentu z xx, novembra 2025 o prístupe k financovaniu pre MSP a rozširujúce sa podniky(2025/2072(INI))"/>
  </w:docVars>
  <w:rsids>
    <w:rsidRoot w:val="000119E7"/>
    <w:rsid w:val="00002272"/>
    <w:rsid w:val="000119E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70C4"/>
    <w:rsid w:val="00361C00"/>
    <w:rsid w:val="00375FB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1DA5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87B0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092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DDD"/>
    <w:rsid w:val="00F5134D"/>
    <w:rsid w:val="00F74202"/>
    <w:rsid w:val="00F82283"/>
    <w:rsid w:val="00F87713"/>
    <w:rsid w:val="00FA0A9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E8D5D5"/>
  <w15:chartTrackingRefBased/>
  <w15:docId w15:val="{EAE48A8A-4904-47FD-B984-44BC0938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1DA5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601DA5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601DA5"/>
    <w:pPr>
      <w:spacing w:after="240"/>
      <w:jc w:val="center"/>
    </w:pPr>
  </w:style>
  <w:style w:type="character" w:customStyle="1" w:styleId="BoldItalic">
    <w:name w:val="BoldItalic"/>
    <w:uiPriority w:val="1"/>
    <w:rsid w:val="00601DA5"/>
    <w:rPr>
      <w:b/>
      <w:i/>
      <w:u w:val="none"/>
    </w:rPr>
  </w:style>
  <w:style w:type="character" w:customStyle="1" w:styleId="Italic">
    <w:name w:val="Italic"/>
    <w:uiPriority w:val="1"/>
    <w:rsid w:val="00601DA5"/>
    <w:rPr>
      <w:i/>
    </w:rPr>
  </w:style>
  <w:style w:type="paragraph" w:customStyle="1" w:styleId="Normal12a24b">
    <w:name w:val="Normal12a24b"/>
    <w:basedOn w:val="Normal"/>
    <w:rsid w:val="00601DA5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601DA5"/>
    <w:rPr>
      <w:color w:val="0000FF"/>
      <w:u w:val="single"/>
    </w:rPr>
  </w:style>
  <w:style w:type="paragraph" w:styleId="Revision">
    <w:name w:val="Revision"/>
    <w:hidden/>
    <w:uiPriority w:val="99"/>
    <w:semiHidden/>
    <w:rsid w:val="00787B0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14/65/oj" TargetMode="External"/><Relationship Id="rId3" Type="http://schemas.openxmlformats.org/officeDocument/2006/relationships/hyperlink" Target="https://commission.europa.eu/document/97e481fd-2dc3-412d-be4c-f152a8232961_en" TargetMode="External"/><Relationship Id="rId7" Type="http://schemas.openxmlformats.org/officeDocument/2006/relationships/hyperlink" Target="http://data.europa.eu/eli/reg/2013/345/oj" TargetMode="External"/><Relationship Id="rId2" Type="http://schemas.openxmlformats.org/officeDocument/2006/relationships/hyperlink" Target="https://single-market-economy.ec.europa.eu/document/download/2bef0eda-2f75-497d-982e-c0d1cea57c0e_en?filename=Annual%20Report%20on%20European%20SMEs%202024.pdf" TargetMode="External"/><Relationship Id="rId1" Type="http://schemas.openxmlformats.org/officeDocument/2006/relationships/hyperlink" Target="http://data.europa.eu/eli/C/2024/4182/oj" TargetMode="External"/><Relationship Id="rId6" Type="http://schemas.openxmlformats.org/officeDocument/2006/relationships/hyperlink" Target="http://data.europa.eu/eli/dir/2024/2811/oj" TargetMode="External"/><Relationship Id="rId5" Type="http://schemas.openxmlformats.org/officeDocument/2006/relationships/hyperlink" Target="http://data.europa.eu/eli/dir/2024/2810/oj" TargetMode="External"/><Relationship Id="rId4" Type="http://schemas.openxmlformats.org/officeDocument/2006/relationships/hyperlink" Target="http://data.europa.eu/eli/reg/2024/2809/oj" TargetMode="External"/><Relationship Id="rId9" Type="http://schemas.openxmlformats.org/officeDocument/2006/relationships/hyperlink" Target="https://single-market-economy.ec.europa.eu/document/download/2bef0eda-2f75-497d-982e-c0d1cea57c0e_en?filename=Annual%20Report%20on%20European%20SMEs%2020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3505</Words>
  <Characters>22474</Characters>
  <Application>Microsoft Office Word</Application>
  <DocSecurity>0</DocSecurity>
  <Lines>187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2025-11-26T09:36:00Z</dcterms:created>
  <dcterms:modified xsi:type="dcterms:W3CDTF">2025-11-26T09:36:00Z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A10-0185/2025</vt:lpwstr>
  </property>
  <property fmtid="{D5CDD505-2E9C-101B-9397-08002B2CF9AE}" pid="4" name="&lt;Type&gt;">
    <vt:lpwstr>RR</vt:lpwstr>
  </property>
</Properties>
</file>