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6E09" w14:paraId="22B9DDB3" w14:textId="77777777" w:rsidTr="0010095E">
        <w:trPr>
          <w:trHeight w:hRule="exact" w:val="1418"/>
        </w:trPr>
        <w:tc>
          <w:tcPr>
            <w:tcW w:w="6804" w:type="dxa"/>
            <w:shd w:val="clear" w:color="auto" w:fill="auto"/>
            <w:vAlign w:val="center"/>
          </w:tcPr>
          <w:p w14:paraId="79E80115" w14:textId="7A150952" w:rsidR="00751A4A" w:rsidRPr="00506E09" w:rsidRDefault="00A541A5" w:rsidP="0010095E">
            <w:pPr>
              <w:pStyle w:val="EPName"/>
            </w:pPr>
            <w:r w:rsidRPr="00506E09">
              <w:t>Europaparlamentet</w:t>
            </w:r>
          </w:p>
          <w:p w14:paraId="547E7B7D" w14:textId="77777777" w:rsidR="00751A4A" w:rsidRPr="00506E09" w:rsidRDefault="005F1B17" w:rsidP="005F1B17">
            <w:pPr>
              <w:pStyle w:val="EPTerm"/>
              <w:rPr>
                <w:rStyle w:val="HideTWBExt"/>
                <w:noProof w:val="0"/>
                <w:vanish w:val="0"/>
                <w:color w:val="auto"/>
              </w:rPr>
            </w:pPr>
            <w:r w:rsidRPr="00506E09">
              <w:t>2024</w:t>
            </w:r>
            <w:r w:rsidR="00817416" w:rsidRPr="00506E09">
              <w:t>-202</w:t>
            </w:r>
            <w:r w:rsidRPr="00506E09">
              <w:t>9</w:t>
            </w:r>
          </w:p>
        </w:tc>
        <w:tc>
          <w:tcPr>
            <w:tcW w:w="2268" w:type="dxa"/>
            <w:shd w:val="clear" w:color="auto" w:fill="auto"/>
          </w:tcPr>
          <w:p w14:paraId="135443CD" w14:textId="77777777" w:rsidR="00751A4A" w:rsidRPr="00506E09" w:rsidRDefault="00187494" w:rsidP="0010095E">
            <w:pPr>
              <w:pStyle w:val="EPLogo"/>
            </w:pPr>
            <w:r w:rsidRPr="00506E09">
              <w:rPr>
                <w:noProof/>
                <w:lang w:eastAsia="ja-JP"/>
              </w:rPr>
              <w:drawing>
                <wp:inline distT="0" distB="0" distL="0" distR="0" wp14:anchorId="0561E403" wp14:editId="17750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7AE7C7" w14:textId="77777777" w:rsidR="00D058B8" w:rsidRPr="00506E09" w:rsidRDefault="00D058B8" w:rsidP="004C5D52">
      <w:pPr>
        <w:pStyle w:val="LineTop"/>
      </w:pPr>
    </w:p>
    <w:p w14:paraId="391AAFA2" w14:textId="4D057C28" w:rsidR="00680577" w:rsidRPr="00506E09" w:rsidRDefault="00A541A5" w:rsidP="00680577">
      <w:pPr>
        <w:pStyle w:val="EPBodyTA1"/>
      </w:pPr>
      <w:r w:rsidRPr="00506E09">
        <w:t>ANTAGNA TEXTER</w:t>
      </w:r>
    </w:p>
    <w:p w14:paraId="4FD0BABC" w14:textId="77777777" w:rsidR="00D058B8" w:rsidRPr="00506E09" w:rsidRDefault="00D058B8" w:rsidP="00D058B8">
      <w:pPr>
        <w:pStyle w:val="LineBottom"/>
      </w:pPr>
    </w:p>
    <w:p w14:paraId="26A15B99" w14:textId="5E823C36" w:rsidR="00A541A5" w:rsidRPr="00506E09" w:rsidRDefault="00A541A5" w:rsidP="00A541A5">
      <w:pPr>
        <w:pStyle w:val="ATHeading1"/>
      </w:pPr>
      <w:bookmarkStart w:id="0" w:name="TANumber"/>
      <w:r w:rsidRPr="00506E09">
        <w:t>P10_TA(2025)0</w:t>
      </w:r>
      <w:bookmarkEnd w:id="0"/>
      <w:r w:rsidR="00506E09" w:rsidRPr="00506E09">
        <w:t>300</w:t>
      </w:r>
    </w:p>
    <w:p w14:paraId="2ABD993E" w14:textId="304AEC49" w:rsidR="00A541A5" w:rsidRPr="00506E09" w:rsidRDefault="005E00C2" w:rsidP="00A541A5">
      <w:pPr>
        <w:pStyle w:val="ATHeading2"/>
      </w:pPr>
      <w:r w:rsidRPr="00506E09">
        <w:t>Tillgång till finansiering för små och medelstora företag och expanderande företag</w:t>
      </w:r>
    </w:p>
    <w:p w14:paraId="517D7A93" w14:textId="77777777" w:rsidR="00A541A5" w:rsidRPr="00506E09" w:rsidRDefault="00A541A5" w:rsidP="00A541A5">
      <w:pPr>
        <w:rPr>
          <w:i/>
          <w:vanish/>
        </w:rPr>
      </w:pPr>
      <w:r w:rsidRPr="00506E09">
        <w:rPr>
          <w:i/>
        </w:rPr>
        <w:fldChar w:fldCharType="begin"/>
      </w:r>
      <w:r w:rsidRPr="00506E09">
        <w:rPr>
          <w:i/>
        </w:rPr>
        <w:instrText xml:space="preserve"> TC"(</w:instrText>
      </w:r>
      <w:bookmarkStart w:id="1" w:name="DocNumber"/>
      <w:r w:rsidRPr="00506E09">
        <w:rPr>
          <w:i/>
        </w:rPr>
        <w:instrText>A10-0185/2025</w:instrText>
      </w:r>
      <w:bookmarkEnd w:id="1"/>
      <w:r w:rsidRPr="00506E09">
        <w:rPr>
          <w:i/>
        </w:rPr>
        <w:instrText xml:space="preserve"> - Föredragande: Jorge Martín Frías)"\l3 \n&gt; \* MERGEFORMAT </w:instrText>
      </w:r>
      <w:r w:rsidRPr="00506E09">
        <w:rPr>
          <w:i/>
        </w:rPr>
        <w:fldChar w:fldCharType="end"/>
      </w:r>
    </w:p>
    <w:p w14:paraId="26F65C7C" w14:textId="77777777" w:rsidR="00A541A5" w:rsidRPr="00506E09" w:rsidRDefault="00A541A5" w:rsidP="00A541A5">
      <w:pPr>
        <w:rPr>
          <w:vanish/>
        </w:rPr>
      </w:pPr>
      <w:bookmarkStart w:id="2" w:name="Commission"/>
      <w:r w:rsidRPr="00506E09">
        <w:rPr>
          <w:vanish/>
        </w:rPr>
        <w:t>Utskottet för ekonomi och valutafrågor</w:t>
      </w:r>
      <w:bookmarkEnd w:id="2"/>
    </w:p>
    <w:p w14:paraId="4D4D58A6" w14:textId="77777777" w:rsidR="00A541A5" w:rsidRPr="00506E09" w:rsidRDefault="00A541A5" w:rsidP="00A541A5">
      <w:pPr>
        <w:rPr>
          <w:vanish/>
        </w:rPr>
      </w:pPr>
      <w:bookmarkStart w:id="3" w:name="PE"/>
      <w:r w:rsidRPr="00506E09">
        <w:rPr>
          <w:vanish/>
        </w:rPr>
        <w:t>PE772.123</w:t>
      </w:r>
      <w:bookmarkEnd w:id="3"/>
    </w:p>
    <w:p w14:paraId="3E9C452B" w14:textId="54D34E15" w:rsidR="00A541A5" w:rsidRPr="00506E09" w:rsidRDefault="00A541A5" w:rsidP="00A541A5">
      <w:pPr>
        <w:pStyle w:val="ATHeading3"/>
      </w:pPr>
      <w:bookmarkStart w:id="4" w:name="Sujet"/>
      <w:r w:rsidRPr="00506E09">
        <w:t xml:space="preserve">Europaparlamentets resolution av den </w:t>
      </w:r>
      <w:r w:rsidR="005E00C2" w:rsidRPr="00506E09">
        <w:t>26</w:t>
      </w:r>
      <w:r w:rsidRPr="00506E09">
        <w:t xml:space="preserve"> </w:t>
      </w:r>
      <w:r w:rsidR="005E00C2" w:rsidRPr="00506E09">
        <w:t>november</w:t>
      </w:r>
      <w:r w:rsidRPr="00506E09">
        <w:t xml:space="preserve"> 2025 om tillgång till finansiering för små och medelstora företag och expanderande företag</w:t>
      </w:r>
      <w:bookmarkEnd w:id="4"/>
      <w:r w:rsidRPr="00506E09">
        <w:t xml:space="preserve"> </w:t>
      </w:r>
      <w:bookmarkStart w:id="5" w:name="References"/>
      <w:r w:rsidRPr="00506E09">
        <w:t>(2025/2072(INI))</w:t>
      </w:r>
      <w:bookmarkEnd w:id="5"/>
    </w:p>
    <w:p w14:paraId="2C1A2859" w14:textId="77777777" w:rsidR="00E5047E" w:rsidRPr="00506E09" w:rsidRDefault="00E5047E" w:rsidP="00E5047E">
      <w:pPr>
        <w:pStyle w:val="EPComma"/>
      </w:pPr>
      <w:r w:rsidRPr="00506E09">
        <w:rPr>
          <w:i/>
          <w:iCs/>
        </w:rPr>
        <w:t>Europaparlamentet utfärdar denna resolution</w:t>
      </w:r>
    </w:p>
    <w:p w14:paraId="028ABA59" w14:textId="77777777" w:rsidR="00E5047E" w:rsidRPr="00506E09" w:rsidRDefault="00E5047E" w:rsidP="00E5047E">
      <w:pPr>
        <w:pStyle w:val="NormalHanging12a"/>
      </w:pPr>
      <w:r w:rsidRPr="00506E09">
        <w:t>–</w:t>
      </w:r>
      <w:r w:rsidRPr="00506E09">
        <w:tab/>
        <w:t xml:space="preserve">med beaktande av kommissionens meddelande av den 29 januari 2025 </w:t>
      </w:r>
      <w:r w:rsidRPr="00506E09">
        <w:rPr>
          <w:i/>
          <w:iCs/>
        </w:rPr>
        <w:t>En konkurrenskraftskompass för EU</w:t>
      </w:r>
      <w:r w:rsidRPr="00506E09">
        <w:t xml:space="preserve"> (COM(2025)0030),</w:t>
      </w:r>
    </w:p>
    <w:p w14:paraId="1F1B9DE8" w14:textId="77777777" w:rsidR="00E5047E" w:rsidRPr="00506E09" w:rsidRDefault="00E5047E" w:rsidP="00E5047E">
      <w:pPr>
        <w:pStyle w:val="NormalHanging12a"/>
        <w:rPr>
          <w:snapToGrid/>
        </w:rPr>
      </w:pPr>
      <w:r w:rsidRPr="00506E09">
        <w:t>–</w:t>
      </w:r>
      <w:r w:rsidRPr="00506E09">
        <w:tab/>
        <w:t xml:space="preserve">med beaktande av kommissionens meddelande av den 28 maj 2025 </w:t>
      </w:r>
      <w:r w:rsidRPr="00506E09">
        <w:rPr>
          <w:i/>
          <w:iCs/>
        </w:rPr>
        <w:t>EU:s strategi för uppstartsföretag och expanderande företag – Välj Europa för att starta företag och få dem att växa</w:t>
      </w:r>
      <w:r w:rsidRPr="00506E09">
        <w:t xml:space="preserve"> (COM(2025)0270),</w:t>
      </w:r>
    </w:p>
    <w:p w14:paraId="0185A242" w14:textId="77777777" w:rsidR="00E5047E" w:rsidRPr="00506E09" w:rsidRDefault="00E5047E" w:rsidP="00E5047E">
      <w:pPr>
        <w:pStyle w:val="NormalHanging12a"/>
      </w:pPr>
      <w:r w:rsidRPr="00506E09">
        <w:t>–</w:t>
      </w:r>
      <w:r w:rsidRPr="00506E09">
        <w:tab/>
        <w:t xml:space="preserve">med beaktande av kommissionens meddelande av den 21 maj 2025 </w:t>
      </w:r>
      <w:r w:rsidRPr="00506E09">
        <w:rPr>
          <w:i/>
          <w:iCs/>
        </w:rPr>
        <w:t>Den inre marknaden: vår europeiska hemmamarknad i en osäker värld – En strategi för att göra den inre marknaden enkel, sömlös och stark</w:t>
      </w:r>
      <w:r w:rsidRPr="00506E09">
        <w:t xml:space="preserve"> (COM(2025)0500),</w:t>
      </w:r>
    </w:p>
    <w:p w14:paraId="7EAE6157" w14:textId="77777777" w:rsidR="00E5047E" w:rsidRPr="00506E09" w:rsidRDefault="00E5047E" w:rsidP="00E5047E">
      <w:pPr>
        <w:pStyle w:val="NormalHanging12a"/>
      </w:pPr>
      <w:r w:rsidRPr="00506E09">
        <w:t>–</w:t>
      </w:r>
      <w:r w:rsidRPr="00506E09">
        <w:tab/>
        <w:t>med beaktande av Budapestförklaringen, som antogs vid stats- och regeringschefernas informella möte den 8 november 2024,</w:t>
      </w:r>
    </w:p>
    <w:p w14:paraId="02D93C9F" w14:textId="77777777" w:rsidR="00E5047E" w:rsidRPr="00506E09" w:rsidRDefault="00E5047E" w:rsidP="00E5047E">
      <w:pPr>
        <w:pStyle w:val="NormalHanging12a"/>
      </w:pPr>
      <w:r w:rsidRPr="00506E09">
        <w:t>–</w:t>
      </w:r>
      <w:r w:rsidRPr="00506E09">
        <w:tab/>
        <w:t xml:space="preserve">med beaktande av kommissionens ordförande Ursula von der </w:t>
      </w:r>
      <w:proofErr w:type="spellStart"/>
      <w:r w:rsidRPr="00506E09">
        <w:t>Leyens</w:t>
      </w:r>
      <w:proofErr w:type="spellEnd"/>
      <w:r w:rsidRPr="00506E09">
        <w:t xml:space="preserve"> publikation av den 18 juli 2024 </w:t>
      </w:r>
      <w:r w:rsidRPr="00506E09">
        <w:rPr>
          <w:i/>
          <w:iCs/>
        </w:rPr>
        <w:t>Europas val – Politiska riktlinjer för nästa Europeiska kommission 2024−2029</w:t>
      </w:r>
      <w:r w:rsidRPr="00506E09">
        <w:t>,</w:t>
      </w:r>
    </w:p>
    <w:p w14:paraId="62F76212" w14:textId="77777777" w:rsidR="00E5047E" w:rsidRPr="00506E09" w:rsidRDefault="00E5047E" w:rsidP="00E5047E">
      <w:pPr>
        <w:pStyle w:val="NormalHanging12a"/>
        <w:rPr>
          <w:lang w:val="en-GB"/>
        </w:rPr>
      </w:pPr>
      <w:r w:rsidRPr="00506E09">
        <w:rPr>
          <w:lang w:val="en-GB"/>
        </w:rPr>
        <w:t>–</w:t>
      </w:r>
      <w:r w:rsidRPr="00506E09">
        <w:rPr>
          <w:lang w:val="en-GB"/>
        </w:rPr>
        <w:tab/>
        <w:t xml:space="preserve">med </w:t>
      </w:r>
      <w:proofErr w:type="spellStart"/>
      <w:r w:rsidRPr="00506E09">
        <w:rPr>
          <w:lang w:val="en-GB"/>
        </w:rPr>
        <w:t>beaktande</w:t>
      </w:r>
      <w:proofErr w:type="spellEnd"/>
      <w:r w:rsidRPr="00506E09">
        <w:rPr>
          <w:lang w:val="en-GB"/>
        </w:rPr>
        <w:t xml:space="preserve"> </w:t>
      </w:r>
      <w:proofErr w:type="spellStart"/>
      <w:r w:rsidRPr="00506E09">
        <w:rPr>
          <w:lang w:val="en-GB"/>
        </w:rPr>
        <w:t>av</w:t>
      </w:r>
      <w:proofErr w:type="spellEnd"/>
      <w:r w:rsidRPr="00506E09">
        <w:rPr>
          <w:lang w:val="en-GB"/>
        </w:rPr>
        <w:t xml:space="preserve"> </w:t>
      </w:r>
      <w:proofErr w:type="spellStart"/>
      <w:r w:rsidRPr="00506E09">
        <w:rPr>
          <w:lang w:val="en-GB"/>
        </w:rPr>
        <w:t>Europeiska</w:t>
      </w:r>
      <w:proofErr w:type="spellEnd"/>
      <w:r w:rsidRPr="00506E09">
        <w:rPr>
          <w:lang w:val="en-GB"/>
        </w:rPr>
        <w:t xml:space="preserve"> </w:t>
      </w:r>
      <w:proofErr w:type="spellStart"/>
      <w:r w:rsidRPr="00506E09">
        <w:rPr>
          <w:lang w:val="en-GB"/>
        </w:rPr>
        <w:t>centralbankens</w:t>
      </w:r>
      <w:proofErr w:type="spellEnd"/>
      <w:r w:rsidRPr="00506E09">
        <w:rPr>
          <w:lang w:val="en-GB"/>
        </w:rPr>
        <w:t xml:space="preserve"> rapport </w:t>
      </w:r>
      <w:r w:rsidRPr="00506E09">
        <w:rPr>
          <w:i/>
          <w:iCs/>
          <w:lang w:val="en-GB"/>
        </w:rPr>
        <w:t>Survey on the Access to Finance of Enterprises in the euro area – First Quarter of 2025</w:t>
      </w:r>
      <w:r w:rsidRPr="00506E09">
        <w:rPr>
          <w:lang w:val="en-GB"/>
        </w:rPr>
        <w:t xml:space="preserve">, </w:t>
      </w:r>
      <w:proofErr w:type="spellStart"/>
      <w:r w:rsidRPr="00506E09">
        <w:rPr>
          <w:lang w:val="en-GB"/>
        </w:rPr>
        <w:t>offentliggjord</w:t>
      </w:r>
      <w:proofErr w:type="spellEnd"/>
      <w:r w:rsidRPr="00506E09">
        <w:rPr>
          <w:lang w:val="en-GB"/>
        </w:rPr>
        <w:t xml:space="preserve"> i </w:t>
      </w:r>
      <w:proofErr w:type="spellStart"/>
      <w:r w:rsidRPr="00506E09">
        <w:rPr>
          <w:lang w:val="en-GB"/>
        </w:rPr>
        <w:t>april</w:t>
      </w:r>
      <w:proofErr w:type="spellEnd"/>
      <w:r w:rsidRPr="00506E09">
        <w:rPr>
          <w:lang w:val="en-GB"/>
        </w:rPr>
        <w:t xml:space="preserve"> 2025,</w:t>
      </w:r>
    </w:p>
    <w:p w14:paraId="477A433A" w14:textId="58D6C553" w:rsidR="00E5047E" w:rsidRPr="00506E09" w:rsidRDefault="00E5047E" w:rsidP="00E5047E">
      <w:pPr>
        <w:pStyle w:val="NormalHanging12a"/>
      </w:pPr>
      <w:r w:rsidRPr="00506E09">
        <w:t>–</w:t>
      </w:r>
      <w:r w:rsidRPr="00506E09">
        <w:tab/>
        <w:t xml:space="preserve">med beaktande av kommissionens meddelande av den 19 mars 2025 </w:t>
      </w:r>
      <w:r w:rsidRPr="00506E09">
        <w:rPr>
          <w:i/>
          <w:iCs/>
        </w:rPr>
        <w:t>Spar- och investeringsunionen – En strategi för att öka medborgarnas välstånd och den ekonomiska konkurrenskraften i EU</w:t>
      </w:r>
      <w:r w:rsidRPr="00506E09">
        <w:t xml:space="preserve"> (COM(2025)0124),</w:t>
      </w:r>
    </w:p>
    <w:p w14:paraId="3871EE20" w14:textId="77777777" w:rsidR="00E5047E" w:rsidRPr="00506E09" w:rsidRDefault="00E5047E" w:rsidP="00E5047E">
      <w:pPr>
        <w:pStyle w:val="NormalHanging12a"/>
      </w:pPr>
      <w:r w:rsidRPr="00506E09">
        <w:t>–</w:t>
      </w:r>
      <w:r w:rsidRPr="00506E09">
        <w:tab/>
        <w:t xml:space="preserve">med beaktande av kommissionens rapport </w:t>
      </w:r>
      <w:r w:rsidRPr="00506E09">
        <w:rPr>
          <w:i/>
          <w:iCs/>
        </w:rPr>
        <w:t xml:space="preserve">Survey on the access to </w:t>
      </w:r>
      <w:proofErr w:type="spellStart"/>
      <w:r w:rsidRPr="00506E09">
        <w:rPr>
          <w:i/>
          <w:iCs/>
        </w:rPr>
        <w:t>finance</w:t>
      </w:r>
      <w:proofErr w:type="spellEnd"/>
      <w:r w:rsidRPr="00506E09">
        <w:rPr>
          <w:i/>
          <w:iCs/>
        </w:rPr>
        <w:t xml:space="preserve"> </w:t>
      </w:r>
      <w:proofErr w:type="spellStart"/>
      <w:r w:rsidRPr="00506E09">
        <w:rPr>
          <w:i/>
          <w:iCs/>
        </w:rPr>
        <w:t>of</w:t>
      </w:r>
      <w:proofErr w:type="spellEnd"/>
      <w:r w:rsidRPr="00506E09">
        <w:rPr>
          <w:i/>
          <w:iCs/>
        </w:rPr>
        <w:t xml:space="preserve"> </w:t>
      </w:r>
      <w:proofErr w:type="spellStart"/>
      <w:r w:rsidRPr="00506E09">
        <w:rPr>
          <w:i/>
          <w:iCs/>
        </w:rPr>
        <w:t>businesses</w:t>
      </w:r>
      <w:proofErr w:type="spellEnd"/>
      <w:r w:rsidRPr="00506E09">
        <w:rPr>
          <w:i/>
          <w:iCs/>
        </w:rPr>
        <w:t xml:space="preserve"> (SAFE) – </w:t>
      </w:r>
      <w:proofErr w:type="spellStart"/>
      <w:r w:rsidRPr="00506E09">
        <w:rPr>
          <w:i/>
          <w:iCs/>
        </w:rPr>
        <w:t>Analytical</w:t>
      </w:r>
      <w:proofErr w:type="spellEnd"/>
      <w:r w:rsidRPr="00506E09">
        <w:rPr>
          <w:i/>
          <w:iCs/>
        </w:rPr>
        <w:t xml:space="preserve"> </w:t>
      </w:r>
      <w:proofErr w:type="spellStart"/>
      <w:r w:rsidRPr="00506E09">
        <w:rPr>
          <w:i/>
          <w:iCs/>
        </w:rPr>
        <w:t>report</w:t>
      </w:r>
      <w:proofErr w:type="spellEnd"/>
      <w:r w:rsidRPr="00506E09">
        <w:rPr>
          <w:i/>
          <w:iCs/>
        </w:rPr>
        <w:t xml:space="preserve"> 2024</w:t>
      </w:r>
      <w:r w:rsidRPr="00506E09">
        <w:t>, offentliggjord i januari 2025,</w:t>
      </w:r>
    </w:p>
    <w:p w14:paraId="05C9043D" w14:textId="77777777" w:rsidR="00E5047E" w:rsidRPr="00506E09" w:rsidRDefault="00E5047E" w:rsidP="00E5047E">
      <w:pPr>
        <w:pStyle w:val="NormalHanging12a"/>
      </w:pPr>
      <w:r w:rsidRPr="00506E09">
        <w:t>–</w:t>
      </w:r>
      <w:r w:rsidRPr="00506E09">
        <w:tab/>
        <w:t xml:space="preserve">med beaktande av Mario </w:t>
      </w:r>
      <w:proofErr w:type="spellStart"/>
      <w:r w:rsidRPr="00506E09">
        <w:t>Draghis</w:t>
      </w:r>
      <w:proofErr w:type="spellEnd"/>
      <w:r w:rsidRPr="00506E09">
        <w:t xml:space="preserve"> rapport om EU:s framtida konkurrenskraft, </w:t>
      </w:r>
      <w:r w:rsidRPr="00506E09">
        <w:rPr>
          <w:i/>
          <w:iCs/>
        </w:rPr>
        <w:t xml:space="preserve">The </w:t>
      </w:r>
      <w:proofErr w:type="spellStart"/>
      <w:r w:rsidRPr="00506E09">
        <w:rPr>
          <w:i/>
          <w:iCs/>
        </w:rPr>
        <w:t>future</w:t>
      </w:r>
      <w:proofErr w:type="spellEnd"/>
      <w:r w:rsidRPr="00506E09">
        <w:rPr>
          <w:i/>
          <w:iCs/>
        </w:rPr>
        <w:t xml:space="preserve"> </w:t>
      </w:r>
      <w:proofErr w:type="spellStart"/>
      <w:r w:rsidRPr="00506E09">
        <w:rPr>
          <w:i/>
          <w:iCs/>
        </w:rPr>
        <w:t>of</w:t>
      </w:r>
      <w:proofErr w:type="spellEnd"/>
      <w:r w:rsidRPr="00506E09">
        <w:rPr>
          <w:i/>
          <w:iCs/>
        </w:rPr>
        <w:t xml:space="preserve"> </w:t>
      </w:r>
      <w:proofErr w:type="spellStart"/>
      <w:r w:rsidRPr="00506E09">
        <w:rPr>
          <w:i/>
          <w:iCs/>
        </w:rPr>
        <w:t>European</w:t>
      </w:r>
      <w:proofErr w:type="spellEnd"/>
      <w:r w:rsidRPr="00506E09">
        <w:rPr>
          <w:i/>
          <w:iCs/>
        </w:rPr>
        <w:t xml:space="preserve"> </w:t>
      </w:r>
      <w:proofErr w:type="spellStart"/>
      <w:r w:rsidRPr="00506E09">
        <w:rPr>
          <w:i/>
          <w:iCs/>
        </w:rPr>
        <w:t>competitiveness</w:t>
      </w:r>
      <w:proofErr w:type="spellEnd"/>
      <w:r w:rsidRPr="00506E09">
        <w:t xml:space="preserve"> (</w:t>
      </w:r>
      <w:proofErr w:type="spellStart"/>
      <w:r w:rsidRPr="00506E09">
        <w:t>Draghi</w:t>
      </w:r>
      <w:proofErr w:type="spellEnd"/>
      <w:r w:rsidRPr="00506E09">
        <w:t>-rapporten), offentliggjord i september 2024,</w:t>
      </w:r>
    </w:p>
    <w:p w14:paraId="0BB45DFF" w14:textId="77777777" w:rsidR="00E5047E" w:rsidRPr="00506E09" w:rsidRDefault="00E5047E" w:rsidP="00E5047E">
      <w:pPr>
        <w:pStyle w:val="NormalHanging12a"/>
      </w:pPr>
      <w:r w:rsidRPr="00506E09">
        <w:lastRenderedPageBreak/>
        <w:t>–</w:t>
      </w:r>
      <w:r w:rsidRPr="00506E09">
        <w:tab/>
        <w:t xml:space="preserve">med beaktande av kommissionens årsrapport av den 25 juli 2024 om europeiska små och medelstora företag, </w:t>
      </w:r>
      <w:proofErr w:type="spellStart"/>
      <w:r w:rsidRPr="00506E09">
        <w:rPr>
          <w:i/>
          <w:iCs/>
        </w:rPr>
        <w:t>Annual</w:t>
      </w:r>
      <w:proofErr w:type="spellEnd"/>
      <w:r w:rsidRPr="00506E09">
        <w:rPr>
          <w:i/>
          <w:iCs/>
        </w:rPr>
        <w:t xml:space="preserve"> </w:t>
      </w:r>
      <w:proofErr w:type="spellStart"/>
      <w:r w:rsidRPr="00506E09">
        <w:rPr>
          <w:i/>
          <w:iCs/>
        </w:rPr>
        <w:t>Report</w:t>
      </w:r>
      <w:proofErr w:type="spellEnd"/>
      <w:r w:rsidRPr="00506E09">
        <w:rPr>
          <w:i/>
          <w:iCs/>
        </w:rPr>
        <w:t xml:space="preserve"> on </w:t>
      </w:r>
      <w:proofErr w:type="spellStart"/>
      <w:r w:rsidRPr="00506E09">
        <w:rPr>
          <w:i/>
          <w:iCs/>
        </w:rPr>
        <w:t>European</w:t>
      </w:r>
      <w:proofErr w:type="spellEnd"/>
      <w:r w:rsidRPr="00506E09">
        <w:rPr>
          <w:i/>
          <w:iCs/>
        </w:rPr>
        <w:t xml:space="preserve"> SMEs 2023/2024</w:t>
      </w:r>
      <w:r w:rsidRPr="00506E09">
        <w:t>,</w:t>
      </w:r>
    </w:p>
    <w:p w14:paraId="2186BE34" w14:textId="77777777" w:rsidR="00E5047E" w:rsidRPr="00506E09" w:rsidRDefault="00E5047E" w:rsidP="00E5047E">
      <w:pPr>
        <w:pStyle w:val="NormalHanging12a"/>
      </w:pPr>
      <w:r w:rsidRPr="00506E09">
        <w:t>–</w:t>
      </w:r>
      <w:r w:rsidRPr="00506E09">
        <w:tab/>
        <w:t xml:space="preserve">med beaktande av Enrico </w:t>
      </w:r>
      <w:proofErr w:type="spellStart"/>
      <w:r w:rsidRPr="00506E09">
        <w:t>Lettas</w:t>
      </w:r>
      <w:proofErr w:type="spellEnd"/>
      <w:r w:rsidRPr="00506E09">
        <w:t xml:space="preserve"> rapport </w:t>
      </w:r>
      <w:proofErr w:type="spellStart"/>
      <w:r w:rsidRPr="00506E09">
        <w:rPr>
          <w:i/>
          <w:iCs/>
        </w:rPr>
        <w:t>Much</w:t>
      </w:r>
      <w:proofErr w:type="spellEnd"/>
      <w:r w:rsidRPr="00506E09">
        <w:rPr>
          <w:i/>
          <w:iCs/>
        </w:rPr>
        <w:t xml:space="preserve"> </w:t>
      </w:r>
      <w:proofErr w:type="spellStart"/>
      <w:r w:rsidRPr="00506E09">
        <w:rPr>
          <w:i/>
          <w:iCs/>
        </w:rPr>
        <w:t>more</w:t>
      </w:r>
      <w:proofErr w:type="spellEnd"/>
      <w:r w:rsidRPr="00506E09">
        <w:rPr>
          <w:i/>
          <w:iCs/>
        </w:rPr>
        <w:t xml:space="preserve"> </w:t>
      </w:r>
      <w:proofErr w:type="spellStart"/>
      <w:r w:rsidRPr="00506E09">
        <w:rPr>
          <w:i/>
          <w:iCs/>
        </w:rPr>
        <w:t>than</w:t>
      </w:r>
      <w:proofErr w:type="spellEnd"/>
      <w:r w:rsidRPr="00506E09">
        <w:rPr>
          <w:i/>
          <w:iCs/>
        </w:rPr>
        <w:t xml:space="preserve"> a market</w:t>
      </w:r>
      <w:r w:rsidRPr="00506E09">
        <w:t xml:space="preserve"> (</w:t>
      </w:r>
      <w:proofErr w:type="spellStart"/>
      <w:r w:rsidRPr="00506E09">
        <w:t>Letta</w:t>
      </w:r>
      <w:proofErr w:type="spellEnd"/>
      <w:r w:rsidRPr="00506E09">
        <w:t>-rapporten), offentliggjord i april 2024,</w:t>
      </w:r>
    </w:p>
    <w:p w14:paraId="493B9E11" w14:textId="77485A70" w:rsidR="00E5047E" w:rsidRPr="00506E09" w:rsidRDefault="00E5047E" w:rsidP="00E5047E">
      <w:pPr>
        <w:pStyle w:val="NormalHanging12a"/>
      </w:pPr>
      <w:r w:rsidRPr="00506E09">
        <w:t>–</w:t>
      </w:r>
      <w:r w:rsidRPr="00506E09">
        <w:tab/>
        <w:t xml:space="preserve">med beaktande av slutsatserna från Europeiska rådets extra möte den 17–18 </w:t>
      </w:r>
      <w:r w:rsidR="00262AB9">
        <w:t>april</w:t>
      </w:r>
      <w:r w:rsidRPr="00506E09">
        <w:t xml:space="preserve"> 2024,</w:t>
      </w:r>
    </w:p>
    <w:p w14:paraId="0F2BCF77" w14:textId="77777777" w:rsidR="00E5047E" w:rsidRPr="00506E09" w:rsidRDefault="00E5047E" w:rsidP="00E5047E">
      <w:pPr>
        <w:pStyle w:val="NormalHanging12a"/>
      </w:pPr>
      <w:r w:rsidRPr="00506E09">
        <w:t>–</w:t>
      </w:r>
      <w:r w:rsidRPr="00506E09">
        <w:tab/>
        <w:t>med beaktande av sin resolution av den 14 december 2023 om ökad innovation, industriell och teknisk konkurrenskraft genom en gynnsam miljö för uppstartsföretag och expanderande företag</w:t>
      </w:r>
      <w:r w:rsidRPr="00506E09">
        <w:rPr>
          <w:rStyle w:val="FootnoteReference"/>
        </w:rPr>
        <w:footnoteReference w:id="1"/>
      </w:r>
      <w:r w:rsidRPr="00506E09">
        <w:t>,</w:t>
      </w:r>
    </w:p>
    <w:p w14:paraId="1EC2C12E" w14:textId="77777777" w:rsidR="00E5047E" w:rsidRPr="00506E09" w:rsidRDefault="00E5047E" w:rsidP="00E5047E">
      <w:pPr>
        <w:pStyle w:val="NormalHanging12a"/>
      </w:pPr>
      <w:r w:rsidRPr="00506E09">
        <w:t>–</w:t>
      </w:r>
      <w:r w:rsidRPr="00506E09">
        <w:tab/>
        <w:t>med beaktande av kommissionens meddelande av den 12 september 2023 om stödpaketet för små och medelstora företag (COM(2023)0535),</w:t>
      </w:r>
    </w:p>
    <w:p w14:paraId="3079B6FC" w14:textId="77777777" w:rsidR="00E5047E" w:rsidRPr="00506E09" w:rsidRDefault="00E5047E" w:rsidP="00E5047E">
      <w:pPr>
        <w:pStyle w:val="NormalHanging12a"/>
      </w:pPr>
      <w:r w:rsidRPr="00506E09">
        <w:t>–</w:t>
      </w:r>
      <w:r w:rsidRPr="00506E09">
        <w:tab/>
        <w:t>med beaktande av artikel 55 i arbetsordningen,</w:t>
      </w:r>
    </w:p>
    <w:p w14:paraId="486DC101" w14:textId="77777777" w:rsidR="00E5047E" w:rsidRPr="00506E09" w:rsidRDefault="00E5047E" w:rsidP="00E5047E">
      <w:pPr>
        <w:pStyle w:val="NormalHanging12a"/>
        <w:rPr>
          <w:snapToGrid/>
        </w:rPr>
      </w:pPr>
      <w:r w:rsidRPr="00506E09">
        <w:t>–</w:t>
      </w:r>
      <w:r w:rsidRPr="00506E09">
        <w:tab/>
        <w:t>med beaktande av betänkandet från utskottet för ekonomi och valutafrågor (A10-0185/2025), och av följande skäl:</w:t>
      </w:r>
    </w:p>
    <w:p w14:paraId="35922CF0" w14:textId="77777777" w:rsidR="00E5047E" w:rsidRPr="00506E09" w:rsidRDefault="00E5047E" w:rsidP="00E5047E">
      <w:pPr>
        <w:pStyle w:val="NormalHanging12a"/>
      </w:pPr>
      <w:r w:rsidRPr="00506E09">
        <w:t>A.</w:t>
      </w:r>
      <w:r w:rsidRPr="00506E09">
        <w:tab/>
        <w:t>Mikroföretag samt små och medelstora företag utgör ryggraden i det europeiska näringslivet och 2023 stod små och medelstora företag för 99,8 % av alla företag, 65,2 % av sysselsättningen och 53,1 % av mervärdet i den icke-finansiella företagssektorn i EU</w:t>
      </w:r>
      <w:r w:rsidRPr="00506E09">
        <w:rPr>
          <w:rStyle w:val="FootnoteReference"/>
        </w:rPr>
        <w:footnoteReference w:id="2"/>
      </w:r>
      <w:r w:rsidRPr="00506E09">
        <w:t>.</w:t>
      </w:r>
    </w:p>
    <w:p w14:paraId="43D2CA67" w14:textId="77777777" w:rsidR="00E5047E" w:rsidRPr="00506E09" w:rsidRDefault="00E5047E" w:rsidP="00E5047E">
      <w:pPr>
        <w:pStyle w:val="NormalHanging12a"/>
        <w:rPr>
          <w:snapToGrid/>
        </w:rPr>
      </w:pPr>
      <w:r w:rsidRPr="00506E09">
        <w:t>B.</w:t>
      </w:r>
      <w:r w:rsidRPr="00506E09">
        <w:tab/>
        <w:t>EU som helhet – och särskilt dess största ekonomier – upplever för närvarande en långsam ekonomisk tillväxt och problem eftersom företag förlorar konkurrenskraft gentemot tredjeländer, vilket förvärras av konsekvenserna av pandemin, energikrisen och Rysslands angrepp mot Ukraina, som särskilt har påverkat små och medelstora företag och ekonomierna i länder längs EU:s östra gräns.</w:t>
      </w:r>
    </w:p>
    <w:p w14:paraId="08ABBBBF" w14:textId="77777777" w:rsidR="00E5047E" w:rsidRPr="00506E09" w:rsidRDefault="00E5047E" w:rsidP="00E5047E">
      <w:pPr>
        <w:pStyle w:val="NormalHanging12a"/>
      </w:pPr>
      <w:r w:rsidRPr="00506E09">
        <w:t>C.</w:t>
      </w:r>
      <w:r w:rsidRPr="00506E09">
        <w:tab/>
        <w:t>De europeiska små och medelstora företagen skiljer sig åt i fråga om omfattning, industri, finansiella behov, lokalisering, ägande, affärsmodell och innovationskapacitet, och står därför inför olika utmaningar och finansieringsbehov, med begränsad kapacitet att hantera dem. De flesta europeiska små och medelstora företag är framför allt verksamma på nationell nivå. Relativt få små och medelstora företag ägnar sig åt gränsöverskridande verksamhet inom EU, och de som exporterar utanför unionen utgör en minoritet.</w:t>
      </w:r>
    </w:p>
    <w:p w14:paraId="3F4E3832" w14:textId="77777777" w:rsidR="00E5047E" w:rsidRPr="00506E09" w:rsidRDefault="00E5047E" w:rsidP="00E5047E">
      <w:pPr>
        <w:pStyle w:val="NormalHanging12a"/>
      </w:pPr>
      <w:r w:rsidRPr="00506E09">
        <w:t>D.</w:t>
      </w:r>
      <w:r w:rsidRPr="00506E09">
        <w:tab/>
      </w:r>
      <w:proofErr w:type="spellStart"/>
      <w:r w:rsidRPr="00506E09">
        <w:t>Draghi</w:t>
      </w:r>
      <w:proofErr w:type="spellEnd"/>
      <w:r w:rsidRPr="00506E09">
        <w:t xml:space="preserve">-rapporten visar att regleringshinder och administrativa bördor är bland de största utmaningarna för små och medelstora företag, med rapporteringsbestämmelser, främst inom ramen för den europeiska gröna given, som av mer än 60 % av företagen i EU ses som ett hinder för investeringar, och att 55 % av de små och medelstora företagen anser att regleringshinder och administrativa bördor är deras största utmaning, samtidigt som andelen är ännu större för uppstartsföretag och mikroföretag. Det rekommenderas att </w:t>
      </w:r>
      <w:r w:rsidRPr="00506E09">
        <w:lastRenderedPageBreak/>
        <w:t>små och medelstora företag undantas från reglering av proportionalitetsskäl, att det införs ett enklare, mer förutsägbart och konkurrenskraftigt regelverk och att det görs en översyn av den europeiska gröna given, eftersom detta är avgörande för deras välstånd.</w:t>
      </w:r>
    </w:p>
    <w:p w14:paraId="36CEBDA4" w14:textId="77777777" w:rsidR="00E5047E" w:rsidRPr="00506E09" w:rsidRDefault="00E5047E" w:rsidP="00E5047E">
      <w:pPr>
        <w:pStyle w:val="NormalHanging12a"/>
        <w:keepNext/>
        <w:keepLines/>
      </w:pPr>
      <w:r w:rsidRPr="00506E09">
        <w:t>E.</w:t>
      </w:r>
      <w:r w:rsidRPr="00506E09">
        <w:tab/>
        <w:t>Kommissionen strävar efter att förbättra små och medelstora företags tillgång till finansiering för att öka omfattningen, minska ineffektiviteten och främja interoperabiliteten, och har satt som mål att minska rapporteringsbördan för små och medelstora företag med minst 35 % ,och har aviserat en ny metod för kontroll av små och medelstora företags konkurrenskraft i konsekvensbedömningar. Dessa initiativ måste åtföljas av ett välutvecklat riskkapitalekosystem, med tanke på att institutionella investerare såsom försäkringsbolag ger ett viktigt bidrag till finansieringen av små och medelstora företag genom risköverföring och riskomvandling, och även med tanke på att merparten av finansieringen i Europeiska unionen, till skillnad från i Förenta staterna, kommer från banker och att det finns betydande skillnader mellan den europeiska investeringskulturen och andra regioner i världen, särskilt när det gäller riskkapital och investeringar som görs av affärsänglar. Denna situation gör små och medelstora företag särskilt sårbara för en åtstramning av bankernas utlåning.</w:t>
      </w:r>
    </w:p>
    <w:p w14:paraId="344E1080" w14:textId="77777777" w:rsidR="00E5047E" w:rsidRPr="00506E09" w:rsidRDefault="00E5047E" w:rsidP="00E5047E">
      <w:pPr>
        <w:pStyle w:val="NormalHanging12a"/>
      </w:pPr>
      <w:r w:rsidRPr="00506E09">
        <w:t>F.</w:t>
      </w:r>
      <w:r w:rsidRPr="00506E09">
        <w:tab/>
        <w:t>Europa saknar en mer dynamisk och gynnsam miljö för innovativa företag att expandera och för ytterligare investeringar och framsteg i digital infrastruktur, vilket leder till att nästan 30 % av enhörningsföretagen flyttar utomlands</w:t>
      </w:r>
      <w:r w:rsidRPr="00506E09">
        <w:rPr>
          <w:rStyle w:val="FootnoteReference"/>
        </w:rPr>
        <w:footnoteReference w:id="3"/>
      </w:r>
      <w:r w:rsidRPr="00506E09">
        <w:t>.</w:t>
      </w:r>
    </w:p>
    <w:p w14:paraId="31DBC2C3" w14:textId="77777777" w:rsidR="00E5047E" w:rsidRPr="00506E09" w:rsidRDefault="00E5047E" w:rsidP="00E5047E">
      <w:pPr>
        <w:pStyle w:val="NormalHanging12a"/>
      </w:pPr>
      <w:r w:rsidRPr="00506E09">
        <w:t>G.</w:t>
      </w:r>
      <w:r w:rsidRPr="00506E09">
        <w:tab/>
        <w:t>Kommissionen har offentliggjort en strategi för uppstartsföretag och expanderande företag, och det finns olika initiativ som syftar till att främja entreprenörskap, innovation och digital omvandling i EU, såsom strategin för uppstartsföretag och expanderande företag, resultattavlan för miljöinnovation, kunskaps- och innovationsgrupper, den europeiska plattformen för klustersamarbete, det digitala decenniet och strategin för den digitala inre marknaden samt finansieringsprogram inriktade på innovation inom andra politikområden.</w:t>
      </w:r>
    </w:p>
    <w:p w14:paraId="56CB7886" w14:textId="77777777" w:rsidR="00E5047E" w:rsidRPr="00506E09" w:rsidRDefault="00E5047E" w:rsidP="00E5047E">
      <w:pPr>
        <w:pStyle w:val="Normal12a24b"/>
      </w:pPr>
      <w:r w:rsidRPr="00506E09">
        <w:rPr>
          <w:rStyle w:val="BoldItalic"/>
        </w:rPr>
        <w:t>Allmänna kommentarer</w:t>
      </w:r>
    </w:p>
    <w:p w14:paraId="56DB83AC" w14:textId="77777777" w:rsidR="00E5047E" w:rsidRPr="00506E09" w:rsidRDefault="00E5047E" w:rsidP="00E5047E">
      <w:pPr>
        <w:pStyle w:val="NormalHanging12a"/>
      </w:pPr>
      <w:r w:rsidRPr="00506E09">
        <w:t>1.</w:t>
      </w:r>
      <w:r w:rsidRPr="00506E09">
        <w:tab/>
        <w:t xml:space="preserve">Europaparlamentet anser att det är mycket viktigt att skapa gynnsamma marknadsvillkor för europeiska företag så att de kan förnya sig, starta, skapa, växa och expandera i Europa och därigenom frigöra EU-marknadens fulla potential och förbättra våra ekonomiers konkurrenskraft. Parlamentet erkänner att splittrad lagstiftning är ett av de problem som hindrar expanderande företag från att nå den inre marknadens fulla potential. Parlamentet erkänner att små och medelstora företag står inför ojämlika finansieringsvillkor och krav i olika medlemsstater och regioner på grund av faktorer som är specifika för varje företag, geografiskt läge – såsom att de är belägna i avlägsna områden, yttersta randområden och </w:t>
      </w:r>
      <w:proofErr w:type="spellStart"/>
      <w:r w:rsidRPr="00506E09">
        <w:t>öområden</w:t>
      </w:r>
      <w:proofErr w:type="spellEnd"/>
      <w:r w:rsidRPr="00506E09">
        <w:t xml:space="preserve"> – och den ekonomiska miljön, och att de därför behöver lösningar som är anpassade till sådana särdrag och till behoven i de mindre ekonomierna.</w:t>
      </w:r>
    </w:p>
    <w:p w14:paraId="3E5732E7" w14:textId="77777777" w:rsidR="00E5047E" w:rsidRPr="00506E09" w:rsidRDefault="00E5047E" w:rsidP="00C62978">
      <w:pPr>
        <w:pStyle w:val="NormalHanging12a"/>
        <w:widowControl w:val="0"/>
      </w:pPr>
      <w:r w:rsidRPr="00506E09">
        <w:t>2.</w:t>
      </w:r>
      <w:r w:rsidRPr="00506E09">
        <w:tab/>
        <w:t xml:space="preserve">Europaparlamentet välkomnar att man efter </w:t>
      </w:r>
      <w:proofErr w:type="spellStart"/>
      <w:r w:rsidRPr="00506E09">
        <w:t>Draghi</w:t>
      </w:r>
      <w:proofErr w:type="spellEnd"/>
      <w:r w:rsidRPr="00506E09">
        <w:t xml:space="preserve">- och </w:t>
      </w:r>
      <w:proofErr w:type="spellStart"/>
      <w:r w:rsidRPr="00506E09">
        <w:t>Letta</w:t>
      </w:r>
      <w:proofErr w:type="spellEnd"/>
      <w:r w:rsidRPr="00506E09">
        <w:t xml:space="preserve">-rapporterna har erkänt behovet av en mer konkurrenskraftig, mindre fragmenterad och mindre byråkratisk inre </w:t>
      </w:r>
      <w:r w:rsidRPr="00506E09">
        <w:lastRenderedPageBreak/>
        <w:t>marknad. Parlamentet uppmanar kommissionen att beakta rekommendationerna i dessa rapporter, där det anges att det krävs omedelbara och beslutsamma åtgärder på både lagstiftningsnivå och politisk nivå. Parlamentet beklagar i detta avseende de alltför stora bördor som små och medelstora företag har drabbats av till följd av genomförandet av olika skyldigheter enligt den europeiska gröna given. Parlamentet är övertygat om att särskilda definitioner av uppstartsföretag och expanderande företag skulle öka möjligheterna till stöd genom åtgärder som är anpassade till deras specifika behov.</w:t>
      </w:r>
    </w:p>
    <w:p w14:paraId="3248A475" w14:textId="77777777" w:rsidR="00E5047E" w:rsidRPr="00506E09" w:rsidRDefault="00E5047E" w:rsidP="00E5047E">
      <w:pPr>
        <w:pStyle w:val="NormalHanging12a"/>
        <w:rPr>
          <w:bCs/>
          <w:iCs/>
        </w:rPr>
      </w:pPr>
      <w:r w:rsidRPr="00506E09">
        <w:t>3.</w:t>
      </w:r>
      <w:r w:rsidRPr="00506E09">
        <w:tab/>
        <w:t>Europaparlamentet erkänner att banklån fortfarande är den främsta externa finansieringskällan för små och medelstora företag i unionen. Parlamentet understryker den viktiga roll som traditionella bankmodeller, däribland små regionala banker, sparbanker, föreningsbanker och offentliga institutioner spelar.</w:t>
      </w:r>
    </w:p>
    <w:p w14:paraId="27D9DC7F" w14:textId="77777777" w:rsidR="00E5047E" w:rsidRPr="00506E09" w:rsidRDefault="00E5047E" w:rsidP="00E5047E">
      <w:pPr>
        <w:pStyle w:val="NormalHanging12a"/>
      </w:pPr>
      <w:r w:rsidRPr="00506E09">
        <w:t>4.</w:t>
      </w:r>
      <w:r w:rsidRPr="00506E09">
        <w:tab/>
        <w:t>Europaparlamentet betonar att EU bör sträva efter att göra företagsklimatet enklare och mer attraktivt för mobilisering av både europeiskt och internationellt kapital och europeiska och internationella investeringar. Parlamentet betonar behovet av att främja ett ekosystem för expanderande företag som huvudsakligen bygger på privata investeringar och offentlig-privata partnerskap, vilket skulle bidra till att mobilisera kapital och underlätta företagens tillgång till finansiering. Parlamentet understryker den viktiga och väletablerade roll som spelas av banker som har regional och lokal kunskap om hur man tillhandahåller finansiering till små och medelstora företag, tack vare långvariga förbindelser med dessa företag.</w:t>
      </w:r>
    </w:p>
    <w:p w14:paraId="6BECAC41" w14:textId="3175EED5" w:rsidR="00E5047E" w:rsidRPr="00506E09" w:rsidRDefault="00E5047E" w:rsidP="00E5047E">
      <w:pPr>
        <w:pStyle w:val="NormalHanging12a"/>
      </w:pPr>
      <w:r w:rsidRPr="00506E09">
        <w:t>5.</w:t>
      </w:r>
      <w:r w:rsidRPr="00506E09">
        <w:tab/>
        <w:t>Europaparlamentet uppmärksammar de särskilda utmaningar som europeiska expanderande företag står inför när det gäller att få finansiering i ett sent skede av tillväxtfasen. Parlamentet noterar att många EU-företag med stor potential fortfarande är beroende av utländskt riskkapital och utländska investerare, och att en stor andel av de senare finansieringsomgångarna domineras av icke-europeiska investerare. Parlamentet framhåller behovet av att skapa mer attraktiva villkor för investeringar i unionen. Parlamentet betonar att tillgången till finansiering bör styras av kriterier för ekonomisk effektivitet, lönsamhet och skalbarhet, oavsett kapitalets ursprung, och påminner om att öppen och global konkurrens för att locka till sig investeringar gynnar företag och innovation. Parlamentet framhåller i detta avseende EU:s nyligen antagna</w:t>
      </w:r>
      <w:r w:rsidR="005E00C2" w:rsidRPr="00506E09">
        <w:t xml:space="preserve"> </w:t>
      </w:r>
      <w:r w:rsidRPr="00506E09">
        <w:t>börsnoteringsakt</w:t>
      </w:r>
      <w:r w:rsidRPr="00506E09">
        <w:rPr>
          <w:rStyle w:val="FootnoteReference"/>
        </w:rPr>
        <w:footnoteReference w:id="4"/>
      </w:r>
      <w:r w:rsidRPr="00506E09">
        <w:t xml:space="preserve"> som gör det lättare för företag av alla storlekar, inbegripet små och medelstora företag, att börsnoteras i EU.</w:t>
      </w:r>
    </w:p>
    <w:p w14:paraId="71993BB0" w14:textId="77777777" w:rsidR="00E5047E" w:rsidRPr="00506E09" w:rsidRDefault="00E5047E" w:rsidP="00E5047E">
      <w:pPr>
        <w:pStyle w:val="NormalHanging12a"/>
      </w:pPr>
      <w:r w:rsidRPr="00506E09">
        <w:lastRenderedPageBreak/>
        <w:t>6.</w:t>
      </w:r>
      <w:r w:rsidRPr="00506E09">
        <w:tab/>
        <w:t>Europaparlamentet noterar kommissionens offentliggörande av EU:s strategi för uppstartsföretag och expanderande företag som bör främja innovation och ta itu med de utmaningar som enskilda innovatörer, grundare, uppstartsföretag och expanderande företag står inför i EU. Parlamentet betonar att även om den diagnos som ställs i strategin till viss del är korrekt måste de föreslagna åtgärderna vara mer ambitiösa och fokusera på upphävandet av all EU-lagstiftning som medför onödiga byråkratiska bördor som hämmar etablering och expansion av företag. Parlamentet uppmanar kommissionen att inkludera jordbruket bland de prioriterade sektorer som fastställs i strategin.</w:t>
      </w:r>
    </w:p>
    <w:p w14:paraId="1E93B55E" w14:textId="77777777" w:rsidR="00E5047E" w:rsidRPr="00506E09" w:rsidRDefault="00E5047E" w:rsidP="00E5047E">
      <w:pPr>
        <w:pStyle w:val="NormalHanging12a"/>
      </w:pPr>
      <w:r w:rsidRPr="00506E09">
        <w:t>7.</w:t>
      </w:r>
      <w:r w:rsidRPr="00506E09">
        <w:tab/>
        <w:t>Europaparlamentet anser att bättre tillgång till finansiering för små och medelstora företag och expanderande företag kommer att bero på i) en betydande och fortsatt minskning av byråkratiska bördor och regelbördor, inbegripet långdragna tillståndsförfaranden, kostsamma rapporteringskrav och regelverkets komplexitet och oförutsägbarhet, ii) en ökad kapacitet att frigöra privata investeringar och besparingar, iii) en minskning av finansieringsunderskottet för expanderande företag och iv) en förstärkning av ett konkurrenskraftigt kapitalmarknadsekosystem inom EU. Parlamentet betonar att kommissionens slutliga mål för detta ändamål måste vara att fullborda en spar- och investeringsunion som respekterar medlemsstaternas befogenheter och subsidiaritetsprincipen.</w:t>
      </w:r>
    </w:p>
    <w:p w14:paraId="23A19651" w14:textId="77777777" w:rsidR="00E5047E" w:rsidRPr="00506E09" w:rsidRDefault="00E5047E" w:rsidP="00E5047E">
      <w:pPr>
        <w:pStyle w:val="Normal12a24b"/>
      </w:pPr>
      <w:r w:rsidRPr="00506E09">
        <w:rPr>
          <w:rStyle w:val="BoldItalic"/>
        </w:rPr>
        <w:t>Minska byråkratin och regelbördan</w:t>
      </w:r>
    </w:p>
    <w:p w14:paraId="091059A0" w14:textId="77777777" w:rsidR="00E5047E" w:rsidRPr="00506E09" w:rsidRDefault="00E5047E" w:rsidP="00E5047E">
      <w:pPr>
        <w:pStyle w:val="NormalHanging12a"/>
      </w:pPr>
      <w:r w:rsidRPr="00506E09">
        <w:t>8.</w:t>
      </w:r>
      <w:r w:rsidRPr="00506E09">
        <w:tab/>
        <w:t>Europaparlamentet påminner om att många lovande europeiska uppstartsföretag och expanderande företag flyttar till tredjeländer på grund av ett betungande, långsamt, fragmenterat och oförutsägbart europeiskt regelverk. Parlamentet understryker att om inte denna trend vänds genom betydande förenklingar kommer Europa att fortsätta att förlora företag som befinner sig i det mest strategiska tillväxtskedet, vilket leder till färre nya arbetstillfällen och långsammare ekonomisk tillväxt. Parlamentet beklagar att skatte- och regleringströsklar hämmar företagens tillväxt eftersom företagen drabbas av fler administrativa bördor när de når en viss storlek eller har uppnått en viss omsättning.</w:t>
      </w:r>
    </w:p>
    <w:p w14:paraId="534B0B71" w14:textId="77777777" w:rsidR="00E5047E" w:rsidRPr="00506E09" w:rsidRDefault="00E5047E" w:rsidP="00E5047E">
      <w:pPr>
        <w:pStyle w:val="NormalHanging12a"/>
      </w:pPr>
      <w:r w:rsidRPr="00506E09">
        <w:t>9.</w:t>
      </w:r>
      <w:r w:rsidRPr="00506E09">
        <w:tab/>
        <w:t>Europaparlamentet efterlyser ytterligare förenklingsinsatser, och uppmuntrar kommissionen att lägga fram ytterligare förslag som går längre än dess övergripande förenklingspaket och som inför gynnsamma regler och ramar som underlättar tillväxt, skalbarhet och gränsöverskridande verksamhet för uppstartsföretag och expanderande företag, samtidigt som konsumentskydd, dataskydd och rättvis konkurrens säkerställs. Parlamentet påminner om kommissionens åtagande att minska byråkratin genom en övergripande strategi på alla områden, och efterlyser en systematisk granskning av EU:s regelverk för att identifiera och undanröja rättsliga hinder för små och medelstora företag.</w:t>
      </w:r>
    </w:p>
    <w:p w14:paraId="0102D05C" w14:textId="77777777" w:rsidR="00E5047E" w:rsidRPr="00506E09" w:rsidRDefault="00E5047E" w:rsidP="00E5047E">
      <w:pPr>
        <w:pStyle w:val="NormalHanging12a"/>
        <w:keepNext/>
        <w:keepLines/>
      </w:pPr>
      <w:r w:rsidRPr="00506E09">
        <w:lastRenderedPageBreak/>
        <w:t>10.</w:t>
      </w:r>
      <w:r w:rsidRPr="00506E09">
        <w:tab/>
        <w:t xml:space="preserve">Europaparlamentet betonar, efter kommissionens antagande av det andra omnibuspaketet, behovet av förenklade processer vid genomförandet av </w:t>
      </w:r>
      <w:proofErr w:type="spellStart"/>
      <w:r w:rsidRPr="00506E09">
        <w:t>InvestEU</w:t>
      </w:r>
      <w:proofErr w:type="spellEnd"/>
      <w:r w:rsidRPr="00506E09">
        <w:noBreakHyphen/>
        <w:t>programmet för att säkerställa att små och medelstora företag – inklusive de minsta – lättare kan få tillgång till det finansiella stöd de behöver för att växa och skapa innovationer. Parlamentet betonar vikten av att säkerställa att regelverk och EU</w:t>
      </w:r>
      <w:r w:rsidRPr="00506E09">
        <w:noBreakHyphen/>
        <w:t xml:space="preserve">finansierade instrument står i proportion till små och medelstora företags storlek och administrativa kapacitet och att de anpassas på lämpligt sätt i stället för att kopiera de krav som gäller för större företag. </w:t>
      </w:r>
    </w:p>
    <w:p w14:paraId="640018E2" w14:textId="77777777" w:rsidR="00E5047E" w:rsidRPr="00506E09" w:rsidRDefault="00E5047E" w:rsidP="00E5047E">
      <w:pPr>
        <w:pStyle w:val="NormalHanging12a"/>
      </w:pPr>
      <w:r w:rsidRPr="00506E09">
        <w:t>11.</w:t>
      </w:r>
      <w:r w:rsidRPr="00506E09">
        <w:tab/>
        <w:t>Europaparlamentet noterar att införande av flera lagstiftningskrav för banker kan inverka negativt på utlåningen till små och medelstora företag. Parlamentet betonar vikten av att undvika dubbla rapporteringskrav och flera rapporteringskanaler, vilket medför onödiga administrativa bördor, särskilt för mindre banker. Parlamentet uppmanar kommissionen att med hjälp av Europeiska bankmyndigheten och den gemensamma tillsynsmekanismen bedöma effekterna av de nuvarande bestämmelserna på utlåningen till små och medelstora företag. Parlamentet understryker behovet av att tillämpa proportionalitetsprincipen i banklagstiftningen.</w:t>
      </w:r>
    </w:p>
    <w:p w14:paraId="72C79088" w14:textId="77777777" w:rsidR="00E5047E" w:rsidRPr="00506E09" w:rsidRDefault="00E5047E" w:rsidP="00E5047E">
      <w:pPr>
        <w:pStyle w:val="NormalHanging12a"/>
      </w:pPr>
      <w:r w:rsidRPr="00506E09">
        <w:t>12.</w:t>
      </w:r>
      <w:r w:rsidRPr="00506E09">
        <w:tab/>
        <w:t>Europaparlamentet uppmanar med kraft kommissionen att bedöma befintliga regleringsskyldigheter som belastar företag, såsom ramen för hållbar finansiering, som är dåligt anpassad till små och medelstora företag, och andra skyldigheter som följer av den europeiska gröna given, och att utveckla proportionalitetströsklar för att undanta små och medelstora företag från alltför stora skyldigheter. Parlamentet välkomnar den föreslagna nya kontrollen av små och medelstora företags konkurrenskraft. Parlamentet uppmanar kommissionen att säkerställa att alla standarder för hållbarhetsrapportering är enkla och frivilliga, och att se över upplysningskraven för banker i pelare 3 som indirekt kan medföra oproportionerliga krav på uppgifter för de små och medelstora företagens kunder.</w:t>
      </w:r>
    </w:p>
    <w:p w14:paraId="6D00B56D" w14:textId="77777777" w:rsidR="00E5047E" w:rsidRPr="00506E09" w:rsidRDefault="00E5047E" w:rsidP="00E5047E">
      <w:pPr>
        <w:pStyle w:val="NormalHanging12a"/>
      </w:pPr>
      <w:r w:rsidRPr="00506E09">
        <w:t>13.</w:t>
      </w:r>
      <w:r w:rsidRPr="00506E09">
        <w:tab/>
        <w:t>Europaparlamentet betonar att principen ”en in och en ut”, som i praktiken inte genomförs i tillräcklig utsträckning, inte är tillräcklig, och uppmanar kommissionen att föreslå en mer ambitiös förenklingsstrategi som ger rättssäkerhet och förutsägbarhet och som även ser över nivå 2- och nivå 3-lagstiftningen. Parlamentet framhåller att kommissionens mål att minska rapporteringsskyldigheterna med 35 % måste vara mätbart och att resultaten måste kunna spåras, med en tydlig tidsplan, centrala resultatindikatorer och en metod för spårning som är ändamålsenlig.</w:t>
      </w:r>
    </w:p>
    <w:p w14:paraId="4F3D18E6" w14:textId="77777777" w:rsidR="00E5047E" w:rsidRPr="00506E09" w:rsidRDefault="00E5047E" w:rsidP="00E5047E">
      <w:pPr>
        <w:pStyle w:val="Normal12a24b"/>
      </w:pPr>
      <w:r w:rsidRPr="00506E09">
        <w:rPr>
          <w:rStyle w:val="BoldItalic"/>
        </w:rPr>
        <w:t>Frigörande av privat kapital och privat sparande</w:t>
      </w:r>
    </w:p>
    <w:p w14:paraId="75F10498" w14:textId="77777777" w:rsidR="00E5047E" w:rsidRPr="00506E09" w:rsidRDefault="00E5047E" w:rsidP="00E5047E">
      <w:pPr>
        <w:pStyle w:val="NormalHanging12a"/>
      </w:pPr>
      <w:r w:rsidRPr="00506E09">
        <w:t>14.</w:t>
      </w:r>
      <w:r w:rsidRPr="00506E09">
        <w:tab/>
        <w:t>Europaparlamentet noterar att kommissionen strävar efter att genomföra en spar- och investeringsunion, som inte bara ska omfatta åtgärder på EU-nivå, utan även utveckling av verktyg, lösningar och bästa praxis som respekterar och stöder medlemsstaternas åtgärder på nationell nivå och främjar gränsöverskridande enhetlighet och gradvis minskning av kritiska skillnader.</w:t>
      </w:r>
    </w:p>
    <w:p w14:paraId="3A4A41A4" w14:textId="77777777" w:rsidR="00E5047E" w:rsidRPr="00506E09" w:rsidRDefault="00E5047E" w:rsidP="00E5047E">
      <w:pPr>
        <w:pStyle w:val="NormalHanging12a"/>
        <w:keepNext/>
        <w:keepLines/>
      </w:pPr>
      <w:r w:rsidRPr="00506E09">
        <w:lastRenderedPageBreak/>
        <w:t>15.</w:t>
      </w:r>
      <w:r w:rsidRPr="00506E09">
        <w:tab/>
        <w:t xml:space="preserve">Europaparlamentet uppmanar kommissionen att förbättra investerarnas tillgång till information och skydd, och samtidigt utnyttja potentialen hos förenklade produkter för icke-professionella investerare för att hjälpa till att kanalisera hushållens sparande till kapitalmarknaderna, och påminner om den viktiga roll som pensionsfonder och försäkringsbolag spelar för att möjliggöra denna kanalisering. Parlamentet noterar lanseringen av </w:t>
      </w:r>
      <w:proofErr w:type="spellStart"/>
      <w:r w:rsidRPr="00506E09">
        <w:t>Finance</w:t>
      </w:r>
      <w:proofErr w:type="spellEnd"/>
      <w:r w:rsidRPr="00506E09">
        <w:t xml:space="preserve"> </w:t>
      </w:r>
      <w:proofErr w:type="spellStart"/>
      <w:r w:rsidRPr="00506E09">
        <w:t>Europe</w:t>
      </w:r>
      <w:proofErr w:type="spellEnd"/>
      <w:r w:rsidRPr="00506E09">
        <w:t>-märkningen, som bör göra det möjligt för sparare som så önskar att investera sina besparingar i europeiska företag och därmed direkt bidra till finansieringen av unionens ekonomi. Parlamentet betonar att denna märkning inte bör medföra någon ytterligare administrativ börda för företagen.</w:t>
      </w:r>
    </w:p>
    <w:p w14:paraId="4DC50552" w14:textId="77777777" w:rsidR="00E5047E" w:rsidRPr="00506E09" w:rsidRDefault="00E5047E" w:rsidP="00E5047E">
      <w:pPr>
        <w:pStyle w:val="NormalHanging12a"/>
      </w:pPr>
      <w:r w:rsidRPr="00506E09">
        <w:t>16.</w:t>
      </w:r>
      <w:r w:rsidRPr="00506E09">
        <w:tab/>
        <w:t>Europaparlamentet beklagar att förordningen om europeiska riskkapitalfonder (</w:t>
      </w:r>
      <w:proofErr w:type="spellStart"/>
      <w:r w:rsidRPr="00506E09">
        <w:t>EuVECA</w:t>
      </w:r>
      <w:proofErr w:type="spellEnd"/>
      <w:r w:rsidRPr="00506E09">
        <w:t>)</w:t>
      </w:r>
      <w:r w:rsidRPr="00506E09">
        <w:rPr>
          <w:rStyle w:val="FootnoteReference"/>
        </w:rPr>
        <w:footnoteReference w:id="5"/>
      </w:r>
      <w:r w:rsidRPr="00506E09">
        <w:t xml:space="preserve"> har haft liten positiv inverkan på lokala riskkapitalmarknader. Parlamentet välkomnar inriktningen på riskkapital för unga, innovativa små och medelstora företag i kommissionens meddelande om spar- och investeringsunionen, men beklagar att kommissionens förslag om </w:t>
      </w:r>
      <w:proofErr w:type="spellStart"/>
      <w:r w:rsidRPr="00506E09">
        <w:t>EuVECA</w:t>
      </w:r>
      <w:proofErr w:type="spellEnd"/>
      <w:r w:rsidRPr="00506E09">
        <w:t xml:space="preserve"> har skjutits upp till tredje kvartalet 2026. Parlamentet uppmanar kommissionen att överväga att avskaffa minimiinvesteringströskeln på 100 000 EUR för att göra det möjligt för privata sparare att investera i alternativa fonder. Parlamentet uppmanar med kraft kommissionen att uppmuntra medlemsstaterna att tillhandahålla attraktiva och stabila skatte- och regleringsramar för riskkapitalfonder som investerar i små och medelstora företag.</w:t>
      </w:r>
    </w:p>
    <w:p w14:paraId="1A6A0557" w14:textId="77777777" w:rsidR="00E5047E" w:rsidRPr="00506E09" w:rsidRDefault="00E5047E" w:rsidP="00E5047E">
      <w:pPr>
        <w:pStyle w:val="NormalHanging12a"/>
      </w:pPr>
      <w:r w:rsidRPr="00506E09">
        <w:t>17.</w:t>
      </w:r>
      <w:r w:rsidRPr="00506E09">
        <w:tab/>
        <w:t>Europaparlamentet betonar starkt behovet av att förbättra de finansiella kunskaperna hos EU:s medborgare och företag och att främja bättre spar- och investeringsvillkor som möjliggör en övergång från sparande till investeringar på ett välgrundat och oberoende sätt. Parlamentet uppmanar kommissionen att ta med entreprenörskap i den kommande strategin för finansiell kompetens och i en verktygslåda som medlemsstaterna kan använda för att förbättra samordningen på detta område.</w:t>
      </w:r>
    </w:p>
    <w:p w14:paraId="705B9951" w14:textId="77777777" w:rsidR="00E5047E" w:rsidRPr="00506E09" w:rsidRDefault="00E5047E" w:rsidP="00E5047E">
      <w:pPr>
        <w:pStyle w:val="NormalHanging12a"/>
      </w:pPr>
      <w:r w:rsidRPr="00506E09">
        <w:t>18.</w:t>
      </w:r>
      <w:r w:rsidRPr="00506E09">
        <w:tab/>
        <w:t xml:space="preserve">Europaparlamentet begär att offentliga medel inte ska användas som subventioner, utan snarare som en katalysator för att mobilisera privata investeringar och göra mer privat finansiering tillgänglig för mikroföretag samt små och medelstora företag. </w:t>
      </w:r>
      <w:bookmarkStart w:id="7" w:name="_Hlk210313322"/>
      <w:r w:rsidRPr="00506E09">
        <w:t>Parlamentet påminner om att de flesta av dessa investeringar måste vara privata och understryker att detta måste stimuleras av attraktiva och stabila skatte- och regleringsramar som är tilltalande för både professionella och icke-professionella investerare. Parlamentet påminner om den nuvarande strukturella snedvridningen till förmån för lån och anser att det är nödvändigt att inleda en debatt om behovet av skatteincitament för eget kapital samt att uppmuntra riskkapital som en del av affärsmodellen för traditionell bankverksamhet utan att äventyra den finansiella stabiliteten</w:t>
      </w:r>
      <w:bookmarkEnd w:id="7"/>
      <w:r w:rsidRPr="00506E09">
        <w:t>.</w:t>
      </w:r>
    </w:p>
    <w:p w14:paraId="0515B9E8" w14:textId="77777777" w:rsidR="00E5047E" w:rsidRPr="00506E09" w:rsidRDefault="00E5047E" w:rsidP="00A71885">
      <w:pPr>
        <w:pStyle w:val="NormalHanging12a"/>
        <w:widowControl w:val="0"/>
      </w:pPr>
      <w:r w:rsidRPr="00506E09">
        <w:t>19.</w:t>
      </w:r>
      <w:r w:rsidRPr="00506E09">
        <w:tab/>
        <w:t xml:space="preserve">Europaparlamentet betonar att den offentliga sektorn kan spela en nyckelroll när det gäller att mobilisera privat kapital, särskilt i informationsasymmetriska sektorer eller regioner med underutvecklade finansmarknader. Parlamentet begär att offentliga instrument ska utformas på ett effektivt och konkurrensneutralt sätt med fokus på genomslagskraft för att maximera </w:t>
      </w:r>
      <w:proofErr w:type="spellStart"/>
      <w:r w:rsidRPr="00506E09">
        <w:t>crowding</w:t>
      </w:r>
      <w:proofErr w:type="spellEnd"/>
      <w:r w:rsidRPr="00506E09">
        <w:t xml:space="preserve">-in-effekten på privata investeringar. Parlamentet betonar därför att Europeiska investeringsbanksgruppens (EIB-gruppen) potential måste utnyttjas fullt ut för att attrahera privata investeringar, och att den måste avsätta mer resurser till små och medelstora företags innovationsprojekt, </w:t>
      </w:r>
      <w:r w:rsidRPr="00506E09">
        <w:lastRenderedPageBreak/>
        <w:t>uppstartsföretag och expanderande företag. Parlamentet framhåller dessutom den roll som spelas av regionala utvecklingsfonden, särskilt i regioner med begränsad tillgång till krediter och med tanke på att lånekostnaderna varierar inom EU, vilket missgynnar små och medelstora företag i vissa medlemsstater.</w:t>
      </w:r>
    </w:p>
    <w:p w14:paraId="2D89A7F7" w14:textId="77777777" w:rsidR="00E5047E" w:rsidRPr="00506E09" w:rsidRDefault="00E5047E" w:rsidP="00E5047E">
      <w:pPr>
        <w:pStyle w:val="NormalHanging12a"/>
      </w:pPr>
      <w:r w:rsidRPr="00506E09">
        <w:t>20.</w:t>
      </w:r>
      <w:r w:rsidRPr="00506E09">
        <w:tab/>
        <w:t xml:space="preserve">Europaparlamentet noterar offentliggörandet av översynen av </w:t>
      </w:r>
      <w:proofErr w:type="spellStart"/>
      <w:r w:rsidRPr="00506E09">
        <w:t>värdepapperiseringsramen</w:t>
      </w:r>
      <w:proofErr w:type="spellEnd"/>
      <w:r w:rsidRPr="00506E09">
        <w:t>, och uppmanar kommissionen att göra den mer flexibel så att kreditinstitut kan tillhandahålla ytterligare finansiering till företag, inbegripet små och medelstora företag, och stödja deras tillväxt utan att transparensen och kreditkvaliteten urholkas. Parlamentet betonar därför att stabiliteten i ramen för betydande risköverföring måste förbättras genom att man inför större riskkänslighet och förbättrar tillsynen, vilket bidrar till förenkling.</w:t>
      </w:r>
    </w:p>
    <w:p w14:paraId="14FD686E" w14:textId="77777777" w:rsidR="00E5047E" w:rsidRPr="00506E09" w:rsidRDefault="00E5047E" w:rsidP="00E5047E">
      <w:pPr>
        <w:pStyle w:val="NormalHanging12a"/>
      </w:pPr>
      <w:r w:rsidRPr="00506E09">
        <w:t>21.</w:t>
      </w:r>
      <w:r w:rsidRPr="00506E09">
        <w:tab/>
        <w:t>Europaparlamentet uppmärksammar kommissionens mål att utarbeta en plan för ett EU</w:t>
      </w:r>
      <w:r w:rsidRPr="00506E09">
        <w:noBreakHyphen/>
        <w:t>konto för investeringssparande, som bör omfatta i) ett förenklat förfarande för skattedeklaration, ii) relaterade skatteincitament och iii) som inte bör innehålla begränsningar för investeringar när det gäller geografi, sektor, insättningsgränser eller minsta innehavsperioder.</w:t>
      </w:r>
    </w:p>
    <w:p w14:paraId="589BF231" w14:textId="77777777" w:rsidR="00E5047E" w:rsidRPr="00506E09" w:rsidRDefault="00E5047E" w:rsidP="00E5047E">
      <w:pPr>
        <w:pStyle w:val="NormalHanging12a"/>
      </w:pPr>
      <w:r w:rsidRPr="00506E09">
        <w:t>22.</w:t>
      </w:r>
      <w:r w:rsidRPr="00506E09">
        <w:tab/>
        <w:t>Europaparlamentet erkänner den privata sektorns centrala roll för EU:s ekonomiska tillväxt och välstånd. Parlamentet betonar att alla framsteg mot en integration av kapitalmarknaderna måste bygga på principerna ekonomisk frihet, konkurrens och rättssäkerhet.</w:t>
      </w:r>
    </w:p>
    <w:p w14:paraId="71A71E69" w14:textId="77777777" w:rsidR="00E5047E" w:rsidRPr="00506E09" w:rsidRDefault="00E5047E" w:rsidP="00E5047E">
      <w:pPr>
        <w:pStyle w:val="NormalHanging12a"/>
      </w:pPr>
      <w:r w:rsidRPr="00506E09">
        <w:t>23.</w:t>
      </w:r>
      <w:r w:rsidRPr="00506E09">
        <w:tab/>
        <w:t>Europaparlamentet framhåller att en europeisk marknadsplats för direkta sekundära transaktioner, som skulle möjliggöra handel med aktier i uppstartsföretag i ett sent skede och före börsintroduktion, skulle förbättra unionens finansieringsekosystem så länge det säkerställer lika villkor mellan medlemsstaterna, förhindrar koncentration av finansiell verksamhet till endast ett fåtal jurisdiktioner och fullt ut respekterar nationella befogenheter.</w:t>
      </w:r>
    </w:p>
    <w:p w14:paraId="33468F77" w14:textId="77777777" w:rsidR="00E5047E" w:rsidRPr="00506E09" w:rsidRDefault="00E5047E" w:rsidP="00E5047E">
      <w:pPr>
        <w:pStyle w:val="NormalHanging12a"/>
      </w:pPr>
      <w:r w:rsidRPr="00506E09">
        <w:t>24.</w:t>
      </w:r>
      <w:r w:rsidRPr="00506E09">
        <w:tab/>
        <w:t>Europaparlamentet noterar att omarbetningen av direktivet om marknader för finansiella instrument</w:t>
      </w:r>
      <w:r w:rsidRPr="00506E09">
        <w:rPr>
          <w:rStyle w:val="FootnoteReference"/>
        </w:rPr>
        <w:footnoteReference w:id="6"/>
      </w:r>
      <w:r w:rsidRPr="00506E09">
        <w:t xml:space="preserve"> (</w:t>
      </w:r>
      <w:proofErr w:type="spellStart"/>
      <w:r w:rsidRPr="00506E09">
        <w:t>Mifid</w:t>
      </w:r>
      <w:proofErr w:type="spellEnd"/>
      <w:r w:rsidRPr="00506E09">
        <w:t xml:space="preserve"> II) innehåller bestämmelser om en särskild kategori tillväxtmarknader för små och medelstora företag som ska tillgodose mindre företags särskilda behov. Parlamentet uppmanar kommissionen att vidareutveckla detta instrument genom att tillhandahålla ett mer flexibelt regelverk som passar små och medelstora företags behov.</w:t>
      </w:r>
    </w:p>
    <w:p w14:paraId="34FAA2AB" w14:textId="77777777" w:rsidR="00E5047E" w:rsidRPr="00506E09" w:rsidRDefault="00E5047E" w:rsidP="00E5047E">
      <w:pPr>
        <w:pStyle w:val="Normal12a24b"/>
      </w:pPr>
      <w:r w:rsidRPr="00506E09">
        <w:rPr>
          <w:rStyle w:val="BoldItalic"/>
        </w:rPr>
        <w:t>Överbrygga finansieringsgapet för expanderande företag</w:t>
      </w:r>
    </w:p>
    <w:p w14:paraId="0E3F5D2E" w14:textId="77777777" w:rsidR="00E5047E" w:rsidRPr="00506E09" w:rsidRDefault="00E5047E" w:rsidP="00E5047E">
      <w:pPr>
        <w:pStyle w:val="NormalHanging12a"/>
      </w:pPr>
      <w:r w:rsidRPr="00506E09">
        <w:t>25.</w:t>
      </w:r>
      <w:r w:rsidRPr="00506E09">
        <w:tab/>
        <w:t xml:space="preserve">Europaparlamentet beklagar att många europeiska företag, till följd av bristen på attraktiva finansieringsalternativ för expanderande företag på EU-marknaden och ett konkurrenskraftigt regelverk, i slutändan vänder sig till riskkapitalister baserade i tredjeländer och etablerar sig på marknader i tredjeländer för att expandera sin verksamhet. Parlamentet uttrycker oro över det ökande antalet konkurser bland små och </w:t>
      </w:r>
      <w:r w:rsidRPr="00506E09">
        <w:lastRenderedPageBreak/>
        <w:t>medelstora företag i EU</w:t>
      </w:r>
      <w:r w:rsidRPr="00506E09">
        <w:rPr>
          <w:rStyle w:val="FootnoteReference"/>
        </w:rPr>
        <w:footnoteReference w:id="7"/>
      </w:r>
      <w:r w:rsidRPr="00506E09">
        <w:t>. Parlamentet anser att det är en prioritering att ta itu med de bakomliggande orsakerna, såsom bristen på långsiktigt kapital, skattetrycket under expansionen och oproportionerliga administrativa bördor.</w:t>
      </w:r>
    </w:p>
    <w:p w14:paraId="2FE66622" w14:textId="77777777" w:rsidR="00E5047E" w:rsidRPr="00506E09" w:rsidRDefault="00E5047E" w:rsidP="00E5047E">
      <w:pPr>
        <w:pStyle w:val="NormalHanging12a"/>
      </w:pPr>
      <w:r w:rsidRPr="00506E09">
        <w:t>26.</w:t>
      </w:r>
      <w:r w:rsidRPr="00506E09">
        <w:tab/>
        <w:t>Europaparlamentet är medvetet om att det är avgörande att mobilisera europeiska institutionella investerare, särskilt försäkringsbolag, banker och pensionsfonder, för att åtgärda expansionsklyftan. Parlamentet noterar att det behövs en ökning av andelen riskkapitalfonder i Europa för att tillhandahålla mer finansiering till expanderande företag, som behöver en gynnsammare ram för riskkapitalfinansiering och säkra utländska direktinvesteringar i EU. Parlamentet uppmanar kommissionen att uppmuntra medlemsstater med underutvecklade pensionssystem att utveckla kompletterande pensionssektorer (pelare 2), vilket skulle kunna bidra till att bygga upp riskkapitalmarknader, och att skapa ett regelverk som främjar investeringar i eget kapital av institutionella investerare. Parlamentet påminner om kommissionens åtagande att utarbeta riskabsorberande åtgärder för att attrahera privat finansiering från affärsbanker, investerare och riskkapital.</w:t>
      </w:r>
    </w:p>
    <w:p w14:paraId="34E8F793" w14:textId="77777777" w:rsidR="00E5047E" w:rsidRPr="00506E09" w:rsidRDefault="00E5047E" w:rsidP="00E5047E">
      <w:pPr>
        <w:pStyle w:val="NormalHanging12a"/>
      </w:pPr>
      <w:r w:rsidRPr="00506E09">
        <w:t>27.</w:t>
      </w:r>
      <w:r w:rsidRPr="00506E09">
        <w:tab/>
        <w:t xml:space="preserve">Europaparlamentet uppmuntrar kommissionen att stärka saminvesteringsplattformar, inbegripet regionalt förankrade instrument och affärsängelnätverk, för att attrahera privat kapital och åtgärda ihållande finansieringsbrister på ett tidigt stadium för snabbväxande och innovationsdrivna små och medelstora företag. Parlamentet efterlyser en lämplig kapitalisering av det kommande initiativet </w:t>
      </w:r>
      <w:proofErr w:type="spellStart"/>
      <w:r w:rsidRPr="00506E09">
        <w:t>European</w:t>
      </w:r>
      <w:proofErr w:type="spellEnd"/>
      <w:r w:rsidRPr="00506E09">
        <w:t xml:space="preserve"> Tech-Champions </w:t>
      </w:r>
      <w:proofErr w:type="spellStart"/>
      <w:r w:rsidRPr="00506E09">
        <w:t>Initiative</w:t>
      </w:r>
      <w:proofErr w:type="spellEnd"/>
      <w:r w:rsidRPr="00506E09">
        <w:t xml:space="preserve"> 2.0 och riktade EU-finansieringssystem för att stödja kapitalanskaffning och börsintroduktion för uppstartsföretag och expanderande teknikföretag. Parlamentet understryker EIB-gruppens mandat att stödja små och medelstora företag, och uppmanar den med kraft att anta en mer flexibel ram för riskbedömning och att säkerställa att den nya </w:t>
      </w:r>
      <w:proofErr w:type="spellStart"/>
      <w:r w:rsidRPr="00506E09">
        <w:t>TechEU</w:t>
      </w:r>
      <w:proofErr w:type="spellEnd"/>
      <w:r w:rsidRPr="00506E09">
        <w:t>-plattformen är allmänt tillgänglig i alla medlemsstater genom förenklade förfaranden. Parlamentet instämmer i unionens meddelande om spar- och investeringsunionen om vikten av offentliga finanser på EU-nivå, och förespråkar därför en omorientering av EU-medlen till färre, mer flexibla program som kan flytta resurser mellan prioriteringar över tid.</w:t>
      </w:r>
    </w:p>
    <w:p w14:paraId="686E9858" w14:textId="77777777" w:rsidR="00E5047E" w:rsidRPr="00506E09" w:rsidRDefault="00E5047E" w:rsidP="00A71885">
      <w:pPr>
        <w:pStyle w:val="NormalHanging12a"/>
        <w:widowControl w:val="0"/>
      </w:pPr>
      <w:r w:rsidRPr="00506E09">
        <w:t>28.</w:t>
      </w:r>
      <w:r w:rsidRPr="00506E09">
        <w:tab/>
        <w:t>Europaparlamentet framhåller vikten av att skapa rätt förutsättningar så att medborgarnas sparande kan kanaliseras till produktiva investeringsinstrument som kan gynna små och medelstora företag och expanderande företag. Parlamentet uppmuntrar kommissionen att undanröja rättsliga hinder för investeringsprodukter för icke-professionella investerare och att se till att icke-professionella investerare skyddas på lämpligt sätt när de fattar investeringsbeslut. Parlamentet erkänner att gräsrotsfinansiering och teknik såsom smarta kontrakt och decentraliserad finansiering kan bredda de små och medelstora företagens tillgång till direktfinansiering, och uppmanar med kraft kommissionen att se över sitt regelverk med en innovationsinriktad och proportionerlig riskstrategi.</w:t>
      </w:r>
    </w:p>
    <w:p w14:paraId="75D74EEB" w14:textId="77777777" w:rsidR="00E5047E" w:rsidRPr="00506E09" w:rsidRDefault="00E5047E" w:rsidP="00E5047E">
      <w:pPr>
        <w:pStyle w:val="NormalHanging12a"/>
      </w:pPr>
      <w:r w:rsidRPr="00506E09">
        <w:t>29.</w:t>
      </w:r>
      <w:r w:rsidRPr="00506E09">
        <w:tab/>
        <w:t xml:space="preserve">Europaparlamentet betonar att ett mer integrerat innovationsekosystem med nätverk av universitet, uppstartsföretag, stora företag och riskkapitalister, som stöds av tillgång till </w:t>
      </w:r>
      <w:r w:rsidRPr="00506E09">
        <w:lastRenderedPageBreak/>
        <w:t>testanläggningar och teknisk infrastruktur, är avgörande för att hjälpa företagen att expandera. Parlamentet framhåller den positiva roll som företagarforum, privata acceleratorer och mentorsnätverk kan spela för att stödja tillväxten av uppstartsföretag, och uppmanar kommissionen och medlemsstaterna att bygga vidare på initiativ såsom nätverket för betrodda investerare, som syftar till att mobilisera privat kapital till stöd för Europas innovationsambitioner.</w:t>
      </w:r>
    </w:p>
    <w:p w14:paraId="5FFB7D3D" w14:textId="77777777" w:rsidR="00E5047E" w:rsidRPr="00506E09" w:rsidRDefault="00E5047E" w:rsidP="00E5047E">
      <w:pPr>
        <w:pStyle w:val="Normal12a24b"/>
      </w:pPr>
      <w:r w:rsidRPr="00506E09">
        <w:rPr>
          <w:rStyle w:val="BoldItalic"/>
        </w:rPr>
        <w:t>Förstärkning av ett konkurrenskraftigt ekosystem i EU</w:t>
      </w:r>
    </w:p>
    <w:p w14:paraId="4E006E57" w14:textId="77777777" w:rsidR="00E5047E" w:rsidRPr="00506E09" w:rsidRDefault="00E5047E" w:rsidP="00E5047E">
      <w:pPr>
        <w:pStyle w:val="NormalHanging12a"/>
      </w:pPr>
      <w:r w:rsidRPr="00506E09">
        <w:t>30.</w:t>
      </w:r>
      <w:r w:rsidRPr="00506E09">
        <w:tab/>
        <w:t xml:space="preserve">Europaparlamentet anser att ett konkurrenskraftigt ekosystem i EU måste bestå av både starka nationella marknader och en stark inre marknad, och att sund konkurrens mellan medlemsstaterna, särskilt när det gäller ekonomiska och lagstiftningsmässiga strategier, uppmuntrar dem att hålla sina ekonomier dynamiska och attraktiva, men påminner om att medlemsstaterna inte får skapa hinder för en effektiv gränsöverskridande kapitalallokering eller fastställa prioriteringar enbart på grundval av finansieringens geografiska ursprung. </w:t>
      </w:r>
      <w:bookmarkStart w:id="8" w:name="_Hlk210313711"/>
      <w:r w:rsidRPr="00506E09">
        <w:t>Parlamentet uppmanar kommissionen att respektera och bygga vidare på bästa praxis som redan har varit framgångsrik i medlemsstaterna.</w:t>
      </w:r>
    </w:p>
    <w:bookmarkEnd w:id="8"/>
    <w:p w14:paraId="0195F001" w14:textId="77777777" w:rsidR="00E5047E" w:rsidRPr="00506E09" w:rsidRDefault="00E5047E" w:rsidP="00E5047E">
      <w:pPr>
        <w:pStyle w:val="NormalHanging12a"/>
      </w:pPr>
      <w:r w:rsidRPr="00506E09">
        <w:t>31.</w:t>
      </w:r>
      <w:r w:rsidRPr="00506E09">
        <w:tab/>
        <w:t>Europaparlamentet uppmanar med kraft kommissionen att fokusera på nödvändiga villkor för marknader, relevanta gemensamma nämnare för medlemsstaterna och frivilliga och kompletterande ramar som syftar till att gradvis minska marknadsfragmenteringen.</w:t>
      </w:r>
    </w:p>
    <w:p w14:paraId="7024F528" w14:textId="77777777" w:rsidR="00E5047E" w:rsidRPr="00506E09" w:rsidRDefault="00E5047E" w:rsidP="00E5047E">
      <w:pPr>
        <w:pStyle w:val="NormalHanging12a"/>
      </w:pPr>
      <w:r w:rsidRPr="00506E09">
        <w:t>32.</w:t>
      </w:r>
      <w:r w:rsidRPr="00506E09">
        <w:tab/>
        <w:t>Europaparlamentet uppmanar kommissionen att klargöra vad den 28:e ordningen skulle bestå av och påminner om att ordningen, om den införs, måste vara frivillig, fullt ut respektera medlemsstaternas ordningar och utvecklas i nära samarbete med den privata sektorn för att erbjuda en förenklad ram som lockar privata investerare till europeiska uppstartsföretag, expanderande företag och små och medelstora företag och hjälper europeiska uppstartsföretag att bli världsledande inom teknik.</w:t>
      </w:r>
    </w:p>
    <w:p w14:paraId="54DDF279" w14:textId="77777777" w:rsidR="00E5047E" w:rsidRPr="00506E09" w:rsidRDefault="00E5047E" w:rsidP="00E5047E">
      <w:pPr>
        <w:pStyle w:val="NormalHanging12a"/>
        <w:keepNext/>
        <w:keepLines/>
      </w:pPr>
      <w:r w:rsidRPr="00506E09">
        <w:t>33.</w:t>
      </w:r>
      <w:r w:rsidRPr="00506E09">
        <w:tab/>
        <w:t>Europaparlamentet uppmanar kommissionen att med stöd av medlemsstaternas myndigheter utarbeta förenklade vägledningsverktyg och gemensamma kontaktpunkter för små och medelstora företag och expanderande företag för att hjälpa dem att navigera i olika rättssystem i hela EU i frågor såsom bolagsrätt, arbetsrätt, insolvenslagstiftning, skatterätt, immateriella rättigheter och nationella finansieringsmöjligheter. Parlamentet uppmanar dessutom kommissionen att förbättra övervakningsverktygen för små och medelstora företags tillgång till finansiering, inbegripet utvecklingen av EU-omfattande indikatorer och resultattavlor som kan hjälpa dem att identifiera möjligheter i alla medlemsstater utan att skapa nya rapporteringsskyldigheter eller öka de administrativa bördorna.</w:t>
      </w:r>
    </w:p>
    <w:p w14:paraId="61ABE366" w14:textId="77777777" w:rsidR="00E5047E" w:rsidRPr="00506E09" w:rsidRDefault="00E5047E" w:rsidP="00E5047E">
      <w:pPr>
        <w:pStyle w:val="NormalCenter12a"/>
      </w:pPr>
      <w:r w:rsidRPr="00506E09">
        <w:t>°</w:t>
      </w:r>
    </w:p>
    <w:p w14:paraId="1A3F98EC" w14:textId="77777777" w:rsidR="00E5047E" w:rsidRPr="00506E09" w:rsidRDefault="00E5047E" w:rsidP="00E5047E">
      <w:pPr>
        <w:pStyle w:val="NormalCenter12a"/>
      </w:pPr>
      <w:r w:rsidRPr="00506E09">
        <w:t>°</w:t>
      </w:r>
      <w:r w:rsidRPr="00506E09">
        <w:tab/>
        <w:t>°</w:t>
      </w:r>
    </w:p>
    <w:p w14:paraId="15D7164C" w14:textId="11B1C4BA" w:rsidR="00E365E1" w:rsidRPr="00506E09" w:rsidRDefault="00E5047E" w:rsidP="00A71885">
      <w:pPr>
        <w:pStyle w:val="NormalHanging12a"/>
      </w:pPr>
      <w:r w:rsidRPr="00506E09">
        <w:t>34.</w:t>
      </w:r>
      <w:r w:rsidRPr="00506E09">
        <w:tab/>
        <w:t>Europaparlamentet uppdrar åt talmannen att översända denna resolution till rådet och kommissionen.</w:t>
      </w:r>
    </w:p>
    <w:sectPr w:rsidR="00E365E1" w:rsidRPr="00506E09" w:rsidSect="007951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03FAC" w14:textId="77777777" w:rsidR="00A541A5" w:rsidRPr="0079512C" w:rsidRDefault="00A541A5">
      <w:r w:rsidRPr="0079512C">
        <w:separator/>
      </w:r>
    </w:p>
  </w:endnote>
  <w:endnote w:type="continuationSeparator" w:id="0">
    <w:p w14:paraId="6CD53B56" w14:textId="77777777" w:rsidR="00A541A5" w:rsidRPr="0079512C" w:rsidRDefault="00A541A5">
      <w:r w:rsidRPr="007951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7EFDE" w14:textId="77777777" w:rsidR="00064002" w:rsidRPr="007951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9F299" w14:textId="77777777" w:rsidR="00064002" w:rsidRPr="007951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1B9C" w14:textId="77777777" w:rsidR="00064002" w:rsidRPr="007951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316D3" w14:textId="77777777" w:rsidR="00A541A5" w:rsidRPr="0079512C" w:rsidRDefault="00A541A5">
      <w:r w:rsidRPr="0079512C">
        <w:separator/>
      </w:r>
    </w:p>
  </w:footnote>
  <w:footnote w:type="continuationSeparator" w:id="0">
    <w:p w14:paraId="68D43650" w14:textId="77777777" w:rsidR="00A541A5" w:rsidRPr="0079512C" w:rsidRDefault="00A541A5">
      <w:r w:rsidRPr="0079512C">
        <w:continuationSeparator/>
      </w:r>
    </w:p>
  </w:footnote>
  <w:footnote w:id="1">
    <w:p w14:paraId="7285126F" w14:textId="236A6954" w:rsidR="00E5047E" w:rsidRPr="005E00C2" w:rsidRDefault="00E5047E" w:rsidP="0079512C">
      <w:pPr>
        <w:pStyle w:val="FootnoteText"/>
        <w:ind w:left="567" w:hanging="567"/>
        <w:rPr>
          <w:sz w:val="24"/>
          <w:lang w:val="fi-FI"/>
        </w:rPr>
      </w:pPr>
      <w:r w:rsidRPr="0079512C">
        <w:rPr>
          <w:sz w:val="24"/>
          <w:vertAlign w:val="superscript"/>
          <w:lang w:val="sv-SE"/>
        </w:rPr>
        <w:footnoteRef/>
      </w:r>
      <w:r w:rsidR="0079512C" w:rsidRPr="005E00C2">
        <w:rPr>
          <w:sz w:val="24"/>
          <w:lang w:val="fi-FI"/>
        </w:rPr>
        <w:t xml:space="preserve"> </w:t>
      </w:r>
      <w:r w:rsidR="0079512C" w:rsidRPr="005E00C2">
        <w:rPr>
          <w:sz w:val="24"/>
          <w:lang w:val="fi-FI"/>
        </w:rPr>
        <w:tab/>
      </w:r>
      <w:r w:rsidRPr="005E00C2">
        <w:rPr>
          <w:sz w:val="24"/>
          <w:lang w:val="fi-FI"/>
        </w:rPr>
        <w:t xml:space="preserve">EUT C, C/2024/4182, 2.8.2024, ELI: </w:t>
      </w:r>
      <w:hyperlink r:id="rId1" w:history="1">
        <w:r w:rsidRPr="005E00C2">
          <w:rPr>
            <w:rStyle w:val="Hyperlink"/>
            <w:sz w:val="24"/>
            <w:lang w:val="fi-FI"/>
          </w:rPr>
          <w:t>http://data.europa.eu/eli/C/2024/4182/oj</w:t>
        </w:r>
      </w:hyperlink>
      <w:r w:rsidRPr="005E00C2">
        <w:rPr>
          <w:sz w:val="24"/>
          <w:lang w:val="fi-FI"/>
        </w:rPr>
        <w:t>.</w:t>
      </w:r>
    </w:p>
  </w:footnote>
  <w:footnote w:id="2">
    <w:p w14:paraId="762125DB" w14:textId="7A58B8BE" w:rsidR="00E5047E" w:rsidRPr="005E00C2" w:rsidRDefault="00E5047E" w:rsidP="0079512C">
      <w:pPr>
        <w:pStyle w:val="FootnoteText"/>
        <w:ind w:left="567" w:hanging="567"/>
        <w:rPr>
          <w:sz w:val="24"/>
          <w:lang w:val="fi-FI"/>
        </w:rPr>
      </w:pPr>
      <w:r w:rsidRPr="0079512C">
        <w:rPr>
          <w:rStyle w:val="FootnoteReference"/>
          <w:sz w:val="24"/>
          <w:lang w:val="sv-SE"/>
        </w:rPr>
        <w:footnoteRef/>
      </w:r>
      <w:r w:rsidR="0079512C" w:rsidRPr="005E00C2">
        <w:rPr>
          <w:sz w:val="24"/>
          <w:lang w:val="fi-FI"/>
        </w:rPr>
        <w:t xml:space="preserve"> </w:t>
      </w:r>
      <w:r w:rsidR="0079512C" w:rsidRPr="005E00C2">
        <w:rPr>
          <w:sz w:val="24"/>
          <w:lang w:val="fi-FI"/>
        </w:rPr>
        <w:tab/>
      </w:r>
      <w:proofErr w:type="spellStart"/>
      <w:r w:rsidRPr="005E00C2">
        <w:rPr>
          <w:sz w:val="24"/>
          <w:lang w:val="fi-FI"/>
        </w:rPr>
        <w:t>Katsinis</w:t>
      </w:r>
      <w:proofErr w:type="spellEnd"/>
      <w:r w:rsidRPr="005E00C2">
        <w:rPr>
          <w:sz w:val="24"/>
          <w:lang w:val="fi-FI"/>
        </w:rPr>
        <w:t xml:space="preserve">, A., </w:t>
      </w:r>
      <w:proofErr w:type="spellStart"/>
      <w:r w:rsidRPr="005E00C2">
        <w:rPr>
          <w:sz w:val="24"/>
          <w:lang w:val="fi-FI"/>
        </w:rPr>
        <w:t>Lagüera</w:t>
      </w:r>
      <w:proofErr w:type="spellEnd"/>
      <w:r w:rsidRPr="005E00C2">
        <w:rPr>
          <w:sz w:val="24"/>
          <w:lang w:val="fi-FI"/>
        </w:rPr>
        <w:t xml:space="preserve">-González, J., Di Bella, L., </w:t>
      </w:r>
      <w:proofErr w:type="spellStart"/>
      <w:r w:rsidRPr="005E00C2">
        <w:rPr>
          <w:sz w:val="24"/>
          <w:lang w:val="fi-FI"/>
        </w:rPr>
        <w:t>Odenthal</w:t>
      </w:r>
      <w:proofErr w:type="spellEnd"/>
      <w:r w:rsidRPr="005E00C2">
        <w:rPr>
          <w:sz w:val="24"/>
          <w:lang w:val="fi-FI"/>
        </w:rPr>
        <w:t xml:space="preserve">, L., Hell, M., et al., </w:t>
      </w:r>
      <w:proofErr w:type="spellStart"/>
      <w:r w:rsidRPr="005E00C2">
        <w:rPr>
          <w:i/>
          <w:iCs/>
          <w:sz w:val="24"/>
          <w:lang w:val="fi-FI"/>
        </w:rPr>
        <w:t>Annual</w:t>
      </w:r>
      <w:proofErr w:type="spellEnd"/>
      <w:r w:rsidRPr="005E00C2">
        <w:rPr>
          <w:i/>
          <w:iCs/>
          <w:sz w:val="24"/>
          <w:lang w:val="fi-FI"/>
        </w:rPr>
        <w:t xml:space="preserve"> Report on European </w:t>
      </w:r>
      <w:proofErr w:type="spellStart"/>
      <w:r w:rsidRPr="005E00C2">
        <w:rPr>
          <w:i/>
          <w:iCs/>
          <w:sz w:val="24"/>
          <w:lang w:val="fi-FI"/>
        </w:rPr>
        <w:t>SMEs</w:t>
      </w:r>
      <w:proofErr w:type="spellEnd"/>
      <w:r w:rsidRPr="005E00C2">
        <w:rPr>
          <w:i/>
          <w:iCs/>
          <w:sz w:val="24"/>
          <w:lang w:val="fi-FI"/>
        </w:rPr>
        <w:t xml:space="preserve"> 2023/2024</w:t>
      </w:r>
      <w:r w:rsidRPr="005E00C2">
        <w:rPr>
          <w:sz w:val="24"/>
          <w:lang w:val="fi-FI"/>
        </w:rPr>
        <w:t xml:space="preserve">, </w:t>
      </w:r>
      <w:proofErr w:type="spellStart"/>
      <w:r w:rsidRPr="005E00C2">
        <w:rPr>
          <w:sz w:val="24"/>
          <w:lang w:val="fi-FI"/>
        </w:rPr>
        <w:t>Europeiska</w:t>
      </w:r>
      <w:proofErr w:type="spellEnd"/>
      <w:r w:rsidRPr="005E00C2">
        <w:rPr>
          <w:sz w:val="24"/>
          <w:lang w:val="fi-FI"/>
        </w:rPr>
        <w:t xml:space="preserve"> </w:t>
      </w:r>
      <w:proofErr w:type="spellStart"/>
      <w:r w:rsidRPr="005E00C2">
        <w:rPr>
          <w:sz w:val="24"/>
          <w:lang w:val="fi-FI"/>
        </w:rPr>
        <w:t>unionens</w:t>
      </w:r>
      <w:proofErr w:type="spellEnd"/>
      <w:r w:rsidRPr="005E00C2">
        <w:rPr>
          <w:sz w:val="24"/>
          <w:lang w:val="fi-FI"/>
        </w:rPr>
        <w:t xml:space="preserve"> </w:t>
      </w:r>
      <w:proofErr w:type="spellStart"/>
      <w:r w:rsidRPr="005E00C2">
        <w:rPr>
          <w:sz w:val="24"/>
          <w:lang w:val="fi-FI"/>
        </w:rPr>
        <w:t>publikationsbyrå</w:t>
      </w:r>
      <w:proofErr w:type="spellEnd"/>
      <w:r w:rsidRPr="005E00C2">
        <w:rPr>
          <w:sz w:val="24"/>
          <w:lang w:val="fi-FI"/>
        </w:rPr>
        <w:t>,</w:t>
      </w:r>
      <w:r w:rsidRPr="005E00C2">
        <w:rPr>
          <w:color w:val="0000FF"/>
          <w:sz w:val="24"/>
          <w:u w:val="single"/>
          <w:lang w:val="fi-FI"/>
        </w:rPr>
        <w:t xml:space="preserve"> </w:t>
      </w:r>
      <w:hyperlink r:id="rId2" w:history="1">
        <w:r w:rsidR="005E00C2" w:rsidRPr="003E4619">
          <w:rPr>
            <w:rStyle w:val="Hyperlink"/>
            <w:sz w:val="24"/>
            <w:lang w:val="fi-FI"/>
          </w:rPr>
          <w:t>https://single-market-economy.ec.europa.eu/document/download/2bef0eda-2f75-497d-982e-c0d1cea57c0e_en?filename=Annual%20Report%20on%20Europ</w:t>
        </w:r>
        <w:r w:rsidR="005E00C2" w:rsidRPr="003E4619">
          <w:rPr>
            <w:rStyle w:val="Hyperlink"/>
            <w:sz w:val="24"/>
            <w:lang w:val="fi-FI"/>
          </w:rPr>
          <w:br/>
          <w:t>ean%20SMEs%202024.pdf</w:t>
        </w:r>
      </w:hyperlink>
      <w:r w:rsidRPr="005E00C2">
        <w:rPr>
          <w:color w:val="0000FF"/>
          <w:sz w:val="24"/>
          <w:u w:val="single"/>
          <w:lang w:val="fi-FI"/>
        </w:rPr>
        <w:t>.</w:t>
      </w:r>
    </w:p>
  </w:footnote>
  <w:footnote w:id="3">
    <w:p w14:paraId="70B6345F" w14:textId="789F1EC3" w:rsidR="00E5047E" w:rsidRPr="005E00C2" w:rsidRDefault="00E5047E" w:rsidP="0079512C">
      <w:pPr>
        <w:ind w:left="567" w:hanging="567"/>
        <w:rPr>
          <w:lang w:val="fi-FI"/>
        </w:rPr>
      </w:pPr>
      <w:r w:rsidRPr="0079512C">
        <w:rPr>
          <w:rStyle w:val="FootnoteReference"/>
        </w:rPr>
        <w:footnoteRef/>
      </w:r>
      <w:r w:rsidR="0079512C" w:rsidRPr="005E00C2">
        <w:rPr>
          <w:lang w:val="fi-FI"/>
        </w:rPr>
        <w:t xml:space="preserve"> </w:t>
      </w:r>
      <w:r w:rsidR="0079512C" w:rsidRPr="005E00C2">
        <w:rPr>
          <w:lang w:val="fi-FI"/>
        </w:rPr>
        <w:tab/>
      </w:r>
      <w:proofErr w:type="spellStart"/>
      <w:r w:rsidRPr="005E00C2">
        <w:rPr>
          <w:lang w:val="fi-FI"/>
        </w:rPr>
        <w:t>Draghi</w:t>
      </w:r>
      <w:proofErr w:type="spellEnd"/>
      <w:r w:rsidRPr="005E00C2">
        <w:rPr>
          <w:lang w:val="fi-FI"/>
        </w:rPr>
        <w:t xml:space="preserve">, Mario, </w:t>
      </w:r>
      <w:proofErr w:type="spellStart"/>
      <w:r w:rsidRPr="005E00C2">
        <w:rPr>
          <w:lang w:val="fi-FI"/>
        </w:rPr>
        <w:t>rapport</w:t>
      </w:r>
      <w:proofErr w:type="spellEnd"/>
      <w:r w:rsidRPr="005E00C2">
        <w:rPr>
          <w:lang w:val="fi-FI"/>
        </w:rPr>
        <w:t xml:space="preserve"> </w:t>
      </w:r>
      <w:proofErr w:type="spellStart"/>
      <w:r w:rsidRPr="005E00C2">
        <w:rPr>
          <w:lang w:val="fi-FI"/>
        </w:rPr>
        <w:t>om</w:t>
      </w:r>
      <w:proofErr w:type="spellEnd"/>
      <w:r w:rsidRPr="005E00C2">
        <w:rPr>
          <w:lang w:val="fi-FI"/>
        </w:rPr>
        <w:t xml:space="preserve"> </w:t>
      </w:r>
      <w:proofErr w:type="spellStart"/>
      <w:r w:rsidRPr="005E00C2">
        <w:rPr>
          <w:lang w:val="fi-FI"/>
        </w:rPr>
        <w:t>EU:s</w:t>
      </w:r>
      <w:proofErr w:type="spellEnd"/>
      <w:r w:rsidRPr="005E00C2">
        <w:rPr>
          <w:lang w:val="fi-FI"/>
        </w:rPr>
        <w:t xml:space="preserve"> </w:t>
      </w:r>
      <w:proofErr w:type="spellStart"/>
      <w:r w:rsidRPr="005E00C2">
        <w:rPr>
          <w:lang w:val="fi-FI"/>
        </w:rPr>
        <w:t>framtida</w:t>
      </w:r>
      <w:proofErr w:type="spellEnd"/>
      <w:r w:rsidRPr="005E00C2">
        <w:rPr>
          <w:lang w:val="fi-FI"/>
        </w:rPr>
        <w:t xml:space="preserve"> </w:t>
      </w:r>
      <w:proofErr w:type="spellStart"/>
      <w:r w:rsidRPr="005E00C2">
        <w:rPr>
          <w:lang w:val="fi-FI"/>
        </w:rPr>
        <w:t>konkurrenskraft</w:t>
      </w:r>
      <w:proofErr w:type="spellEnd"/>
      <w:r w:rsidRPr="005E00C2">
        <w:rPr>
          <w:lang w:val="fi-FI"/>
        </w:rPr>
        <w:t xml:space="preserve">, </w:t>
      </w:r>
      <w:proofErr w:type="spellStart"/>
      <w:r w:rsidRPr="005E00C2">
        <w:rPr>
          <w:i/>
          <w:iCs/>
          <w:lang w:val="fi-FI"/>
        </w:rPr>
        <w:t>The</w:t>
      </w:r>
      <w:proofErr w:type="spellEnd"/>
      <w:r w:rsidRPr="005E00C2">
        <w:rPr>
          <w:i/>
          <w:iCs/>
          <w:lang w:val="fi-FI"/>
        </w:rPr>
        <w:t xml:space="preserve"> </w:t>
      </w:r>
      <w:proofErr w:type="spellStart"/>
      <w:r w:rsidRPr="005E00C2">
        <w:rPr>
          <w:i/>
          <w:iCs/>
          <w:lang w:val="fi-FI"/>
        </w:rPr>
        <w:t>Future</w:t>
      </w:r>
      <w:proofErr w:type="spellEnd"/>
      <w:r w:rsidRPr="005E00C2">
        <w:rPr>
          <w:i/>
          <w:iCs/>
          <w:lang w:val="fi-FI"/>
        </w:rPr>
        <w:t xml:space="preserve"> of European </w:t>
      </w:r>
      <w:proofErr w:type="spellStart"/>
      <w:r w:rsidRPr="005E00C2">
        <w:rPr>
          <w:i/>
          <w:iCs/>
          <w:lang w:val="fi-FI"/>
        </w:rPr>
        <w:t>Competitiveness</w:t>
      </w:r>
      <w:proofErr w:type="spellEnd"/>
      <w:r w:rsidRPr="005E00C2">
        <w:rPr>
          <w:i/>
          <w:iCs/>
          <w:lang w:val="fi-FI"/>
        </w:rPr>
        <w:t xml:space="preserve"> – A </w:t>
      </w:r>
      <w:proofErr w:type="spellStart"/>
      <w:r w:rsidRPr="005E00C2">
        <w:rPr>
          <w:i/>
          <w:iCs/>
          <w:lang w:val="fi-FI"/>
        </w:rPr>
        <w:t>Competitiveness</w:t>
      </w:r>
      <w:proofErr w:type="spellEnd"/>
      <w:r w:rsidRPr="005E00C2">
        <w:rPr>
          <w:i/>
          <w:iCs/>
          <w:lang w:val="fi-FI"/>
        </w:rPr>
        <w:t xml:space="preserve"> </w:t>
      </w:r>
      <w:proofErr w:type="spellStart"/>
      <w:r w:rsidRPr="005E00C2">
        <w:rPr>
          <w:i/>
          <w:iCs/>
          <w:lang w:val="fi-FI"/>
        </w:rPr>
        <w:t>Strategy</w:t>
      </w:r>
      <w:proofErr w:type="spellEnd"/>
      <w:r w:rsidRPr="005E00C2">
        <w:rPr>
          <w:i/>
          <w:iCs/>
          <w:lang w:val="fi-FI"/>
        </w:rPr>
        <w:t xml:space="preserve"> for Europe</w:t>
      </w:r>
      <w:r w:rsidRPr="005E00C2">
        <w:rPr>
          <w:lang w:val="fi-FI"/>
        </w:rPr>
        <w:t>, 2024,</w:t>
      </w:r>
      <w:r w:rsidRPr="005E00C2">
        <w:rPr>
          <w:color w:val="0000FF"/>
          <w:u w:val="single" w:color="0000FF"/>
          <w:lang w:val="fi-FI"/>
        </w:rPr>
        <w:t xml:space="preserve"> </w:t>
      </w:r>
      <w:hyperlink r:id="rId3" w:history="1">
        <w:r w:rsidRPr="005E00C2">
          <w:rPr>
            <w:rStyle w:val="Hyperlink"/>
            <w:lang w:val="fi-FI"/>
          </w:rPr>
          <w:t>https://commission.europa.eu/document/97e481fd-2dc3-412d-be4c-f152a8232961_en</w:t>
        </w:r>
      </w:hyperlink>
      <w:r w:rsidRPr="005E00C2">
        <w:rPr>
          <w:lang w:val="fi-FI"/>
        </w:rPr>
        <w:t>.</w:t>
      </w:r>
    </w:p>
  </w:footnote>
  <w:footnote w:id="4">
    <w:p w14:paraId="19041D6B" w14:textId="4C37EE9B" w:rsidR="00E5047E" w:rsidRPr="0079512C" w:rsidRDefault="00E5047E" w:rsidP="0079512C">
      <w:pPr>
        <w:pStyle w:val="FootnoteText"/>
        <w:ind w:left="567" w:hanging="567"/>
        <w:rPr>
          <w:sz w:val="24"/>
          <w:lang w:val="sv-SE"/>
        </w:rPr>
      </w:pPr>
      <w:r w:rsidRPr="0079512C">
        <w:rPr>
          <w:rStyle w:val="FootnoteReference"/>
          <w:sz w:val="24"/>
          <w:lang w:val="sv-SE"/>
        </w:rPr>
        <w:footnoteRef/>
      </w:r>
      <w:bookmarkStart w:id="6" w:name="_Hlk210313079"/>
      <w:r w:rsidR="0079512C" w:rsidRPr="0079512C">
        <w:rPr>
          <w:sz w:val="24"/>
          <w:lang w:val="sv-SE"/>
        </w:rPr>
        <w:t xml:space="preserve"> </w:t>
      </w:r>
      <w:r w:rsidR="0079512C" w:rsidRPr="0079512C">
        <w:rPr>
          <w:sz w:val="24"/>
          <w:lang w:val="sv-SE"/>
        </w:rPr>
        <w:tab/>
      </w:r>
      <w:r w:rsidRPr="0079512C">
        <w:rPr>
          <w:sz w:val="24"/>
          <w:lang w:val="sv-SE"/>
        </w:rPr>
        <w:t xml:space="preserve">Börsnoteringsakten består av Europaparlamentets och rådets förordning (EU) 2024/2809 av den 23 oktober 2024 om ändring av förordningarna (EU) 2017/1129, (EU) nr 596/2014 och (EU) nr 600/2014 för att göra de offentliga kapitalmarknaderna i unionen attraktivare för företag och underlätta tillgången till kapital för små och medelstora företag (EUT L, 2024/2809, 14.11.2024, ELI: </w:t>
      </w:r>
      <w:hyperlink r:id="rId4" w:history="1">
        <w:r w:rsidRPr="0079512C">
          <w:rPr>
            <w:rStyle w:val="Hyperlink"/>
            <w:sz w:val="24"/>
            <w:lang w:val="sv-SE"/>
          </w:rPr>
          <w:t>http://data.europa.eu/eli/reg/2024/2809/oj</w:t>
        </w:r>
      </w:hyperlink>
      <w:r w:rsidRPr="0079512C">
        <w:rPr>
          <w:sz w:val="24"/>
          <w:lang w:val="sv-SE"/>
        </w:rPr>
        <w:t xml:space="preserve">), Europaparlamentets och rådets direktiv (EU) 2024/2810 av den 23 oktober 2024 om strukturer med aktier med utvidgad rösträtt i företag som ansöker om upptagande till handel av sina aktier på en multilateral handelsplattform (EUT L, 2024/2810, 14.11.2024, ELI: </w:t>
      </w:r>
      <w:hyperlink r:id="rId5" w:history="1">
        <w:r w:rsidRPr="0079512C">
          <w:rPr>
            <w:rStyle w:val="Hyperlink"/>
            <w:sz w:val="24"/>
            <w:lang w:val="sv-SE"/>
          </w:rPr>
          <w:t>http://data.europa.eu/eli/dir/2024/2810/oj</w:t>
        </w:r>
      </w:hyperlink>
      <w:r w:rsidRPr="0079512C">
        <w:rPr>
          <w:sz w:val="24"/>
          <w:lang w:val="sv-SE"/>
        </w:rPr>
        <w:t xml:space="preserve">) och Europaparlamentets och rådets direktiv (EU) 2024/2811 av den 23 oktober 2024 om ändring av direktiv 2014/65/EU för att göra offentliga kapitalmarknader i unionen mer attraktiva för företag och för att underlätta små och medelstora företags tillgång till kapital och om upphävande av direktiv 2001/34/EG (EUT L, 2024/2811, 14.11.2024, ELI: </w:t>
      </w:r>
      <w:hyperlink r:id="rId6" w:history="1">
        <w:r w:rsidRPr="0079512C">
          <w:rPr>
            <w:rStyle w:val="Hyperlink"/>
            <w:sz w:val="24"/>
            <w:lang w:val="sv-SE"/>
          </w:rPr>
          <w:t>http://data.europa.eu/eli/dir/2024/2811/oj</w:t>
        </w:r>
      </w:hyperlink>
      <w:r w:rsidRPr="0079512C">
        <w:rPr>
          <w:sz w:val="24"/>
          <w:lang w:val="sv-SE"/>
        </w:rPr>
        <w:t>).</w:t>
      </w:r>
      <w:bookmarkEnd w:id="6"/>
    </w:p>
  </w:footnote>
  <w:footnote w:id="5">
    <w:p w14:paraId="4DE963EB" w14:textId="058C5394" w:rsidR="00E5047E" w:rsidRPr="0079512C" w:rsidRDefault="00E5047E" w:rsidP="0079512C">
      <w:pPr>
        <w:pStyle w:val="FootnoteText"/>
        <w:ind w:left="567" w:hanging="567"/>
        <w:rPr>
          <w:sz w:val="24"/>
          <w:lang w:val="sv-SE"/>
        </w:rPr>
      </w:pPr>
      <w:r w:rsidRPr="0079512C">
        <w:rPr>
          <w:rStyle w:val="FootnoteReference"/>
          <w:sz w:val="24"/>
          <w:lang w:val="sv-SE"/>
        </w:rPr>
        <w:footnoteRef/>
      </w:r>
      <w:r w:rsidR="0079512C" w:rsidRPr="0079512C">
        <w:rPr>
          <w:sz w:val="24"/>
          <w:lang w:val="sv-SE"/>
        </w:rPr>
        <w:t xml:space="preserve"> </w:t>
      </w:r>
      <w:r w:rsidR="0079512C" w:rsidRPr="0079512C">
        <w:rPr>
          <w:sz w:val="24"/>
          <w:lang w:val="sv-SE"/>
        </w:rPr>
        <w:tab/>
      </w:r>
      <w:r w:rsidRPr="0079512C">
        <w:rPr>
          <w:sz w:val="24"/>
          <w:lang w:val="sv-SE"/>
        </w:rPr>
        <w:t xml:space="preserve">Europaparlamentets och rådets förordning (EU) nr 345/2013 av den 17 april 2013 om europeiska riskkapitalfonder (EUT L 115, 25.4.2013, s. 1, ELI: </w:t>
      </w:r>
      <w:hyperlink r:id="rId7" w:history="1">
        <w:r w:rsidRPr="0079512C">
          <w:rPr>
            <w:rStyle w:val="Hyperlink"/>
            <w:sz w:val="24"/>
            <w:lang w:val="sv-SE"/>
          </w:rPr>
          <w:t>http://data.europa.eu/eli/reg/2013/345/oj</w:t>
        </w:r>
      </w:hyperlink>
      <w:r w:rsidRPr="0079512C">
        <w:rPr>
          <w:sz w:val="24"/>
          <w:lang w:val="sv-SE"/>
        </w:rPr>
        <w:t>).</w:t>
      </w:r>
    </w:p>
  </w:footnote>
  <w:footnote w:id="6">
    <w:p w14:paraId="0DAB043E" w14:textId="03DE783F" w:rsidR="00E5047E" w:rsidRPr="0079512C" w:rsidRDefault="00E5047E" w:rsidP="0079512C">
      <w:pPr>
        <w:pStyle w:val="FootnoteText"/>
        <w:ind w:left="567" w:hanging="567"/>
        <w:rPr>
          <w:sz w:val="24"/>
          <w:lang w:val="sv-SE"/>
        </w:rPr>
      </w:pPr>
      <w:r w:rsidRPr="0079512C">
        <w:rPr>
          <w:rStyle w:val="FootnoteReference"/>
          <w:sz w:val="24"/>
          <w:lang w:val="sv-SE"/>
        </w:rPr>
        <w:footnoteRef/>
      </w:r>
      <w:r w:rsidR="0079512C" w:rsidRPr="0079512C">
        <w:rPr>
          <w:sz w:val="24"/>
          <w:lang w:val="sv-SE"/>
        </w:rPr>
        <w:t xml:space="preserve"> </w:t>
      </w:r>
      <w:r w:rsidR="0079512C" w:rsidRPr="0079512C">
        <w:rPr>
          <w:sz w:val="24"/>
          <w:lang w:val="sv-SE"/>
        </w:rPr>
        <w:tab/>
      </w:r>
      <w:r w:rsidRPr="0079512C">
        <w:rPr>
          <w:sz w:val="24"/>
          <w:lang w:val="sv-SE"/>
        </w:rPr>
        <w:t xml:space="preserve">Europaparlamentets och rådets direktiv 2014/65/EU av den 15 maj 2014 om marknader för finansiella instrument och om ändring av direktiv 2002/92/EG och av direktiv 2011/61/EU (EUT L 173, 12.6.2014, s. 349, ELI: </w:t>
      </w:r>
      <w:hyperlink r:id="rId8" w:history="1">
        <w:r w:rsidRPr="0079512C">
          <w:rPr>
            <w:rStyle w:val="Hyperlink"/>
            <w:sz w:val="24"/>
            <w:lang w:val="sv-SE"/>
          </w:rPr>
          <w:t>http://data.europa.eu/eli/dir/2014/65/oj</w:t>
        </w:r>
      </w:hyperlink>
      <w:r w:rsidRPr="0079512C">
        <w:rPr>
          <w:sz w:val="24"/>
          <w:lang w:val="sv-SE"/>
        </w:rPr>
        <w:t>).</w:t>
      </w:r>
    </w:p>
  </w:footnote>
  <w:footnote w:id="7">
    <w:p w14:paraId="74CE7824" w14:textId="1A0B4E84" w:rsidR="00E5047E" w:rsidRPr="0079512C" w:rsidRDefault="00E5047E" w:rsidP="0079512C">
      <w:pPr>
        <w:pStyle w:val="FootnoteText"/>
        <w:ind w:left="567" w:hanging="567"/>
        <w:rPr>
          <w:sz w:val="24"/>
          <w:lang w:val="sv-SE"/>
        </w:rPr>
      </w:pPr>
      <w:r w:rsidRPr="0079512C">
        <w:rPr>
          <w:rStyle w:val="FootnoteReference"/>
          <w:sz w:val="24"/>
          <w:lang w:val="sv-SE"/>
        </w:rPr>
        <w:footnoteRef/>
      </w:r>
      <w:r w:rsidR="0079512C" w:rsidRPr="0079512C">
        <w:rPr>
          <w:sz w:val="24"/>
          <w:lang w:val="sv-SE"/>
        </w:rPr>
        <w:t xml:space="preserve"> </w:t>
      </w:r>
      <w:r w:rsidR="0079512C" w:rsidRPr="0079512C">
        <w:rPr>
          <w:sz w:val="24"/>
          <w:lang w:val="sv-SE"/>
        </w:rPr>
        <w:tab/>
      </w:r>
      <w:proofErr w:type="spellStart"/>
      <w:r w:rsidRPr="0079512C">
        <w:rPr>
          <w:sz w:val="24"/>
          <w:lang w:val="sv-SE"/>
        </w:rPr>
        <w:t>Katsinis</w:t>
      </w:r>
      <w:proofErr w:type="spellEnd"/>
      <w:r w:rsidRPr="0079512C">
        <w:rPr>
          <w:sz w:val="24"/>
          <w:lang w:val="sv-SE"/>
        </w:rPr>
        <w:t xml:space="preserve">, A., </w:t>
      </w:r>
      <w:proofErr w:type="spellStart"/>
      <w:r w:rsidRPr="0079512C">
        <w:rPr>
          <w:sz w:val="24"/>
          <w:lang w:val="sv-SE"/>
        </w:rPr>
        <w:t>Lagüera</w:t>
      </w:r>
      <w:proofErr w:type="spellEnd"/>
      <w:r w:rsidRPr="0079512C">
        <w:rPr>
          <w:sz w:val="24"/>
          <w:lang w:val="sv-SE"/>
        </w:rPr>
        <w:t xml:space="preserve">-González, J., Di Bella, L., </w:t>
      </w:r>
      <w:proofErr w:type="spellStart"/>
      <w:r w:rsidRPr="0079512C">
        <w:rPr>
          <w:sz w:val="24"/>
          <w:lang w:val="sv-SE"/>
        </w:rPr>
        <w:t>Odenthal</w:t>
      </w:r>
      <w:proofErr w:type="spellEnd"/>
      <w:r w:rsidRPr="0079512C">
        <w:rPr>
          <w:sz w:val="24"/>
          <w:lang w:val="sv-SE"/>
        </w:rPr>
        <w:t xml:space="preserve">, L., Hell, M., et al., </w:t>
      </w:r>
      <w:proofErr w:type="spellStart"/>
      <w:r w:rsidRPr="0079512C">
        <w:rPr>
          <w:i/>
          <w:iCs/>
          <w:sz w:val="24"/>
          <w:lang w:val="sv-SE"/>
        </w:rPr>
        <w:t>Annual</w:t>
      </w:r>
      <w:proofErr w:type="spellEnd"/>
      <w:r w:rsidRPr="0079512C">
        <w:rPr>
          <w:i/>
          <w:iCs/>
          <w:sz w:val="24"/>
          <w:lang w:val="sv-SE"/>
        </w:rPr>
        <w:t xml:space="preserve"> </w:t>
      </w:r>
      <w:proofErr w:type="spellStart"/>
      <w:r w:rsidRPr="0079512C">
        <w:rPr>
          <w:i/>
          <w:iCs/>
          <w:sz w:val="24"/>
          <w:lang w:val="sv-SE"/>
        </w:rPr>
        <w:t>Report</w:t>
      </w:r>
      <w:proofErr w:type="spellEnd"/>
      <w:r w:rsidRPr="0079512C">
        <w:rPr>
          <w:i/>
          <w:iCs/>
          <w:sz w:val="24"/>
          <w:lang w:val="sv-SE"/>
        </w:rPr>
        <w:t xml:space="preserve"> on </w:t>
      </w:r>
      <w:proofErr w:type="spellStart"/>
      <w:r w:rsidRPr="0079512C">
        <w:rPr>
          <w:i/>
          <w:iCs/>
          <w:sz w:val="24"/>
          <w:lang w:val="sv-SE"/>
        </w:rPr>
        <w:t>European</w:t>
      </w:r>
      <w:proofErr w:type="spellEnd"/>
      <w:r w:rsidRPr="0079512C">
        <w:rPr>
          <w:i/>
          <w:iCs/>
          <w:sz w:val="24"/>
          <w:lang w:val="sv-SE"/>
        </w:rPr>
        <w:t xml:space="preserve"> SMEs 2023/2024</w:t>
      </w:r>
      <w:r w:rsidRPr="0079512C">
        <w:rPr>
          <w:sz w:val="24"/>
          <w:lang w:val="sv-SE"/>
        </w:rPr>
        <w:t>, Europeiska unionens publikationsbyrå, 2024,</w:t>
      </w:r>
      <w:hyperlink r:id="rId9" w:history="1">
        <w:r w:rsidR="005E00C2" w:rsidRPr="003E4619">
          <w:rPr>
            <w:rStyle w:val="Hyperlink"/>
            <w:sz w:val="24"/>
            <w:lang w:val="sv-SE"/>
          </w:rPr>
          <w:t>https://single-market-economy.ec.europa.eu/document/download/2bef0eda-2f75-497d-982e-c0d1cea57c0e_en?filename=Annual%20Report%20on%20</w:t>
        </w:r>
        <w:r w:rsidR="005E00C2" w:rsidRPr="003E4619">
          <w:rPr>
            <w:rStyle w:val="Hyperlink"/>
            <w:sz w:val="24"/>
            <w:lang w:val="sv-SE"/>
          </w:rPr>
          <w:br/>
          <w:t>European%20SMEs%202024.pdf</w:t>
        </w:r>
      </w:hyperlink>
      <w:r w:rsidRPr="0079512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D245" w14:textId="77777777" w:rsidR="00064002" w:rsidRPr="007951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1DD0" w14:textId="77777777" w:rsidR="00064002" w:rsidRPr="007951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B26F" w14:textId="77777777" w:rsidR="00064002" w:rsidRPr="007951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8786014">
    <w:abstractNumId w:val="9"/>
  </w:num>
  <w:num w:numId="2" w16cid:durableId="578247824">
    <w:abstractNumId w:val="9"/>
  </w:num>
  <w:num w:numId="3" w16cid:durableId="1891334193">
    <w:abstractNumId w:val="7"/>
  </w:num>
  <w:num w:numId="4" w16cid:durableId="1609434615">
    <w:abstractNumId w:val="7"/>
  </w:num>
  <w:num w:numId="5" w16cid:durableId="473791650">
    <w:abstractNumId w:val="6"/>
  </w:num>
  <w:num w:numId="6" w16cid:durableId="431053846">
    <w:abstractNumId w:val="6"/>
  </w:num>
  <w:num w:numId="7" w16cid:durableId="1275936929">
    <w:abstractNumId w:val="5"/>
  </w:num>
  <w:num w:numId="8" w16cid:durableId="89932829">
    <w:abstractNumId w:val="5"/>
  </w:num>
  <w:num w:numId="9" w16cid:durableId="498813276">
    <w:abstractNumId w:val="4"/>
  </w:num>
  <w:num w:numId="10" w16cid:durableId="1495991776">
    <w:abstractNumId w:val="4"/>
  </w:num>
  <w:num w:numId="11" w16cid:durableId="741292807">
    <w:abstractNumId w:val="8"/>
  </w:num>
  <w:num w:numId="12" w16cid:durableId="1483306551">
    <w:abstractNumId w:val="8"/>
  </w:num>
  <w:num w:numId="13" w16cid:durableId="13383048">
    <w:abstractNumId w:val="3"/>
  </w:num>
  <w:num w:numId="14" w16cid:durableId="205413322">
    <w:abstractNumId w:val="3"/>
  </w:num>
  <w:num w:numId="15" w16cid:durableId="1469981416">
    <w:abstractNumId w:val="2"/>
  </w:num>
  <w:num w:numId="16" w16cid:durableId="1763603483">
    <w:abstractNumId w:val="2"/>
  </w:num>
  <w:num w:numId="17" w16cid:durableId="996298743">
    <w:abstractNumId w:val="1"/>
  </w:num>
  <w:num w:numId="18" w16cid:durableId="1494679980">
    <w:abstractNumId w:val="1"/>
  </w:num>
  <w:num w:numId="19" w16cid:durableId="1991907491">
    <w:abstractNumId w:val="0"/>
  </w:num>
  <w:num w:numId="20" w16cid:durableId="1260068030">
    <w:abstractNumId w:val="0"/>
  </w:num>
  <w:num w:numId="21" w16cid:durableId="342902775">
    <w:abstractNumId w:val="9"/>
  </w:num>
  <w:num w:numId="22" w16cid:durableId="1577059173">
    <w:abstractNumId w:val="7"/>
  </w:num>
  <w:num w:numId="23" w16cid:durableId="362288285">
    <w:abstractNumId w:val="6"/>
  </w:num>
  <w:num w:numId="24" w16cid:durableId="1442795582">
    <w:abstractNumId w:val="5"/>
  </w:num>
  <w:num w:numId="25" w16cid:durableId="1397050043">
    <w:abstractNumId w:val="4"/>
  </w:num>
  <w:num w:numId="26" w16cid:durableId="109395026">
    <w:abstractNumId w:val="8"/>
  </w:num>
  <w:num w:numId="27" w16cid:durableId="1283267777">
    <w:abstractNumId w:val="3"/>
  </w:num>
  <w:num w:numId="28" w16cid:durableId="1989749429">
    <w:abstractNumId w:val="2"/>
  </w:num>
  <w:num w:numId="29" w16cid:durableId="1650404025">
    <w:abstractNumId w:val="1"/>
  </w:num>
  <w:num w:numId="30" w16cid:durableId="127164408">
    <w:abstractNumId w:val="0"/>
  </w:num>
  <w:num w:numId="31" w16cid:durableId="1059667023">
    <w:abstractNumId w:val="9"/>
  </w:num>
  <w:num w:numId="32" w16cid:durableId="1189949806">
    <w:abstractNumId w:val="7"/>
  </w:num>
  <w:num w:numId="33" w16cid:durableId="854001194">
    <w:abstractNumId w:val="6"/>
  </w:num>
  <w:num w:numId="34" w16cid:durableId="1544558178">
    <w:abstractNumId w:val="5"/>
  </w:num>
  <w:num w:numId="35" w16cid:durableId="661394062">
    <w:abstractNumId w:val="4"/>
  </w:num>
  <w:num w:numId="36" w16cid:durableId="774447266">
    <w:abstractNumId w:val="8"/>
  </w:num>
  <w:num w:numId="37" w16cid:durableId="778915944">
    <w:abstractNumId w:val="3"/>
  </w:num>
  <w:num w:numId="38" w16cid:durableId="2060283531">
    <w:abstractNumId w:val="2"/>
  </w:num>
  <w:num w:numId="39" w16cid:durableId="389767921">
    <w:abstractNumId w:val="1"/>
  </w:num>
  <w:num w:numId="40" w16cid:durableId="46615079">
    <w:abstractNumId w:val="0"/>
  </w:num>
  <w:num w:numId="41" w16cid:durableId="383528561">
    <w:abstractNumId w:val="10"/>
  </w:num>
  <w:num w:numId="42" w16cid:durableId="15812886">
    <w:abstractNumId w:val="10"/>
  </w:num>
  <w:num w:numId="43" w16cid:durableId="1293830758">
    <w:abstractNumId w:val="10"/>
  </w:num>
  <w:num w:numId="44" w16cid:durableId="5225908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SV"/>
    <w:docVar w:name="dvnumam" w:val="0"/>
    <w:docVar w:name="dvpe" w:val="772.123"/>
    <w:docVar w:name="dvrapporteur" w:val="Föredragande: "/>
    <w:docVar w:name="dvtitre" w:val="Europaparlamentets resolution av den xx xx 2025 om tillgång till finansiering för små och medelstora företag och expanderande företag(2025/2072(INI))"/>
  </w:docVars>
  <w:rsids>
    <w:rsidRoot w:val="00A541A5"/>
    <w:rsid w:val="00002272"/>
    <w:rsid w:val="00064002"/>
    <w:rsid w:val="000677B9"/>
    <w:rsid w:val="00072972"/>
    <w:rsid w:val="000831BA"/>
    <w:rsid w:val="0009537B"/>
    <w:rsid w:val="000A42CC"/>
    <w:rsid w:val="000E7DD9"/>
    <w:rsid w:val="0010095E"/>
    <w:rsid w:val="00125B37"/>
    <w:rsid w:val="00187494"/>
    <w:rsid w:val="001F052C"/>
    <w:rsid w:val="001F32AE"/>
    <w:rsid w:val="00262AB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E09"/>
    <w:rsid w:val="005072A1"/>
    <w:rsid w:val="00514517"/>
    <w:rsid w:val="00545827"/>
    <w:rsid w:val="00560270"/>
    <w:rsid w:val="005C2568"/>
    <w:rsid w:val="005E00C2"/>
    <w:rsid w:val="005F1B17"/>
    <w:rsid w:val="006037C0"/>
    <w:rsid w:val="006631B6"/>
    <w:rsid w:val="00680577"/>
    <w:rsid w:val="00683748"/>
    <w:rsid w:val="006D57DA"/>
    <w:rsid w:val="006F74FA"/>
    <w:rsid w:val="00731ADD"/>
    <w:rsid w:val="00734777"/>
    <w:rsid w:val="00747932"/>
    <w:rsid w:val="00751A4A"/>
    <w:rsid w:val="00756632"/>
    <w:rsid w:val="00762C74"/>
    <w:rsid w:val="00786EC0"/>
    <w:rsid w:val="0079512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1A5"/>
    <w:rsid w:val="00A71885"/>
    <w:rsid w:val="00A778C7"/>
    <w:rsid w:val="00AB441E"/>
    <w:rsid w:val="00AB6293"/>
    <w:rsid w:val="00AE0928"/>
    <w:rsid w:val="00AF3B82"/>
    <w:rsid w:val="00B12E95"/>
    <w:rsid w:val="00B22876"/>
    <w:rsid w:val="00B558F0"/>
    <w:rsid w:val="00BD10D1"/>
    <w:rsid w:val="00BD48FE"/>
    <w:rsid w:val="00BD7BD8"/>
    <w:rsid w:val="00BE6ADC"/>
    <w:rsid w:val="00C05BFE"/>
    <w:rsid w:val="00C23CD4"/>
    <w:rsid w:val="00C61C0C"/>
    <w:rsid w:val="00C62978"/>
    <w:rsid w:val="00C941CB"/>
    <w:rsid w:val="00CB767C"/>
    <w:rsid w:val="00CC2357"/>
    <w:rsid w:val="00CF071A"/>
    <w:rsid w:val="00D058B8"/>
    <w:rsid w:val="00D56C11"/>
    <w:rsid w:val="00D834A0"/>
    <w:rsid w:val="00D872DF"/>
    <w:rsid w:val="00D91E21"/>
    <w:rsid w:val="00DA7FCD"/>
    <w:rsid w:val="00E365E1"/>
    <w:rsid w:val="00E5047E"/>
    <w:rsid w:val="00E820A4"/>
    <w:rsid w:val="00EB006A"/>
    <w:rsid w:val="00EB4772"/>
    <w:rsid w:val="00ED169E"/>
    <w:rsid w:val="00ED4235"/>
    <w:rsid w:val="00F0279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7CE2A"/>
  <w15:chartTrackingRefBased/>
  <w15:docId w15:val="{747F42B8-C54F-4DC8-BC65-29E19A1D9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047E"/>
    <w:pPr>
      <w:spacing w:before="480" w:after="240"/>
    </w:pPr>
    <w:rPr>
      <w:snapToGrid w:val="0"/>
      <w:lang w:eastAsia="en-US"/>
    </w:rPr>
  </w:style>
  <w:style w:type="paragraph" w:customStyle="1" w:styleId="NormalBold">
    <w:name w:val="NormalBold"/>
    <w:basedOn w:val="Normal"/>
    <w:rsid w:val="00E5047E"/>
    <w:rPr>
      <w:b/>
      <w:snapToGrid w:val="0"/>
      <w:lang w:eastAsia="en-US"/>
    </w:rPr>
  </w:style>
  <w:style w:type="paragraph" w:customStyle="1" w:styleId="NormalHanging12a">
    <w:name w:val="NormalHanging12a"/>
    <w:basedOn w:val="Normal"/>
    <w:rsid w:val="00E5047E"/>
    <w:pPr>
      <w:widowControl/>
      <w:spacing w:after="240"/>
      <w:ind w:left="567" w:hanging="567"/>
    </w:pPr>
    <w:rPr>
      <w:snapToGrid w:val="0"/>
      <w:lang w:eastAsia="en-US"/>
    </w:rPr>
  </w:style>
  <w:style w:type="paragraph" w:customStyle="1" w:styleId="PageHeading">
    <w:name w:val="PageHeading"/>
    <w:basedOn w:val="Normal"/>
    <w:rsid w:val="00E5047E"/>
    <w:pPr>
      <w:keepNext/>
      <w:spacing w:after="480"/>
      <w:jc w:val="center"/>
    </w:pPr>
    <w:rPr>
      <w:rFonts w:ascii="Arial" w:hAnsi="Arial" w:cs="Arial"/>
      <w:b/>
      <w:snapToGrid w:val="0"/>
      <w:lang w:eastAsia="en-US"/>
    </w:rPr>
  </w:style>
  <w:style w:type="paragraph" w:customStyle="1" w:styleId="NormalCenter12a">
    <w:name w:val="NormalCenter12a"/>
    <w:basedOn w:val="Normal"/>
    <w:rsid w:val="00E5047E"/>
    <w:pPr>
      <w:spacing w:after="240"/>
      <w:jc w:val="center"/>
    </w:pPr>
  </w:style>
  <w:style w:type="character" w:customStyle="1" w:styleId="BoldItalic">
    <w:name w:val="BoldItalic"/>
    <w:uiPriority w:val="1"/>
    <w:rsid w:val="00E5047E"/>
    <w:rPr>
      <w:b/>
      <w:i/>
      <w:u w:val="none"/>
    </w:rPr>
  </w:style>
  <w:style w:type="paragraph" w:customStyle="1" w:styleId="Normal12a24b">
    <w:name w:val="Normal12a24b"/>
    <w:basedOn w:val="Normal"/>
    <w:rsid w:val="00E5047E"/>
    <w:pPr>
      <w:spacing w:before="360" w:after="240"/>
    </w:pPr>
    <w:rPr>
      <w:snapToGrid w:val="0"/>
      <w:lang w:eastAsia="en-US"/>
    </w:rPr>
  </w:style>
  <w:style w:type="character" w:styleId="Hyperlink">
    <w:name w:val="Hyperlink"/>
    <w:basedOn w:val="DefaultParagraphFont"/>
    <w:rsid w:val="00E5047E"/>
    <w:rPr>
      <w:color w:val="0000FF"/>
      <w:u w:val="single"/>
    </w:rPr>
  </w:style>
  <w:style w:type="character" w:styleId="UnresolvedMention">
    <w:name w:val="Unresolved Mention"/>
    <w:basedOn w:val="DefaultParagraphFont"/>
    <w:uiPriority w:val="99"/>
    <w:semiHidden/>
    <w:unhideWhenUsed/>
    <w:rsid w:val="005E0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3703</Words>
  <Characters>24917</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2026-01-20T11:16:00Z</dcterms:created>
  <dcterms:modified xsi:type="dcterms:W3CDTF">2026-01-20T11:16:00Z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P10_TA-PROV(2025)0300_</vt:lpwstr>
  </property>
  <property fmtid="{D5CDD505-2E9C-101B-9397-08002B2CF9AE}" pid="4" name="&lt;Type&gt;">
    <vt:lpwstr>RR</vt:lpwstr>
  </property>
</Properties>
</file>