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2C64" w14:paraId="5EF178B9" w14:textId="77777777" w:rsidTr="0010095E">
        <w:trPr>
          <w:trHeight w:hRule="exact" w:val="1418"/>
        </w:trPr>
        <w:tc>
          <w:tcPr>
            <w:tcW w:w="6804" w:type="dxa"/>
            <w:shd w:val="clear" w:color="auto" w:fill="auto"/>
            <w:vAlign w:val="center"/>
          </w:tcPr>
          <w:p w14:paraId="6A836DA4" w14:textId="14257192" w:rsidR="00751A4A" w:rsidRPr="00CC2C64" w:rsidRDefault="000D07D2" w:rsidP="0010095E">
            <w:pPr>
              <w:pStyle w:val="EPName"/>
            </w:pPr>
            <w:r w:rsidRPr="00CC2C64">
              <w:t>Европейски</w:t>
            </w:r>
            <w:r w:rsidR="003F5BB8" w:rsidRPr="00CC2C64">
              <w:t xml:space="preserve"> парламент</w:t>
            </w:r>
          </w:p>
          <w:p w14:paraId="4F121BC5" w14:textId="14768A39" w:rsidR="00751A4A" w:rsidRPr="00CC2C64" w:rsidRDefault="005F1B17" w:rsidP="005F1B17">
            <w:pPr>
              <w:pStyle w:val="EPTerm"/>
              <w:rPr>
                <w:rStyle w:val="HideTWBExt"/>
                <w:noProof w:val="0"/>
                <w:vanish w:val="0"/>
                <w:color w:val="auto"/>
              </w:rPr>
            </w:pPr>
            <w:r w:rsidRPr="00CC2C64">
              <w:t>2024</w:t>
            </w:r>
            <w:r w:rsidR="000D07D2">
              <w:rPr>
                <w:lang w:val="en-GB"/>
              </w:rPr>
              <w:t> – </w:t>
            </w:r>
            <w:r w:rsidR="00817416" w:rsidRPr="00CC2C64">
              <w:t>202</w:t>
            </w:r>
            <w:r w:rsidRPr="00CC2C64">
              <w:t>9</w:t>
            </w:r>
          </w:p>
        </w:tc>
        <w:tc>
          <w:tcPr>
            <w:tcW w:w="2268" w:type="dxa"/>
            <w:shd w:val="clear" w:color="auto" w:fill="auto"/>
          </w:tcPr>
          <w:p w14:paraId="04C043B0" w14:textId="77777777" w:rsidR="00751A4A" w:rsidRPr="00CC2C64" w:rsidRDefault="00187494" w:rsidP="0010095E">
            <w:pPr>
              <w:pStyle w:val="EPLogo"/>
            </w:pPr>
            <w:r w:rsidRPr="00CC2C64">
              <w:rPr>
                <w:noProof/>
                <w:lang w:eastAsia="ja-JP"/>
              </w:rPr>
              <w:drawing>
                <wp:inline distT="0" distB="0" distL="0" distR="0" wp14:anchorId="27BD7604" wp14:editId="2A6543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B13D7A" w14:textId="77777777" w:rsidR="00D058B8" w:rsidRPr="00CC2C64" w:rsidRDefault="00D058B8" w:rsidP="004C5D52">
      <w:pPr>
        <w:pStyle w:val="LineTop"/>
      </w:pPr>
    </w:p>
    <w:p w14:paraId="5A905D37" w14:textId="77777777" w:rsidR="00680577" w:rsidRPr="00CC2C64" w:rsidRDefault="003F5BB8" w:rsidP="00680577">
      <w:pPr>
        <w:pStyle w:val="EPBodyTA1"/>
      </w:pPr>
      <w:r w:rsidRPr="00CC2C64">
        <w:t>ПРИЕТИ ТЕКСТОВЕ</w:t>
      </w:r>
    </w:p>
    <w:p w14:paraId="6F54F665" w14:textId="77777777" w:rsidR="00D058B8" w:rsidRPr="00CC2C64" w:rsidRDefault="00D058B8" w:rsidP="00D058B8">
      <w:pPr>
        <w:pStyle w:val="LineBottom"/>
      </w:pPr>
    </w:p>
    <w:p w14:paraId="297D84B7" w14:textId="39CD19FE" w:rsidR="003F5BB8" w:rsidRPr="00CC2C64" w:rsidRDefault="003F5BB8" w:rsidP="003F5BB8">
      <w:pPr>
        <w:pStyle w:val="ATHeading1"/>
      </w:pPr>
      <w:bookmarkStart w:id="0" w:name="TANumber"/>
      <w:r w:rsidRPr="00CC2C64">
        <w:t>P10_TA(2025)0</w:t>
      </w:r>
      <w:r w:rsidR="00CB6469" w:rsidRPr="00D82BAC">
        <w:rPr>
          <w:lang w:val="ru-RU"/>
        </w:rPr>
        <w:t>3</w:t>
      </w:r>
      <w:r w:rsidRPr="00CC2C64">
        <w:t>0</w:t>
      </w:r>
      <w:r w:rsidR="00CB6469" w:rsidRPr="00D82BAC">
        <w:rPr>
          <w:lang w:val="ru-RU"/>
        </w:rPr>
        <w:t>1</w:t>
      </w:r>
      <w:bookmarkEnd w:id="0"/>
    </w:p>
    <w:p w14:paraId="4F593C6B" w14:textId="77777777" w:rsidR="003F5BB8" w:rsidRPr="00CC2C64" w:rsidRDefault="003F5BB8" w:rsidP="003F5BB8">
      <w:pPr>
        <w:pStyle w:val="ATHeading2"/>
      </w:pPr>
      <w:bookmarkStart w:id="1" w:name="title"/>
      <w:r w:rsidRPr="00CC2C64">
        <w:t>Защита на потребителите в ЕС срещу практиките на някои платформи за електронна търговия: случаят на наподобяващи деца секс кукли, оръжия и други незаконни продукти и материали</w:t>
      </w:r>
      <w:bookmarkEnd w:id="1"/>
    </w:p>
    <w:p w14:paraId="2D6FA9D7" w14:textId="77777777" w:rsidR="003F5BB8" w:rsidRPr="00CC2C64" w:rsidRDefault="003F5BB8" w:rsidP="003F5BB8">
      <w:pPr>
        <w:rPr>
          <w:i/>
          <w:vanish/>
        </w:rPr>
      </w:pPr>
      <w:r w:rsidRPr="00CC2C64">
        <w:rPr>
          <w:i/>
        </w:rPr>
        <w:fldChar w:fldCharType="begin"/>
      </w:r>
      <w:r w:rsidRPr="00CC2C64">
        <w:rPr>
          <w:i/>
        </w:rPr>
        <w:instrText xml:space="preserve"> TC"(</w:instrText>
      </w:r>
      <w:bookmarkStart w:id="2" w:name="DocNumber"/>
      <w:r w:rsidRPr="00CC2C64">
        <w:rPr>
          <w:i/>
        </w:rPr>
        <w:instrText>B10-0500/2025</w:instrText>
      </w:r>
      <w:bookmarkEnd w:id="2"/>
      <w:r w:rsidRPr="00CC2C64">
        <w:rPr>
          <w:i/>
        </w:rPr>
        <w:instrText xml:space="preserve">)"\l3 \n&gt; \* MERGEFORMAT </w:instrText>
      </w:r>
      <w:r w:rsidRPr="00CC2C64">
        <w:rPr>
          <w:i/>
        </w:rPr>
        <w:fldChar w:fldCharType="end"/>
      </w:r>
    </w:p>
    <w:p w14:paraId="2FD37632" w14:textId="77777777" w:rsidR="003F5BB8" w:rsidRPr="00CC2C64" w:rsidRDefault="003F5BB8" w:rsidP="003F5BB8">
      <w:pPr>
        <w:rPr>
          <w:vanish/>
        </w:rPr>
      </w:pPr>
      <w:bookmarkStart w:id="3" w:name="PE"/>
      <w:r w:rsidRPr="00CC2C64">
        <w:rPr>
          <w:vanish/>
        </w:rPr>
        <w:t>PE778.971</w:t>
      </w:r>
      <w:bookmarkEnd w:id="3"/>
    </w:p>
    <w:p w14:paraId="2B7B77FA" w14:textId="70211990" w:rsidR="003F5BB8" w:rsidRPr="00D82BAC" w:rsidRDefault="003F5BB8" w:rsidP="000D07D2">
      <w:pPr>
        <w:pStyle w:val="ATHeading3"/>
        <w:rPr>
          <w:lang w:val="ru-RU"/>
        </w:rPr>
      </w:pPr>
      <w:bookmarkStart w:id="4" w:name="Sujet"/>
      <w:r w:rsidRPr="00CC2C64">
        <w:t xml:space="preserve">Резолюция на Европейския парламент от </w:t>
      </w:r>
      <w:r w:rsidR="000D07D2" w:rsidRPr="00D82BAC">
        <w:rPr>
          <w:lang w:val="ru-RU"/>
        </w:rPr>
        <w:t xml:space="preserve">26 </w:t>
      </w:r>
      <w:r w:rsidR="000D07D2">
        <w:t>ноември</w:t>
      </w:r>
      <w:r w:rsidRPr="00CC2C64">
        <w:t xml:space="preserve"> 2025 г. относно защитата на потребителите в ЕС срещу практиките на някои платформи за електронна търговия: случаят на наподобяващи деца секс кукли, оръжия и други незаконни продукти и материали</w:t>
      </w:r>
      <w:bookmarkEnd w:id="4"/>
      <w:r w:rsidRPr="00CC2C64">
        <w:t xml:space="preserve"> </w:t>
      </w:r>
      <w:bookmarkStart w:id="5" w:name="References"/>
      <w:r w:rsidRPr="00CC2C64">
        <w:t>(2025/2971(RSP))</w:t>
      </w:r>
      <w:bookmarkEnd w:id="5"/>
    </w:p>
    <w:p w14:paraId="7208ED19" w14:textId="77777777" w:rsidR="001A09F7" w:rsidRPr="00CC2C64" w:rsidRDefault="001A09F7" w:rsidP="001A09F7">
      <w:pPr>
        <w:pStyle w:val="EPComma"/>
      </w:pPr>
      <w:bookmarkStart w:id="6" w:name="TextBodyBegin"/>
      <w:bookmarkEnd w:id="6"/>
      <w:r w:rsidRPr="00CC2C64">
        <w:rPr>
          <w:i/>
        </w:rPr>
        <w:t>Европейският парламент</w:t>
      </w:r>
      <w:r w:rsidRPr="00CC2C64">
        <w:t>,</w:t>
      </w:r>
    </w:p>
    <w:p w14:paraId="5B7CDFB3" w14:textId="77777777" w:rsidR="001A09F7" w:rsidRPr="00CC2C64" w:rsidRDefault="001A09F7" w:rsidP="001A09F7">
      <w:pPr>
        <w:pStyle w:val="NormalHanging12a"/>
      </w:pPr>
      <w:r w:rsidRPr="00CC2C64">
        <w:t>–</w:t>
      </w:r>
      <w:r w:rsidRPr="00CC2C64">
        <w:tab/>
        <w:t xml:space="preserve">като взе предвид доклада от 31 март 2022 г. на групата от експерти относно реформата на митническия съюз на ЕС, озаглавен </w:t>
      </w:r>
      <w:proofErr w:type="spellStart"/>
      <w:r w:rsidRPr="00CC2C64">
        <w:t>Putting</w:t>
      </w:r>
      <w:proofErr w:type="spellEnd"/>
      <w:r w:rsidRPr="00CC2C64">
        <w:t xml:space="preserve"> </w:t>
      </w:r>
      <w:proofErr w:type="spellStart"/>
      <w:r w:rsidRPr="00CC2C64">
        <w:t>More</w:t>
      </w:r>
      <w:proofErr w:type="spellEnd"/>
      <w:r w:rsidRPr="00CC2C64">
        <w:t xml:space="preserve"> </w:t>
      </w:r>
      <w:proofErr w:type="spellStart"/>
      <w:r w:rsidRPr="00CC2C64">
        <w:t>Union</w:t>
      </w:r>
      <w:proofErr w:type="spellEnd"/>
      <w:r w:rsidRPr="00CC2C64">
        <w:t xml:space="preserve"> </w:t>
      </w:r>
      <w:proofErr w:type="spellStart"/>
      <w:r w:rsidRPr="00CC2C64">
        <w:t>in</w:t>
      </w:r>
      <w:proofErr w:type="spellEnd"/>
      <w:r w:rsidRPr="00CC2C64">
        <w:t xml:space="preserve"> </w:t>
      </w:r>
      <w:proofErr w:type="spellStart"/>
      <w:r w:rsidRPr="00CC2C64">
        <w:t>the</w:t>
      </w:r>
      <w:proofErr w:type="spellEnd"/>
      <w:r w:rsidRPr="00CC2C64">
        <w:t xml:space="preserve"> </w:t>
      </w:r>
      <w:proofErr w:type="spellStart"/>
      <w:r w:rsidRPr="00CC2C64">
        <w:t>European</w:t>
      </w:r>
      <w:proofErr w:type="spellEnd"/>
      <w:r w:rsidRPr="00CC2C64">
        <w:t xml:space="preserve"> </w:t>
      </w:r>
      <w:proofErr w:type="spellStart"/>
      <w:r w:rsidRPr="00CC2C64">
        <w:t>Customs</w:t>
      </w:r>
      <w:proofErr w:type="spellEnd"/>
      <w:r w:rsidRPr="00CC2C64">
        <w:t xml:space="preserve">: </w:t>
      </w:r>
      <w:proofErr w:type="spellStart"/>
      <w:r w:rsidRPr="00CC2C64">
        <w:t>Ten</w:t>
      </w:r>
      <w:proofErr w:type="spellEnd"/>
      <w:r w:rsidRPr="00CC2C64">
        <w:t xml:space="preserve"> </w:t>
      </w:r>
      <w:proofErr w:type="spellStart"/>
      <w:r w:rsidRPr="00CC2C64">
        <w:t>proposals</w:t>
      </w:r>
      <w:proofErr w:type="spellEnd"/>
      <w:r w:rsidRPr="00CC2C64">
        <w:t xml:space="preserve"> </w:t>
      </w:r>
      <w:proofErr w:type="spellStart"/>
      <w:r w:rsidRPr="00CC2C64">
        <w:t>to</w:t>
      </w:r>
      <w:proofErr w:type="spellEnd"/>
      <w:r w:rsidRPr="00CC2C64">
        <w:t xml:space="preserve"> </w:t>
      </w:r>
      <w:proofErr w:type="spellStart"/>
      <w:r w:rsidRPr="00CC2C64">
        <w:t>make</w:t>
      </w:r>
      <w:proofErr w:type="spellEnd"/>
      <w:r w:rsidRPr="00CC2C64">
        <w:t xml:space="preserve"> </w:t>
      </w:r>
      <w:proofErr w:type="spellStart"/>
      <w:r w:rsidRPr="00CC2C64">
        <w:t>the</w:t>
      </w:r>
      <w:proofErr w:type="spellEnd"/>
      <w:r w:rsidRPr="00CC2C64">
        <w:t xml:space="preserve"> EU </w:t>
      </w:r>
      <w:proofErr w:type="spellStart"/>
      <w:r w:rsidRPr="00CC2C64">
        <w:t>Customs</w:t>
      </w:r>
      <w:proofErr w:type="spellEnd"/>
      <w:r w:rsidRPr="00CC2C64">
        <w:t xml:space="preserve"> </w:t>
      </w:r>
      <w:proofErr w:type="spellStart"/>
      <w:r w:rsidRPr="00CC2C64">
        <w:t>Union</w:t>
      </w:r>
      <w:proofErr w:type="spellEnd"/>
      <w:r w:rsidRPr="00CC2C64">
        <w:t xml:space="preserve"> </w:t>
      </w:r>
      <w:proofErr w:type="spellStart"/>
      <w:r w:rsidRPr="00CC2C64">
        <w:t>fit</w:t>
      </w:r>
      <w:proofErr w:type="spellEnd"/>
      <w:r w:rsidRPr="00CC2C64">
        <w:t xml:space="preserve"> </w:t>
      </w:r>
      <w:proofErr w:type="spellStart"/>
      <w:r w:rsidRPr="00CC2C64">
        <w:t>for</w:t>
      </w:r>
      <w:proofErr w:type="spellEnd"/>
      <w:r w:rsidRPr="00CC2C64">
        <w:t xml:space="preserve"> a </w:t>
      </w:r>
      <w:proofErr w:type="spellStart"/>
      <w:r w:rsidRPr="00CC2C64">
        <w:t>Geopolitical</w:t>
      </w:r>
      <w:proofErr w:type="spellEnd"/>
      <w:r w:rsidRPr="00CC2C64">
        <w:t xml:space="preserve"> </w:t>
      </w:r>
      <w:proofErr w:type="spellStart"/>
      <w:r w:rsidRPr="00CC2C64">
        <w:t>Europe</w:t>
      </w:r>
      <w:proofErr w:type="spellEnd"/>
      <w:r w:rsidRPr="00CC2C64">
        <w:t xml:space="preserve"> („Влагане на повече от принципите на Съюза в европейските митници: десет предложения за адаптиране на митническия съюз на ЕС към геополитическа Европа“),</w:t>
      </w:r>
    </w:p>
    <w:p w14:paraId="609ECD89" w14:textId="77777777" w:rsidR="001A09F7" w:rsidRPr="00CC2C64" w:rsidRDefault="001A09F7" w:rsidP="001A09F7">
      <w:pPr>
        <w:pStyle w:val="NormalHanging12a"/>
      </w:pPr>
      <w:r w:rsidRPr="00CC2C64">
        <w:t>–</w:t>
      </w:r>
      <w:r w:rsidRPr="00CC2C64">
        <w:tab/>
        <w:t>като взе предвид своята позиция от 13 март 2024 г. относно предложението за регламент на Европейския парламент и на Съвета за създаване на Митнически кодекс на Съюза и на Митнически орган на Европейския съюз и за отмяна на Регламент (ЕС) № 952/2013</w:t>
      </w:r>
      <w:r w:rsidRPr="00CC2C64">
        <w:rPr>
          <w:rStyle w:val="FootnoteReference"/>
        </w:rPr>
        <w:footnoteReference w:id="1"/>
      </w:r>
      <w:r w:rsidRPr="00CC2C64">
        <w:t>,</w:t>
      </w:r>
    </w:p>
    <w:p w14:paraId="473FF61B" w14:textId="77777777" w:rsidR="001A09F7" w:rsidRPr="00CC2C64" w:rsidRDefault="001A09F7" w:rsidP="001A09F7">
      <w:pPr>
        <w:pStyle w:val="NormalHanging12a"/>
      </w:pPr>
      <w:r w:rsidRPr="00CC2C64">
        <w:t>–</w:t>
      </w:r>
      <w:r w:rsidRPr="00CC2C64">
        <w:tab/>
        <w:t>като взе предвид съобщението на Комисията от 5 февруари 2025 г., озаглавено „Всеобхватен инструментариум на ЕС за безопасна и устойчива електронна търговия“ (COM(2025)0037),</w:t>
      </w:r>
    </w:p>
    <w:p w14:paraId="7BD154E1" w14:textId="77777777" w:rsidR="001A09F7" w:rsidRPr="00CC2C64" w:rsidRDefault="001A09F7" w:rsidP="001A09F7">
      <w:pPr>
        <w:pStyle w:val="NormalHanging12a"/>
      </w:pPr>
      <w:r w:rsidRPr="00CC2C64">
        <w:t>–</w:t>
      </w:r>
      <w:r w:rsidRPr="00CC2C64">
        <w:tab/>
        <w:t>като взе предвид Регламент (ЕС) 2024/3015 на Европейския парламент и на Съвета от 27 ноември 2024 г. за забрана на пазара на Съюза на продукти, произведени с принудителен труд, и за изменение на Директива (ЕС) 2019/1937</w:t>
      </w:r>
      <w:r w:rsidRPr="00CC2C64">
        <w:rPr>
          <w:rStyle w:val="FootnoteReference"/>
        </w:rPr>
        <w:footnoteReference w:id="2"/>
      </w:r>
      <w:r w:rsidRPr="00CC2C64">
        <w:t>,</w:t>
      </w:r>
    </w:p>
    <w:p w14:paraId="28B22B3C" w14:textId="77777777" w:rsidR="001A09F7" w:rsidRPr="00CC2C64" w:rsidRDefault="001A09F7" w:rsidP="001A09F7">
      <w:pPr>
        <w:pStyle w:val="NormalHanging12a"/>
      </w:pPr>
      <w:r w:rsidRPr="00CC2C64">
        <w:t>–</w:t>
      </w:r>
      <w:r w:rsidRPr="00CC2C64">
        <w:tab/>
        <w:t xml:space="preserve">като взе предвид 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w:t>
      </w:r>
      <w:r w:rsidRPr="00CC2C64">
        <w:lastRenderedPageBreak/>
        <w:t>2023/2859</w:t>
      </w:r>
      <w:r w:rsidRPr="00CC2C64">
        <w:rPr>
          <w:rStyle w:val="FootnoteReference"/>
        </w:rPr>
        <w:footnoteReference w:id="3"/>
      </w:r>
      <w:r w:rsidRPr="00CC2C64">
        <w:t>,</w:t>
      </w:r>
    </w:p>
    <w:p w14:paraId="56315B10" w14:textId="77777777" w:rsidR="001A09F7" w:rsidRPr="00CC2C64" w:rsidRDefault="001A09F7" w:rsidP="001A09F7">
      <w:pPr>
        <w:pStyle w:val="NormalHanging12a"/>
      </w:pPr>
      <w:r w:rsidRPr="00CC2C64">
        <w:t>–</w:t>
      </w:r>
      <w:r w:rsidRPr="00CC2C64">
        <w:tab/>
        <w:t>като взе предвид доклада на Енрико Лета от април 2024 г., озаглавен „Много повече от пазар – Бързина, сигурност, солидарност – Създаване на възможности на единния пазар за постигане на устойчиво бъдеще и просперитет за всички граждани на ЕС“</w:t>
      </w:r>
      <w:r w:rsidRPr="00CC2C64">
        <w:rPr>
          <w:rStyle w:val="FootnoteReference"/>
        </w:rPr>
        <w:footnoteReference w:id="4"/>
      </w:r>
      <w:r w:rsidRPr="00CC2C64">
        <w:t>,</w:t>
      </w:r>
    </w:p>
    <w:p w14:paraId="3E7F4C7B" w14:textId="77777777" w:rsidR="001A09F7" w:rsidRPr="00CC2C64" w:rsidRDefault="001A09F7" w:rsidP="001A09F7">
      <w:pPr>
        <w:pStyle w:val="NormalHanging12a"/>
      </w:pPr>
      <w:r w:rsidRPr="00CC2C64">
        <w:t>–</w:t>
      </w:r>
      <w:r w:rsidRPr="00CC2C64">
        <w:tab/>
        <w:t>като взе предвид Регламент (ЕС) 2022/2065 относно единния пазар на цифрови услуги и за изменение на Директива 2000/31/ЕО</w:t>
      </w:r>
      <w:r w:rsidRPr="00CC2C64">
        <w:rPr>
          <w:rStyle w:val="FootnoteReference"/>
        </w:rPr>
        <w:footnoteReference w:id="5"/>
      </w:r>
      <w:r w:rsidRPr="00CC2C64">
        <w:t xml:space="preserve"> (Акт за цифровите услуги),</w:t>
      </w:r>
    </w:p>
    <w:p w14:paraId="34A5D217" w14:textId="77777777" w:rsidR="001A09F7" w:rsidRPr="00CC2C64" w:rsidRDefault="001A09F7" w:rsidP="001A09F7">
      <w:pPr>
        <w:pStyle w:val="NormalHanging12a"/>
        <w:rPr>
          <w:szCs w:val="24"/>
        </w:rPr>
      </w:pPr>
      <w:r w:rsidRPr="00CC2C64">
        <w:t>–</w:t>
      </w:r>
      <w:r w:rsidRPr="00CC2C64">
        <w:tab/>
        <w:t>като взе предвид Регламент (EС)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w:t>
      </w:r>
      <w:r w:rsidRPr="00CC2C64">
        <w:rPr>
          <w:rStyle w:val="FootnoteReference"/>
          <w:szCs w:val="24"/>
        </w:rPr>
        <w:footnoteReference w:id="6"/>
      </w:r>
      <w:r w:rsidRPr="00CC2C64">
        <w:t xml:space="preserve"> (Акт за цифровите пазари),</w:t>
      </w:r>
    </w:p>
    <w:p w14:paraId="58799A2A" w14:textId="77777777" w:rsidR="001A09F7" w:rsidRPr="00CC2C64" w:rsidRDefault="001A09F7" w:rsidP="001A09F7">
      <w:pPr>
        <w:pStyle w:val="NormalHanging12a"/>
      </w:pPr>
      <w:r w:rsidRPr="00CC2C64">
        <w:t>–</w:t>
      </w:r>
      <w:r w:rsidRPr="00CC2C64">
        <w:tab/>
        <w:t>като взе предвид Регламент (ЕС) 2023/988 на Европейския парламент и на Съвета от 10 май 2023 г. относно общата безопасност на продуктите, за изменение на Регламент (ЕС) № 1025/2012 на Европейския парламент и на Съвета и на Директива (ЕС) 2020/1828 на Европейския парламент и на Съвета, и за отмяна на Директива 2001/95/ЕО на Европейския парламент и на Съвета и на Директива 87/357/ЕИО на Съвета</w:t>
      </w:r>
      <w:r w:rsidRPr="00CC2C64">
        <w:rPr>
          <w:rStyle w:val="FootnoteReference"/>
        </w:rPr>
        <w:footnoteReference w:id="7"/>
      </w:r>
      <w:r w:rsidRPr="00CC2C64">
        <w:t xml:space="preserve"> (Регламент относно общата безопасност на продуктите),</w:t>
      </w:r>
    </w:p>
    <w:p w14:paraId="4C1C26FB" w14:textId="77777777" w:rsidR="001A09F7" w:rsidRPr="00CC2C64" w:rsidRDefault="001A09F7" w:rsidP="001A09F7">
      <w:pPr>
        <w:pStyle w:val="NormalHanging12a"/>
      </w:pPr>
      <w:r w:rsidRPr="00CC2C64">
        <w:t>–</w:t>
      </w:r>
      <w:r w:rsidRPr="00CC2C64">
        <w:tab/>
        <w:t>като взе предвид 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w:t>
      </w:r>
      <w:r w:rsidRPr="00CC2C64">
        <w:rPr>
          <w:rStyle w:val="FootnoteReference"/>
        </w:rPr>
        <w:footnoteReference w:id="8"/>
      </w:r>
      <w:r w:rsidRPr="00CC2C64">
        <w:t xml:space="preserve"> (Регламент относно надзора на пазара),</w:t>
      </w:r>
    </w:p>
    <w:p w14:paraId="6F105056" w14:textId="77777777" w:rsidR="001A09F7" w:rsidRPr="00CC2C64" w:rsidRDefault="001A09F7" w:rsidP="001A09F7">
      <w:pPr>
        <w:pStyle w:val="NormalHanging12a"/>
      </w:pPr>
      <w:r w:rsidRPr="00CC2C64">
        <w:t>–</w:t>
      </w:r>
      <w:r w:rsidRPr="00CC2C64">
        <w:tab/>
        <w:t>Директива (ЕС) 2024/2853 на Европейския парламент и на Съвета от 23 октомври 2024 г. относно отговорността за вреди от дефекти на продукти и за отмяна на Директива 85/374/ЕИО на Съвета</w:t>
      </w:r>
      <w:r w:rsidRPr="00CC2C64">
        <w:rPr>
          <w:rStyle w:val="FootnoteReference"/>
        </w:rPr>
        <w:footnoteReference w:id="9"/>
      </w:r>
      <w:r w:rsidRPr="00CC2C64">
        <w:t>,</w:t>
      </w:r>
    </w:p>
    <w:p w14:paraId="5FE6D552" w14:textId="77777777" w:rsidR="001A09F7" w:rsidRPr="00CC2C64" w:rsidRDefault="001A09F7" w:rsidP="001A09F7">
      <w:pPr>
        <w:pStyle w:val="NormalHanging12a"/>
      </w:pPr>
      <w:r w:rsidRPr="00CC2C64">
        <w:t>–</w:t>
      </w:r>
      <w:r w:rsidRPr="00CC2C64">
        <w:tab/>
        <w:t>като взе предвид член 136, параграф 2 от своя Правилник за дейността,</w:t>
      </w:r>
    </w:p>
    <w:p w14:paraId="3592A227" w14:textId="77777777" w:rsidR="001A09F7" w:rsidRPr="00CC2C64" w:rsidRDefault="001A09F7" w:rsidP="001A09F7">
      <w:pPr>
        <w:pStyle w:val="NormalHanging12a"/>
      </w:pPr>
      <w:r w:rsidRPr="00CC2C64">
        <w:t>–</w:t>
      </w:r>
      <w:r w:rsidRPr="00CC2C64">
        <w:tab/>
        <w:t>като взе предвид становището на комисията по международна търговия,</w:t>
      </w:r>
    </w:p>
    <w:p w14:paraId="55637334" w14:textId="77777777" w:rsidR="001A09F7" w:rsidRPr="00CC2C64" w:rsidRDefault="001A09F7" w:rsidP="001A09F7">
      <w:pPr>
        <w:pStyle w:val="NormalHanging12a"/>
      </w:pPr>
      <w:r w:rsidRPr="00CC2C64">
        <w:t>–</w:t>
      </w:r>
      <w:r w:rsidRPr="00CC2C64">
        <w:tab/>
        <w:t>като взе предвид доклада на комисията по вътрешния пазар и защита на потребителите (A10-0133/2025),</w:t>
      </w:r>
    </w:p>
    <w:p w14:paraId="63478534" w14:textId="77777777" w:rsidR="001A09F7" w:rsidRPr="00CC2C64" w:rsidRDefault="001A09F7" w:rsidP="001A09F7">
      <w:pPr>
        <w:pStyle w:val="NormalHanging12a"/>
      </w:pPr>
      <w:r w:rsidRPr="00CC2C64">
        <w:t>А.</w:t>
      </w:r>
      <w:r w:rsidRPr="00CC2C64">
        <w:tab/>
        <w:t xml:space="preserve">като има предвид, че на 31 октомври 2025 г. във Франция избухна скандал, който </w:t>
      </w:r>
      <w:r w:rsidRPr="00CC2C64">
        <w:lastRenderedPageBreak/>
        <w:t xml:space="preserve">бързо се разпространи в цяла Европа, относно продажбата на наподобяващи деца секс кукли и други незаконни продукти, включително оръжия, на китайската платформа за електронна търговия </w:t>
      </w:r>
      <w:proofErr w:type="spellStart"/>
      <w:r w:rsidRPr="00CC2C64">
        <w:t>Shein</w:t>
      </w:r>
      <w:proofErr w:type="spellEnd"/>
      <w:r w:rsidRPr="00CC2C64">
        <w:t xml:space="preserve">; като има предвид, че френският орган за защита на потребителите подаде сигнал до прокуратурата в Париж за „продажба на сексуални предмети с вид на деца“, вследствие на което на 3 ноември 2025 г. прокуратурата започна разследване срещу </w:t>
      </w:r>
      <w:proofErr w:type="spellStart"/>
      <w:r w:rsidRPr="00CC2C64">
        <w:t>Shein</w:t>
      </w:r>
      <w:proofErr w:type="spellEnd"/>
      <w:r w:rsidRPr="00CC2C64">
        <w:t xml:space="preserve"> и три други онлайн места за търговия извън ЕС, а именно </w:t>
      </w:r>
      <w:proofErr w:type="spellStart"/>
      <w:r w:rsidRPr="00CC2C64">
        <w:t>Temu</w:t>
      </w:r>
      <w:proofErr w:type="spellEnd"/>
      <w:r w:rsidRPr="00CC2C64">
        <w:t xml:space="preserve">, </w:t>
      </w:r>
      <w:proofErr w:type="spellStart"/>
      <w:r w:rsidRPr="00CC2C64">
        <w:t>AliExpress</w:t>
      </w:r>
      <w:proofErr w:type="spellEnd"/>
      <w:r w:rsidRPr="00CC2C64">
        <w:t xml:space="preserve"> и </w:t>
      </w:r>
      <w:proofErr w:type="spellStart"/>
      <w:r w:rsidRPr="00CC2C64">
        <w:t>Wish</w:t>
      </w:r>
      <w:proofErr w:type="spellEnd"/>
      <w:r w:rsidRPr="00CC2C64">
        <w:t>;</w:t>
      </w:r>
    </w:p>
    <w:p w14:paraId="49CE0AA2" w14:textId="7900940D" w:rsidR="001A09F7" w:rsidRPr="00D82BAC" w:rsidRDefault="001A09F7" w:rsidP="001A09F7">
      <w:pPr>
        <w:pStyle w:val="NormalHanging12a"/>
        <w:rPr>
          <w:lang w:val="ru-RU"/>
        </w:rPr>
      </w:pPr>
      <w:r w:rsidRPr="00CC2C64">
        <w:t>Б.</w:t>
      </w:r>
      <w:r w:rsidRPr="00CC2C64">
        <w:tab/>
        <w:t xml:space="preserve">като има предвид, че след първоначалната проверка на френските </w:t>
      </w:r>
      <w:r w:rsidR="00427DA0">
        <w:t>власти</w:t>
      </w:r>
      <w:r w:rsidRPr="00CC2C64">
        <w:t xml:space="preserve"> </w:t>
      </w:r>
      <w:proofErr w:type="spellStart"/>
      <w:r w:rsidRPr="00CC2C64">
        <w:t>Shein</w:t>
      </w:r>
      <w:proofErr w:type="spellEnd"/>
      <w:r w:rsidRPr="00CC2C64">
        <w:t xml:space="preserve"> заяви, че е изтеглила от продажба всички свързани реклами и визуални материали и че временно е заличила от индекса категорията „продукти за възрастни“; като има предвид, че продължават да съществуват сериозни съмнения относно способността или готовността на </w:t>
      </w:r>
      <w:proofErr w:type="spellStart"/>
      <w:r w:rsidRPr="00CC2C64">
        <w:t>Shein</w:t>
      </w:r>
      <w:proofErr w:type="spellEnd"/>
      <w:r w:rsidRPr="00CC2C64">
        <w:t xml:space="preserve"> да предприеме ефективни и решителни действия срещу незаконното съдържание и да гарантира, че на платформата се предлагат само продукти, отговарящи на изискванията; като има предвид, че тези съмнения бяха подкрепени от доказателства, че въпросните продукти са продължили да бъдат достъпни в други държави членки, включително чрез VPN достъп, два дни след предполагаемото спиране на продажбата им във Франция;</w:t>
      </w:r>
    </w:p>
    <w:p w14:paraId="158EB2FA" w14:textId="263CA219" w:rsidR="00CB6469" w:rsidRPr="00D82BAC" w:rsidRDefault="00CB6469" w:rsidP="001A09F7">
      <w:pPr>
        <w:pStyle w:val="NormalHanging12a"/>
        <w:rPr>
          <w:lang w:val="ru-RU"/>
        </w:rPr>
      </w:pPr>
      <w:bookmarkStart w:id="7" w:name="_Hlk215063172"/>
      <w:r>
        <w:t>В.</w:t>
      </w:r>
      <w:r>
        <w:tab/>
      </w:r>
      <w:r w:rsidRPr="00CB6469">
        <w:t xml:space="preserve">като има предвид, че на 26 ноември 2025 г. френските </w:t>
      </w:r>
      <w:r w:rsidR="00EB5698">
        <w:t>власти</w:t>
      </w:r>
      <w:r w:rsidRPr="00CB6469">
        <w:t xml:space="preserve"> обявиха, че ще подадат жалба срещу </w:t>
      </w:r>
      <w:proofErr w:type="spellStart"/>
      <w:r w:rsidRPr="00CB6469">
        <w:t>AliExpress</w:t>
      </w:r>
      <w:proofErr w:type="spellEnd"/>
      <w:r w:rsidRPr="00CB6469">
        <w:t xml:space="preserve"> и </w:t>
      </w:r>
      <w:proofErr w:type="spellStart"/>
      <w:r w:rsidRPr="00CB6469">
        <w:t>Joom</w:t>
      </w:r>
      <w:proofErr w:type="spellEnd"/>
      <w:r w:rsidRPr="00CB6469">
        <w:t>, които също участват в продажбата на кукли с детска порнография, което илюстрира мащаба и сериозността на това явление</w:t>
      </w:r>
      <w:r w:rsidRPr="00D82BAC">
        <w:rPr>
          <w:lang w:val="ru-RU"/>
        </w:rPr>
        <w:t>;</w:t>
      </w:r>
      <w:bookmarkEnd w:id="7"/>
    </w:p>
    <w:p w14:paraId="007AD487" w14:textId="7F2357CB" w:rsidR="001A09F7" w:rsidRPr="00CC2C64" w:rsidRDefault="00CB6469" w:rsidP="001A09F7">
      <w:pPr>
        <w:pStyle w:val="NormalHanging12a"/>
      </w:pPr>
      <w:r>
        <w:t>Г</w:t>
      </w:r>
      <w:r w:rsidR="001A09F7" w:rsidRPr="00CC2C64">
        <w:t>.</w:t>
      </w:r>
      <w:r w:rsidR="001A09F7" w:rsidRPr="00CC2C64">
        <w:tab/>
        <w:t xml:space="preserve">като има предвид, че с оглед на тези разкрития френското правителство публично отправи предупреждение, че при повторно нарушение ще поиска да бъде блокиран достъпът до платформата </w:t>
      </w:r>
      <w:proofErr w:type="spellStart"/>
      <w:r w:rsidR="001A09F7" w:rsidRPr="00CC2C64">
        <w:t>Shein</w:t>
      </w:r>
      <w:proofErr w:type="spellEnd"/>
      <w:r w:rsidR="001A09F7" w:rsidRPr="00CC2C64">
        <w:t xml:space="preserve"> на френския пазар; като има предвид, че в отговор на това </w:t>
      </w:r>
      <w:proofErr w:type="spellStart"/>
      <w:r w:rsidR="001A09F7" w:rsidRPr="00CC2C64">
        <w:t>Shein</w:t>
      </w:r>
      <w:proofErr w:type="spellEnd"/>
      <w:r w:rsidR="001A09F7" w:rsidRPr="00CC2C64">
        <w:t xml:space="preserve"> изглежда е премахнала от глобалните си платформи всички наподобяващи деца секс кукли и обяви глобална забрана на всички секс кукли; също така платформата заличи въпросните изделия от индекса и започна вътрешно разследване, за да установи как тези продукти са се появили на нейните онлайн места за търговия;</w:t>
      </w:r>
    </w:p>
    <w:p w14:paraId="0337F332" w14:textId="09EC083A" w:rsidR="001A09F7" w:rsidRPr="00CC2C64" w:rsidRDefault="00CB6469" w:rsidP="001A09F7">
      <w:pPr>
        <w:pStyle w:val="NormalHanging12a"/>
      </w:pPr>
      <w:r>
        <w:t>Д</w:t>
      </w:r>
      <w:r w:rsidR="001A09F7" w:rsidRPr="00CC2C64">
        <w:t>.</w:t>
      </w:r>
      <w:r w:rsidR="001A09F7" w:rsidRPr="00CC2C64">
        <w:tab/>
        <w:t xml:space="preserve">като има предвид, че бурната обществена реакция във Франция е свързана с други предишни скандали, в които е замесена </w:t>
      </w:r>
      <w:proofErr w:type="spellStart"/>
      <w:r w:rsidR="001A09F7" w:rsidRPr="00CC2C64">
        <w:t>Shein</w:t>
      </w:r>
      <w:proofErr w:type="spellEnd"/>
      <w:r w:rsidR="001A09F7" w:rsidRPr="00CC2C64">
        <w:t xml:space="preserve">, включително констатациите от юли 2025 г., че компанията използва подвеждащи практики за отстъпки и прави необосновани твърдения за </w:t>
      </w:r>
      <w:proofErr w:type="spellStart"/>
      <w:r w:rsidR="001A09F7" w:rsidRPr="00CC2C64">
        <w:t>екологосъобразност</w:t>
      </w:r>
      <w:proofErr w:type="spellEnd"/>
      <w:r w:rsidR="001A09F7" w:rsidRPr="00CC2C64">
        <w:t>; като има предвид, че тези нелоялни практики дават представа за бизнес моделите на онлайн платформите и повдигат въпроси относно моделите на потребление;</w:t>
      </w:r>
    </w:p>
    <w:p w14:paraId="147988D4" w14:textId="3F0447C0" w:rsidR="001A09F7" w:rsidRPr="00CC2C64" w:rsidRDefault="00CB6469" w:rsidP="001A09F7">
      <w:pPr>
        <w:pStyle w:val="NormalHanging12a"/>
      </w:pPr>
      <w:r>
        <w:t>Е</w:t>
      </w:r>
      <w:r w:rsidR="001A09F7" w:rsidRPr="00CC2C64">
        <w:t>.</w:t>
      </w:r>
      <w:r w:rsidR="001A09F7" w:rsidRPr="00CC2C64">
        <w:tab/>
        <w:t>като има предвид, че случаят във Франция отново привлече значително внимание към по-широкия проблем с опасните и незаконни продукти, които се разпространяват чрез онлайн места за търговия в целия ЕС, и предизвика по-широк дебат относно моделите на потребление, нелоялната конкуренция от страна на онлайн платформи извън ЕС, регулирането на онлайн места за търговия и правата на потребителите;</w:t>
      </w:r>
    </w:p>
    <w:p w14:paraId="1582ECD1" w14:textId="77777777" w:rsidR="001A09F7" w:rsidRPr="00CC2C64" w:rsidRDefault="001A09F7" w:rsidP="001A09F7">
      <w:pPr>
        <w:pStyle w:val="NormalHanging12a"/>
        <w:rPr>
          <w:b/>
          <w:i/>
          <w:iCs/>
        </w:rPr>
      </w:pPr>
      <w:r w:rsidRPr="00CC2C64">
        <w:rPr>
          <w:b/>
          <w:i/>
        </w:rPr>
        <w:t>Встъпителни бележки</w:t>
      </w:r>
    </w:p>
    <w:p w14:paraId="5AC3D72B" w14:textId="77777777" w:rsidR="001A09F7" w:rsidRPr="00CC2C64" w:rsidRDefault="001A09F7" w:rsidP="001A09F7">
      <w:pPr>
        <w:pStyle w:val="NormalHanging12a"/>
      </w:pPr>
      <w:r w:rsidRPr="00CC2C64">
        <w:t>1.</w:t>
      </w:r>
      <w:r w:rsidRPr="00CC2C64">
        <w:tab/>
        <w:t xml:space="preserve">осъжда неотдавнашните събития във Франция, що се отнася до наличието на наподобяващи деца </w:t>
      </w:r>
      <w:proofErr w:type="spellStart"/>
      <w:r w:rsidRPr="00CC2C64">
        <w:t>сексуализирани</w:t>
      </w:r>
      <w:proofErr w:type="spellEnd"/>
      <w:r w:rsidRPr="00CC2C64">
        <w:t xml:space="preserve"> предмети и други незаконни или опасни </w:t>
      </w:r>
      <w:r w:rsidRPr="00CC2C64">
        <w:lastRenderedPageBreak/>
        <w:t xml:space="preserve">стоки на платформата </w:t>
      </w:r>
      <w:proofErr w:type="spellStart"/>
      <w:r w:rsidRPr="00CC2C64">
        <w:t>Shein</w:t>
      </w:r>
      <w:proofErr w:type="spellEnd"/>
      <w:r w:rsidRPr="00CC2C64">
        <w:t>, например оръжия, достъпни в целия ЕС; подчертава, че тези практики представляват тежко нарушение на правото на ЕС и пряка заплаха за безопасността на потребителите и защитата на малолетните и непълнолетните лица;</w:t>
      </w:r>
    </w:p>
    <w:p w14:paraId="26226886" w14:textId="77777777" w:rsidR="001A09F7" w:rsidRPr="00CC2C64" w:rsidRDefault="001A09F7" w:rsidP="001A09F7">
      <w:pPr>
        <w:pStyle w:val="NormalHanging12a"/>
      </w:pPr>
      <w:r w:rsidRPr="00CC2C64">
        <w:t>2.</w:t>
      </w:r>
      <w:r w:rsidRPr="00CC2C64">
        <w:tab/>
        <w:t xml:space="preserve">подчертава, че платформата </w:t>
      </w:r>
      <w:proofErr w:type="spellStart"/>
      <w:r w:rsidRPr="00CC2C64">
        <w:t>Shein</w:t>
      </w:r>
      <w:proofErr w:type="spellEnd"/>
      <w:r w:rsidRPr="00CC2C64">
        <w:t xml:space="preserve"> не е изолиран случай, а свидетелства за системна тенденция на неадекватен надзор и недостатъчни превантивни механизми; изтъква неотдавнашните констатации на организации на потребителите, според които значителна част от продуктите, предлагани от големи платформи за електронна търговия извън ЕС, не отговарят на изискванията за безопасност на ЕС, като значителна част от тях представляват сериозен риск за потребителите;</w:t>
      </w:r>
    </w:p>
    <w:p w14:paraId="11109B06" w14:textId="77777777" w:rsidR="001A09F7" w:rsidRPr="00CC2C64" w:rsidRDefault="001A09F7" w:rsidP="001A09F7">
      <w:pPr>
        <w:pStyle w:val="NormalHanging12a"/>
      </w:pPr>
      <w:r w:rsidRPr="00CC2C64">
        <w:t>3.</w:t>
      </w:r>
      <w:r w:rsidRPr="00CC2C64">
        <w:tab/>
        <w:t xml:space="preserve">отбелязва текущите разследвания, започнати от Комисията във връзка с практиките на много големите онлайн платформи, включително неотдавнашните искания за информация, отправени към </w:t>
      </w:r>
      <w:proofErr w:type="spellStart"/>
      <w:r w:rsidRPr="00CC2C64">
        <w:t>Shein</w:t>
      </w:r>
      <w:proofErr w:type="spellEnd"/>
      <w:r w:rsidRPr="00CC2C64">
        <w:t>, но призовава Комисията да премине от диалог към решителни мерки за прилагане на правилата;</w:t>
      </w:r>
    </w:p>
    <w:p w14:paraId="4517ED73" w14:textId="77777777" w:rsidR="001A09F7" w:rsidRPr="00CC2C64" w:rsidRDefault="001A09F7" w:rsidP="001A09F7">
      <w:pPr>
        <w:pStyle w:val="NormalHanging12a"/>
      </w:pPr>
      <w:r w:rsidRPr="00CC2C64">
        <w:t>4.</w:t>
      </w:r>
      <w:r w:rsidRPr="00CC2C64">
        <w:tab/>
        <w:t>подчертава, че повечето опасни и незаконни продукти се доставят в ЕС в големи количества като единични и често малки пратки – продукти, които са били продадени на потребителите в ЕС чрез онлайн платформи от трети държави, по-специално от Китай; предупреждава, че експоненциалното увеличение на малките пратки, съчетано с ограничения капацитет за контрол, води до недостатъчно задържане на опасните товари; подчертава, че това положение застрашава потребителите и нарушава конкуренцията;</w:t>
      </w:r>
    </w:p>
    <w:p w14:paraId="41FD3E6D" w14:textId="77777777" w:rsidR="001A09F7" w:rsidRPr="00CC2C64" w:rsidRDefault="001A09F7" w:rsidP="001A09F7">
      <w:pPr>
        <w:pStyle w:val="NormalHanging12a"/>
      </w:pPr>
      <w:r w:rsidRPr="00CC2C64">
        <w:t>5.</w:t>
      </w:r>
      <w:r w:rsidRPr="00CC2C64">
        <w:tab/>
        <w:t xml:space="preserve">изразява дълбока загриженост, че документираният нарастващ дял на неспазване на изискванията от страна на </w:t>
      </w:r>
      <w:proofErr w:type="spellStart"/>
      <w:r w:rsidRPr="00CC2C64">
        <w:t>Shein</w:t>
      </w:r>
      <w:proofErr w:type="spellEnd"/>
      <w:r w:rsidRPr="00CC2C64">
        <w:t xml:space="preserve"> и други онлайн платформи извън ЕС се утежнява от бизнес модела, основан на бързина, максимизиране на печалбата и прекомерно потребление, за сметка на правата на човека, опазването на околната среда, безопасността на потребителите и основните ценности; изразява съжаление, че зад изкуствено ниските цени се крият тревожни явления като нископлатен труд, незаконна имитация на дизайнерски стоки, пускане на пазара на опасни и неотговарящи на изискванията продукти и натрупване на текстилни отпадъци;</w:t>
      </w:r>
    </w:p>
    <w:p w14:paraId="2B50B9C9" w14:textId="77777777" w:rsidR="001A09F7" w:rsidRPr="00CC2C64" w:rsidRDefault="001A09F7" w:rsidP="001A09F7">
      <w:pPr>
        <w:pStyle w:val="NormalHanging12a"/>
        <w:rPr>
          <w:b/>
          <w:i/>
          <w:iCs/>
        </w:rPr>
      </w:pPr>
      <w:r w:rsidRPr="00CC2C64">
        <w:rPr>
          <w:b/>
          <w:i/>
        </w:rPr>
        <w:t>Трудности при спазване на изискванията</w:t>
      </w:r>
    </w:p>
    <w:p w14:paraId="52F413DC" w14:textId="77777777" w:rsidR="001A09F7" w:rsidRPr="00CC2C64" w:rsidRDefault="001A09F7" w:rsidP="001A09F7">
      <w:pPr>
        <w:pStyle w:val="NormalHanging12a"/>
      </w:pPr>
      <w:r w:rsidRPr="00CC2C64">
        <w:t>6.</w:t>
      </w:r>
      <w:r w:rsidRPr="00CC2C64">
        <w:tab/>
        <w:t>отбелязва, че ЕС е създал стабилна рамка за съответствие, а именно Актът за цифровите услуги, Актът за цифровите пазари, Регламента относно надзора на пазара, Регламента относно общата безопасност на продуктите, правилата за защита на потребителите и различни законодателни актове в областта на продуктите и околната среда, която е приложима и за продуктите, продавани онлайн; същевременно отбелязва, че са необходими по-големи усилия за пълното и координирано прилагане на тази рамка;</w:t>
      </w:r>
    </w:p>
    <w:p w14:paraId="78AAAF77" w14:textId="77777777" w:rsidR="001A09F7" w:rsidRPr="00CC2C64" w:rsidRDefault="001A09F7" w:rsidP="001A09F7">
      <w:pPr>
        <w:pStyle w:val="NormalHanging12a"/>
      </w:pPr>
      <w:r w:rsidRPr="00CC2C64">
        <w:t xml:space="preserve">7. </w:t>
      </w:r>
      <w:r w:rsidRPr="00CC2C64">
        <w:tab/>
        <w:t xml:space="preserve">счита, че строгото, последователно и своевременно прилагане на законодателството на ЕС е задължително условие за предотвратяване на навлизането на опасни, неотговарящи на изискванията и фалшифицирани продукти на вътрешния пазар и за поддържане на високо равнище на защита на потребителите; призовава всички компетентни органи в държавите членки да </w:t>
      </w:r>
      <w:r w:rsidRPr="00CC2C64">
        <w:lastRenderedPageBreak/>
        <w:t>използват всички средства за прилагане, с които разполагат, за да реагират своевременно и ефективно;</w:t>
      </w:r>
    </w:p>
    <w:p w14:paraId="471A728C" w14:textId="77777777" w:rsidR="001A09F7" w:rsidRPr="00CC2C64" w:rsidRDefault="001A09F7" w:rsidP="001A09F7">
      <w:pPr>
        <w:pStyle w:val="NormalHanging12a"/>
      </w:pPr>
      <w:r w:rsidRPr="00CC2C64">
        <w:t>8.</w:t>
      </w:r>
      <w:r w:rsidRPr="00CC2C64">
        <w:tab/>
        <w:t>припомня, че Актът за цифровите услуги предоставя ясни правни основания за намеса, включително правомощието съгласно член 74 да налага глоби и съгласно член 9 да разпорежда изтеглянето на незаконни продукти; настоятелно призовава Комисията да използва пълноценно и своевременно тези инструменти, за да гарантира, че платформите изпълняват своите задължения; подчертава, че гражданите трябва да се уверят, че ЕС е в състояние да им гарантира безопасност в интернет, и изисква координирано и строго прилагане на правилата на целия вътрешен пазар;</w:t>
      </w:r>
    </w:p>
    <w:p w14:paraId="5CA94AAF" w14:textId="77777777" w:rsidR="001A09F7" w:rsidRPr="00CC2C64" w:rsidRDefault="001A09F7" w:rsidP="001A09F7">
      <w:pPr>
        <w:pStyle w:val="NormalHanging12a"/>
      </w:pPr>
      <w:r w:rsidRPr="00CC2C64">
        <w:t>9.</w:t>
      </w:r>
      <w:r w:rsidRPr="00CC2C64">
        <w:tab/>
        <w:t>предупреждава, че продължават да съществуват сериозни недостатъци в прилагането на законодателството поради хроничния недостиг на ресурси и недостатъчния цифров капацитет на митническите органи и органите за надзор на пазара, както и поради недостига на специализиран персонал и липсата на хармонизирани и оперативно съвместими технологични инструменти в държавите членки, което се утежнява от ограничения обмен на данни и слабата оперативна координация между митническите органи, органите за надзор на пазара и органите за защита на потребителите;</w:t>
      </w:r>
    </w:p>
    <w:p w14:paraId="65A31601" w14:textId="77777777" w:rsidR="001A09F7" w:rsidRPr="00CC2C64" w:rsidRDefault="001A09F7" w:rsidP="001A09F7">
      <w:pPr>
        <w:pStyle w:val="NormalHanging12a"/>
      </w:pPr>
      <w:r w:rsidRPr="00CC2C64">
        <w:t>10.</w:t>
      </w:r>
      <w:r w:rsidRPr="00CC2C64">
        <w:tab/>
        <w:t>подчертава, че поради огромните количества на пратките от електронна търговия, влизащи в ЕС, физическите проверки са по принцип недостатъчни; призовава за спешни мерки, включително за въвеждане на хармонизирана такса за обработка на равнището на ЕС, която да е в съответствие с правилата на СТО, за да се покрият увеличените разходи за надзор на митническите органи, както и за ясно определена отговорност на установените в трети държави платформи и продавачи за безопасността и съответствието на продуктите, които предлагат на потребителите в ЕС, което следва да бъде съчетано с договореното наскоро в Съвета премахване на освобождаването от ДДС и мита за пратки с ниска стойност; настоятелно призовава Комисията да увеличи значително финансовата и оперативната подкрепа за митническите органи и органите за надзор на пазара, включително чрез увеличаване на средствата в предстоящата многогодишна финансова рамка, за да се осигурят достатъчно ресурси и подходящ персонал;</w:t>
      </w:r>
    </w:p>
    <w:p w14:paraId="3C901CEC" w14:textId="77777777" w:rsidR="001A09F7" w:rsidRPr="00CC2C64" w:rsidRDefault="001A09F7" w:rsidP="001A09F7">
      <w:pPr>
        <w:pStyle w:val="NormalHanging12a"/>
        <w:rPr>
          <w:b/>
          <w:i/>
          <w:iCs/>
        </w:rPr>
      </w:pPr>
      <w:r w:rsidRPr="00CC2C64">
        <w:rPr>
          <w:b/>
          <w:i/>
        </w:rPr>
        <w:t>Разследвания на онлайн платформи и по-нататъшни действия</w:t>
      </w:r>
    </w:p>
    <w:p w14:paraId="7FB26D89" w14:textId="77777777" w:rsidR="001A09F7" w:rsidRPr="00CC2C64" w:rsidRDefault="001A09F7" w:rsidP="001A09F7">
      <w:pPr>
        <w:pStyle w:val="NormalHanging12a"/>
      </w:pPr>
      <w:r w:rsidRPr="00CC2C64">
        <w:t>11.</w:t>
      </w:r>
      <w:r w:rsidRPr="00CC2C64">
        <w:tab/>
        <w:t xml:space="preserve">изразява съжаление за бавния напредък на започнатите от Комисията и мрежата за сътрудничество в областта на защитата на потребителите разследвания на онлайн платформи извън ЕС за предполагаеми нарушения на законодателството на ЕС в областта на безопасността на продуктите и защитата на потребителите, както и на много големи платформи, по-специално съгласно Акта за цифровите услуги; изразява съжаление, че процедурите по разследване често продължават месеци, дори години, което подкопава доверието на гражданите и затруднява способността на законодателите да реагират на бързо възникващите онлайн рискове; подчертава неотложната необходимост от приключване на тези разследвания и отстраняване на структурните причини за това вредно забавяне; подчертава, че спирането на дейността на платформи, както понастоящем се опитва да направи Франция, на практика все още е почти невъзможно, дори в случаи на явно и многократно неспазване на изискванията; подчертава, че са необходими действия на равнището на ЕС, за да се гарантира последователното </w:t>
      </w:r>
      <w:r w:rsidRPr="00CC2C64">
        <w:lastRenderedPageBreak/>
        <w:t>прилагане на законодателството, както и за да се предотврати всякакво нарушаване на вътрешния пазар;</w:t>
      </w:r>
    </w:p>
    <w:p w14:paraId="7B211EDF" w14:textId="77777777" w:rsidR="001A09F7" w:rsidRPr="00CC2C64" w:rsidRDefault="001A09F7" w:rsidP="001A09F7">
      <w:pPr>
        <w:pStyle w:val="NormalHanging12a"/>
      </w:pPr>
      <w:r w:rsidRPr="00CC2C64">
        <w:t>12.</w:t>
      </w:r>
      <w:r w:rsidRPr="00CC2C64">
        <w:tab/>
        <w:t>поради това призовава за по-силни, по-бързи и по-оперативни инструменти за правоприлагане, за да се гарантира, че правилата на ЕС могат да се прилагат ефективно в цифровата среда; настоява, че изпълнението на ангажиментите, поети от онлайн платформите, трябва да бъде предмет на непрекъснат и систематичен контрол;</w:t>
      </w:r>
    </w:p>
    <w:p w14:paraId="40AA45D3" w14:textId="77777777" w:rsidR="001A09F7" w:rsidRPr="00CC2C64" w:rsidRDefault="001A09F7" w:rsidP="001A09F7">
      <w:pPr>
        <w:pStyle w:val="NormalHanging12a"/>
      </w:pPr>
      <w:r w:rsidRPr="00CC2C64">
        <w:t>13.</w:t>
      </w:r>
      <w:r w:rsidRPr="00CC2C64">
        <w:tab/>
        <w:t xml:space="preserve">подчертава, че неотдавнашните констатации относно </w:t>
      </w:r>
      <w:proofErr w:type="spellStart"/>
      <w:r w:rsidRPr="00CC2C64">
        <w:t>Shein</w:t>
      </w:r>
      <w:proofErr w:type="spellEnd"/>
      <w:r w:rsidRPr="00CC2C64">
        <w:t xml:space="preserve"> не са изолирани инциденти, а свидетелстват за системни пропуски и не могат да бъдат отстранени само чрез изтегляне на продуктите или публични извинения;</w:t>
      </w:r>
    </w:p>
    <w:p w14:paraId="5F459062" w14:textId="77777777" w:rsidR="001A09F7" w:rsidRPr="00CC2C64" w:rsidRDefault="001A09F7" w:rsidP="001A09F7">
      <w:pPr>
        <w:pStyle w:val="NormalHanging12a"/>
      </w:pPr>
      <w:r w:rsidRPr="00CC2C64">
        <w:t>14.</w:t>
      </w:r>
      <w:r w:rsidRPr="00CC2C64">
        <w:tab/>
        <w:t xml:space="preserve">настоятелно призовава за по-бързо и по-лесно задействане на временните мерки съгласно Акта за цифровите услуги и на други мерки съгласно Регламента относно общата безопасност на продуктите и Регламента относно надзора на пазара, включително временно спиране на дейността на онлайн местата за търговия при многократни, сериозни или системни нарушения на правото на ЕС, като например случая с </w:t>
      </w:r>
      <w:proofErr w:type="spellStart"/>
      <w:r w:rsidRPr="00CC2C64">
        <w:t>Shein</w:t>
      </w:r>
      <w:proofErr w:type="spellEnd"/>
      <w:r w:rsidRPr="00CC2C64">
        <w:t xml:space="preserve"> във Франция, за да се гарантира, че неотговарящите на изискванията платформи не избягват последствията; подчертава, че спирането на функционирането на онлайн места за търговия вече не следва да се счита за извънредна, крайна мярка;</w:t>
      </w:r>
    </w:p>
    <w:p w14:paraId="0AC0EC8D" w14:textId="77777777" w:rsidR="001A09F7" w:rsidRPr="00CC2C64" w:rsidRDefault="001A09F7" w:rsidP="001A09F7">
      <w:pPr>
        <w:pStyle w:val="NormalHanging12a"/>
      </w:pPr>
      <w:r w:rsidRPr="00CC2C64">
        <w:t>15.</w:t>
      </w:r>
      <w:r w:rsidRPr="00CC2C64">
        <w:tab/>
        <w:t>подчертава необходимостта от своевременно налагане на по-ефективни санкции чрез пълноценно използване на всички инструменти, предвидени в законодателството на ЕС; подчертава, че тези санкции трябва да бъдат достатъчно възпиращи, за да се гарантира, че неотговарящите на изискванията платформи спазват изцяло законодателството на ЕС;</w:t>
      </w:r>
    </w:p>
    <w:p w14:paraId="263F94BF" w14:textId="77777777" w:rsidR="001A09F7" w:rsidRPr="00CC2C64" w:rsidRDefault="001A09F7" w:rsidP="001A09F7">
      <w:pPr>
        <w:pStyle w:val="NormalHanging12a"/>
      </w:pPr>
      <w:r w:rsidRPr="00CC2C64">
        <w:t>16.</w:t>
      </w:r>
      <w:r w:rsidRPr="00CC2C64">
        <w:tab/>
        <w:t xml:space="preserve">отбелязва, че настоящата система е по-скоро реактивна, а не превантивна, тъй като органите се намесват едва след като опасните продукти са продадени на потребителите, вместо да предотвратят тяхната дистрибуция; припомня, че съгласно Регламента относно общата безопасност на продуктите онлайн местата за търговия са длъжни да изтеглят опасния продукт от продажба в срок от два дни, ако им е известно, че той е опасен, или ако държавен орган е разпоредил изтеглянето му, или в срок от три дни, ако разпореждането е издадено от призната трета страна; освен това подчертава, че доставчиците на онлайн места за търговия се насърчават да проверяват продуктите в портала Safety </w:t>
      </w:r>
      <w:proofErr w:type="spellStart"/>
      <w:r w:rsidRPr="00CC2C64">
        <w:t>Gate</w:t>
      </w:r>
      <w:proofErr w:type="spellEnd"/>
      <w:r w:rsidRPr="00CC2C64">
        <w:t>, преди да ги включат в продуктовата гама на своите интерфейси; посочва, че вземането на проби на случаен принцип и изследването им са ефективно средство за възпиране само ако се извършват систематично и достатъчно често;</w:t>
      </w:r>
    </w:p>
    <w:p w14:paraId="703A2DB7" w14:textId="77777777" w:rsidR="001A09F7" w:rsidRPr="00CC2C64" w:rsidRDefault="001A09F7" w:rsidP="001A09F7">
      <w:pPr>
        <w:pStyle w:val="NormalHanging12a"/>
      </w:pPr>
      <w:r w:rsidRPr="00CC2C64">
        <w:t>17.</w:t>
      </w:r>
      <w:r w:rsidRPr="00CC2C64">
        <w:tab/>
        <w:t xml:space="preserve">призовава Комисията и компетентните национални органи да прилагат строго Акта за цифровите услуги по отношение на отговорността на онлайн местата за търговия, и по-специално задълженията им във връзка със системите за препоръчване, проектирането на интерфейсите, правото на информация, правилата за „спазване при проектирането“ с цел да се увеличи цялостната проследимост, както и задължението „познавай своя бизнес клиент“; подчертава необходимостта от основана на Акта за цифровите услуги мрежа от доверени податели на сигнали за незаконни продукти и електронна търговия, за да се гарантира, че платформите изпълняват своите задължения ефективно; припомня, </w:t>
      </w:r>
      <w:r w:rsidRPr="00CC2C64">
        <w:lastRenderedPageBreak/>
        <w:t xml:space="preserve">че </w:t>
      </w:r>
      <w:proofErr w:type="spellStart"/>
      <w:r w:rsidRPr="00CC2C64">
        <w:t>Shein</w:t>
      </w:r>
      <w:proofErr w:type="spellEnd"/>
      <w:r w:rsidRPr="00CC2C64">
        <w:t xml:space="preserve"> и други онлайн платформи като </w:t>
      </w:r>
      <w:proofErr w:type="spellStart"/>
      <w:r w:rsidRPr="00CC2C64">
        <w:t>Temu</w:t>
      </w:r>
      <w:proofErr w:type="spellEnd"/>
      <w:r w:rsidRPr="00CC2C64">
        <w:t xml:space="preserve"> и </w:t>
      </w:r>
      <w:proofErr w:type="spellStart"/>
      <w:r w:rsidRPr="00CC2C64">
        <w:t>AliExpress</w:t>
      </w:r>
      <w:proofErr w:type="spellEnd"/>
      <w:r w:rsidRPr="00CC2C64">
        <w:t xml:space="preserve"> са признати за много големи онлайн платформи и са обект на засилени задължения;</w:t>
      </w:r>
    </w:p>
    <w:p w14:paraId="02F8A684" w14:textId="77777777" w:rsidR="001A09F7" w:rsidRPr="00CC2C64" w:rsidRDefault="001A09F7" w:rsidP="001A09F7">
      <w:pPr>
        <w:pStyle w:val="NormalHanging12a"/>
      </w:pPr>
      <w:r w:rsidRPr="00CC2C64">
        <w:t>18.</w:t>
      </w:r>
      <w:r w:rsidRPr="00CC2C64">
        <w:tab/>
        <w:t xml:space="preserve">отбелязва, че Комисията разследва определени онлайн места за търговия извън ЕС за използване на манипулативни практики, включително „тъмни модели“, характеристики на дизайна, предизвикващи пристрастяване, заблуждаващ маркетинг от </w:t>
      </w:r>
      <w:proofErr w:type="spellStart"/>
      <w:r w:rsidRPr="00CC2C64">
        <w:t>инфлуенсъри</w:t>
      </w:r>
      <w:proofErr w:type="spellEnd"/>
      <w:r w:rsidRPr="00CC2C64">
        <w:t xml:space="preserve"> и разпространение на фалшиви или подвеждащи онлайн отзиви; припомня, че според проверката за пригодност на законодателството на ЕС за защита на потребителите в областта на цифровата справедливост загубите на потребители в резултат на нелоялни търговски практики възлизат на близо 8 милиарда евро всяка година, и подчертава, че подобни експлоататорски методи, засягащи особено уязвимите потребители и малолетните и непълнолетните лица, стимулират импулсивно поведение при пазаруване и подхранват неустойчиво потребление; настоятелно призовава Комисията да гарантира, че тези практики ще бъдат разгледани в предстоящия акт за справедливост в областта на цифровите технологии, като се преодолеят регулаторните пропуски в действащото законодателство; </w:t>
      </w:r>
    </w:p>
    <w:p w14:paraId="1818D220" w14:textId="77777777" w:rsidR="001A09F7" w:rsidRPr="00CC2C64" w:rsidRDefault="001A09F7" w:rsidP="001A09F7">
      <w:pPr>
        <w:pStyle w:val="NormalHanging12a"/>
      </w:pPr>
      <w:r w:rsidRPr="00CC2C64">
        <w:t>19.</w:t>
      </w:r>
      <w:r w:rsidRPr="00CC2C64">
        <w:tab/>
        <w:t>призовава всички продавачи, извършващи дейност на онлайн места за търговия, да бъдат задължени да предоставят проверим адрес за връщане и лице за контакт в ЕС, което ще гарантира, че потребителите могат ефективно да упражняват своите права съгласно законодателството на ЕС за защита на потребителите, например правото да се откажат от покупка при пазаруване онлайн и да връщат стоки, които не отговарят на изискванията, без допълнителни тежести, както и че компетентните органи могат ефективно да извършват проверки; настоява, че онлайн местата за търговия следва да носят отговорност за проверката на това и да бъдат държани отговорни за прилагането на правилата;</w:t>
      </w:r>
    </w:p>
    <w:p w14:paraId="0B41C3A3" w14:textId="77777777" w:rsidR="001A09F7" w:rsidRPr="00CC2C64" w:rsidRDefault="001A09F7" w:rsidP="001A09F7">
      <w:pPr>
        <w:pStyle w:val="NormalHanging12a"/>
        <w:rPr>
          <w:b/>
          <w:i/>
          <w:iCs/>
        </w:rPr>
      </w:pPr>
      <w:r w:rsidRPr="00CC2C64">
        <w:rPr>
          <w:b/>
          <w:i/>
        </w:rPr>
        <w:t>Необходимостта от регулаторни реформи</w:t>
      </w:r>
    </w:p>
    <w:p w14:paraId="74FAFC8F" w14:textId="77777777" w:rsidR="001A09F7" w:rsidRPr="00CC2C64" w:rsidRDefault="001A09F7" w:rsidP="001A09F7">
      <w:pPr>
        <w:pStyle w:val="NormalHanging12a"/>
        <w:rPr>
          <w:bCs/>
        </w:rPr>
      </w:pPr>
      <w:r w:rsidRPr="00CC2C64">
        <w:t>20.</w:t>
      </w:r>
      <w:r w:rsidRPr="00CC2C64">
        <w:tab/>
        <w:t>настоятелно призовава Комисията незабавно да предприеме ефективни мерки срещу опасните и незаконни продукти на онлайн платформите, включително законодателни мерки, когато са установени явни пропуски в законодателството, за да се гарантира правна сигурност и еднакви условия на конкуренция за европейските предприятия, като се обърне специално внимание на малките и средните предприятия; подчертава необходимостта от прилагане на действащата рамка за съответствие и от оценяване на тези мерки, когато се обмисля ново законодателство, включително нови задължения за онлайн местата за търговия;</w:t>
      </w:r>
    </w:p>
    <w:p w14:paraId="5BB7EA91" w14:textId="77777777" w:rsidR="001A09F7" w:rsidRPr="00CC2C64" w:rsidRDefault="001A09F7" w:rsidP="001A09F7">
      <w:pPr>
        <w:pStyle w:val="NormalHanging12a"/>
      </w:pPr>
      <w:r w:rsidRPr="00CC2C64">
        <w:t>21.</w:t>
      </w:r>
      <w:r w:rsidRPr="00CC2C64">
        <w:tab/>
        <w:t>подчертава факта, че информацията за отговорен икономически оператор в ЕС съгласно Регламента относно общата безопасност на продуктите, действащ от името на търговец или платформа извън ЕС, често е неточна или липсва; същевременно изтъква, че ако продавачите са със седалище извън ЕС или не могат да бъдат проследени и ако отговорните лица използват фалшиви адреси, няма отговорно юридическо лице и не е възможно органите за надзор на пазара да извършат проверки или потребителите да получат достъп до обезщетения или средства за правна защита; отбелязва, че дори когато тази информация е налична, отговорното лице в ЕС може да не носи отговорност;</w:t>
      </w:r>
    </w:p>
    <w:p w14:paraId="39AE96D1" w14:textId="77777777" w:rsidR="001A09F7" w:rsidRPr="00CC2C64" w:rsidRDefault="001A09F7" w:rsidP="001A09F7">
      <w:pPr>
        <w:pStyle w:val="NormalHanging12a"/>
      </w:pPr>
      <w:r w:rsidRPr="00CC2C64">
        <w:t>22.</w:t>
      </w:r>
      <w:r w:rsidRPr="00CC2C64">
        <w:tab/>
        <w:t xml:space="preserve">счита, че правната защита на потребителите трябва да бъде гарантирана във всички случаи; в тази връзка подчертава, че в случай че производителят е </w:t>
      </w:r>
      <w:r w:rsidRPr="00CC2C64">
        <w:lastRenderedPageBreak/>
        <w:t>установен извън ЕС и не може да бъде идентифициран вносител, упълномощен представител или доставчик на услуги за обработка на поръчки, онлайн местата за търговия следва да предоставят подходящи и пропорционални средства за правна защита на потребителите, когато не спазват Акта за цифровите услуги, по-специално членове 30 и 31 от него, или член 22 от Регламента относно общата безопасност на продуктите;</w:t>
      </w:r>
    </w:p>
    <w:p w14:paraId="79DC971B" w14:textId="77777777" w:rsidR="001A09F7" w:rsidRPr="00CC2C64" w:rsidRDefault="001A09F7" w:rsidP="001A09F7">
      <w:pPr>
        <w:pStyle w:val="NormalHanging12a"/>
      </w:pPr>
      <w:r w:rsidRPr="00CC2C64">
        <w:t>23.</w:t>
      </w:r>
      <w:r w:rsidRPr="00CC2C64">
        <w:tab/>
        <w:t>отбелязва намерението на Комисията да преразгледа Регламента относно надзора на пазара и подчертава, че този процес трябва да позволи бърза и задълбочена оценка на настоящите правила относно „отговорното лице за продуктите, пуснати на пазара на Съюза“, по-специално правилата за търговците извън ЕС, въз основа на резултатите от доклада за оценка на член 4 от Регламента относно надзора на пазара; призовава Комисията да ускори оценката относно въвеждането на задължително изискване за търговците извън ЕС да назначават отговорно лице в ЕС, което да носи засилена правна и финансова отговорност;</w:t>
      </w:r>
    </w:p>
    <w:p w14:paraId="1E9DD614" w14:textId="77777777" w:rsidR="001A09F7" w:rsidRPr="00CC2C64" w:rsidRDefault="001A09F7" w:rsidP="001A09F7">
      <w:pPr>
        <w:pStyle w:val="NormalHanging12a"/>
      </w:pPr>
      <w:r w:rsidRPr="00CC2C64">
        <w:t>24.</w:t>
      </w:r>
      <w:r w:rsidRPr="00CC2C64">
        <w:tab/>
        <w:t>счита, че преразглеждането на Регламента относно надзора на пазара предлага важна възможност за укрепване на регулаторната рамка на ЕС чрез по-ясно разграничаване на отговорностите на платформите, които пускат продукти на пазара, от платформи, чиято дейност се ограничава до хостинг на съдържание, което не е свързано с продукти, например видеоклипове, изображения или изделия; припомня, че това разграничение вече е заложено в Регламента относно общата безопасност на продуктите, Регламента относно надзора на пазарите и Митническия кодекс на Съюза, които съдържат специфични разпоредби за онлайн местата за търговия, продаващи продукти; същевременно счита, че за по-добра защита на потребителите е необходимо да се засилят отговорностите на онлайн местата за търговия, които продават продукти;</w:t>
      </w:r>
    </w:p>
    <w:p w14:paraId="282A8D11" w14:textId="77777777" w:rsidR="001A09F7" w:rsidRPr="00CC2C64" w:rsidRDefault="001A09F7" w:rsidP="001A09F7">
      <w:pPr>
        <w:pStyle w:val="NormalHanging12a"/>
      </w:pPr>
      <w:r w:rsidRPr="00CC2C64">
        <w:t>25.</w:t>
      </w:r>
      <w:r w:rsidRPr="00CC2C64">
        <w:tab/>
        <w:t>настоятелно призовава Комисията да пристъпи незабавно към цялостно преразглеждане на Регламента за сътрудничество в областта на защитата на потребителите</w:t>
      </w:r>
      <w:r w:rsidRPr="00CC2C64">
        <w:rPr>
          <w:rStyle w:val="FootnoteReference"/>
        </w:rPr>
        <w:footnoteReference w:id="10"/>
      </w:r>
      <w:r w:rsidRPr="00CC2C64">
        <w:t>, тъй като това е предпоставка за постигане на строго трансгранично прилагане на правилата на ЕС за защита на потребителите и за ограничаване на обращението на опасни стоки; настоява, че при преразглеждането трябва да се въведат конкретни разпоредби, които да подобрят капацитета за прилагане на законодателството по отношение на търговците и платформите извън ЕС, като същевременно се гарантира по-тясна координация и структуриран обмен на информация между органите на ЕС и националните органи, а ако е целесъобразно, и с компетентните органи в трети държави; подчертава необходимостта да се предоставят на Комисията преки правомощия за разследване и налагане на санкции при сериозни нарушения на законодателството за защита на потребителите със значителни отрицателни последици, за да се гарантира последователно, едновременно и възпиращо прилагане на законодателството в целия ЕС;</w:t>
      </w:r>
    </w:p>
    <w:p w14:paraId="037289D0" w14:textId="77777777" w:rsidR="001A09F7" w:rsidRPr="00CC2C64" w:rsidRDefault="001A09F7" w:rsidP="001A09F7">
      <w:pPr>
        <w:pStyle w:val="NormalHanging12a"/>
      </w:pPr>
      <w:r w:rsidRPr="00CC2C64">
        <w:t>26.</w:t>
      </w:r>
      <w:r w:rsidRPr="00CC2C64">
        <w:tab/>
        <w:t xml:space="preserve">счита, че операциите по тайно пазаруване, извършвани от органите за надзор на </w:t>
      </w:r>
      <w:r w:rsidRPr="00CC2C64">
        <w:lastRenderedPageBreak/>
        <w:t>пазара, както е посочено в съобщението на Комисията относно електронната търговия, представляват ключов инструмент за оценяване на законосъобразността и безопасността на продуктите, предлагани чрез онлайн платформи; призовава тези проверки да бъдат значително разширени и да се извършват по-редовно, за да се гарантира ефективно правоприлагане, заедно с други координирани действия по правоприлагане, като например мащабни проверки и партньорски прегледи; припомня, че корективните мерки, насочени към многократни или документирани по-рано несъответствия по отношение на сравними продукти, предвидени в Регламент относно общата безопасност на продуктите, следва да се използват по-систематично;</w:t>
      </w:r>
    </w:p>
    <w:p w14:paraId="5C1DB2B9" w14:textId="77777777" w:rsidR="001A09F7" w:rsidRPr="00CC2C64" w:rsidRDefault="001A09F7" w:rsidP="001A09F7">
      <w:pPr>
        <w:pStyle w:val="NormalHanging12a"/>
      </w:pPr>
      <w:r w:rsidRPr="00CC2C64">
        <w:t>27.</w:t>
      </w:r>
      <w:r w:rsidRPr="00CC2C64">
        <w:tab/>
        <w:t>призовава Комисията да проучи възможността за изготвяне на ясни и хармонизирани определения за „бърза мода“ и „свръхбърза мода“, за да се противодейства на специфичните рискове, свързани с тези бизнес модели, като се гарантират еднакви условия на конкуренция за всички участници на пазара и се предотврати регулаторната разпокъсаност в рамките на вътрешния пазар; освен това призовава Комисията да разгледа разпоредби, които биха гарантирали наличието на напълно ефективни инструменти за справяне с предизвикателствата, произтичащи от разпространението на „свръхбързи“ и нискокачествени продукти, включително по-строги процедури за оценка на съответствието и подобрени инструменти за прилагане на правилата, за да се осигури вътрешен пазар, който гарантира най-високо равнище на защита на потребителите, като същевременно се дава възможност за растеж на иновативни продукти и идеи и се намалява ненужната административна тежест за отговорните предприятия и продуктите, които отговарят на изискванията;</w:t>
      </w:r>
    </w:p>
    <w:p w14:paraId="7A5E4BF4" w14:textId="77777777" w:rsidR="001A09F7" w:rsidRPr="00CC2C64" w:rsidRDefault="001A09F7" w:rsidP="001A09F7">
      <w:pPr>
        <w:pStyle w:val="NormalHanging12a"/>
      </w:pPr>
      <w:r w:rsidRPr="00CC2C64">
        <w:t>28.</w:t>
      </w:r>
      <w:r w:rsidRPr="00CC2C64">
        <w:tab/>
        <w:t>настоятелно призовава държавите членки значително да ускорят цифровизацията на процедурите за внос в митническите администрации с подкрепата на центъра за митнически данни на ЕС, за да се гарантира ефективното прилагане на действащото законодателство и да се ускори митническото оформяне, особено предвид експоненциалния ръст на потоците от пратки; призовава държавите членки да увеличат използването на автоматизирани процеси като автоматично сканиране на етикети при обработването на пратки в митницата; подчертава, че широкото използване на цифровия продуктов паспорт би позволило предварителна проверка на съответствието за всички продукти, внасяни чрез електронна търговия, тъй като той съдържа подробна информация за качеството и съответствието и ще бъде интегриран директно в центъра за митнически данни на ЕС; призовава Комисията да въведе възможно най-скоро цифровия продуктов паспорт за всички физически стоки, предлагани на пазара на ЕС;</w:t>
      </w:r>
    </w:p>
    <w:p w14:paraId="0E94CD4C" w14:textId="77777777" w:rsidR="001A09F7" w:rsidRPr="00CC2C64" w:rsidRDefault="001A09F7" w:rsidP="001A09F7">
      <w:pPr>
        <w:pStyle w:val="NormalHanging12a"/>
      </w:pPr>
      <w:r w:rsidRPr="00CC2C64">
        <w:t>29.</w:t>
      </w:r>
      <w:r w:rsidRPr="00CC2C64">
        <w:tab/>
        <w:t xml:space="preserve">настоятелно призовава държавите членки да засилят значително митническия контрол и да подобрят капацитета си за анализ на риска, подкрепени от задачите по управление на риска, които ще се изпълняват от Комисията и Митническия орган на ЕС и които ще бъдат въведени в реформата на Митническия кодекс на Съюза, така че стоките, които не отговарят на изискванията, да бъдат бързо откривани и задържани, като по този начин се ограничават вредите за потребителите в ЕС и се защитават икономическите интереси на предприятията в ЕС; подчертава необходимостта от укрепване на капацитета на митническите центрове, така че да могат ефективно да управляват много големите количества малки пратки, които се изплъзват на традиционните методи за контрол, включително чрез внедряване на съвременни технологии за проверка, способни да </w:t>
      </w:r>
      <w:r w:rsidRPr="00CC2C64">
        <w:lastRenderedPageBreak/>
        <w:t xml:space="preserve">идентифицират подозрителни пратки на входните пунктове; призовава за по-строги проверки за съответствие, допълнени от проверки на случаен принцип, по отношение на </w:t>
      </w:r>
      <w:proofErr w:type="spellStart"/>
      <w:r w:rsidRPr="00CC2C64">
        <w:t>високотонажния</w:t>
      </w:r>
      <w:proofErr w:type="spellEnd"/>
      <w:r w:rsidRPr="00CC2C64">
        <w:t xml:space="preserve"> транспорт;</w:t>
      </w:r>
    </w:p>
    <w:p w14:paraId="7D94A79C" w14:textId="77777777" w:rsidR="001A09F7" w:rsidRPr="00CC2C64" w:rsidRDefault="001A09F7" w:rsidP="001A09F7">
      <w:pPr>
        <w:pStyle w:val="NormalHanging12a"/>
      </w:pPr>
      <w:r w:rsidRPr="00CC2C64">
        <w:t>30.</w:t>
      </w:r>
      <w:r w:rsidRPr="00CC2C64">
        <w:tab/>
        <w:t>подчертава, че предвид спешната необходимост от засилване на митническия контрол графикът за изпълнение на основните задължения по преразглеждането на Митническия кодекс на Съюза следва да бъде ускорен, по-специално създаването на центъра за митнически данни на ЕС; настоятелно призовава Комисията да предприеме без забавяне всички необходими подготвителни стъпки за неговото създаване, като гарантира, че функциите на центъра за електронна търговия са напълно оперативни преди постигането на целта за 2026 г.; приветства политическото споразумение, постигнато в Съвета, за премахване на прага от 150 EUR за освобождаване от мита, тъй като счита, че това е решаваща мярка за ограничаване на системните злоупотреби при пратки с ниска стойност;</w:t>
      </w:r>
    </w:p>
    <w:p w14:paraId="4AEF050E" w14:textId="77777777" w:rsidR="001A09F7" w:rsidRPr="00CC2C64" w:rsidRDefault="001A09F7" w:rsidP="001A09F7">
      <w:pPr>
        <w:pStyle w:val="NormalHanging12a"/>
      </w:pPr>
      <w:r w:rsidRPr="00CC2C64">
        <w:t>31.</w:t>
      </w:r>
      <w:r w:rsidRPr="00CC2C64">
        <w:tab/>
        <w:t>отбелязва, че в някои случаи търговци и платформи извън ЕС внасят на пазара на ЕС стоки, които не отговарят на изискванията и понякога са опасни, без да понасят последствия; отбелязва, че реформата на Митническия кодекс на Съюза следва да допринесе за преодоляване на пропуските в отговорността за неотговарящи на изискванията продукти, влизащи на митническата територия на ЕС;</w:t>
      </w:r>
    </w:p>
    <w:p w14:paraId="4EA1CDD1" w14:textId="77777777" w:rsidR="001A09F7" w:rsidRPr="00CC2C64" w:rsidRDefault="001A09F7" w:rsidP="001A09F7">
      <w:pPr>
        <w:pStyle w:val="NormalHanging12a"/>
      </w:pPr>
      <w:r w:rsidRPr="00CC2C64">
        <w:t>32.</w:t>
      </w:r>
      <w:r w:rsidRPr="00CC2C64">
        <w:tab/>
        <w:t>призовава органите за защита на потребителите, организациите, браншовите органи и търговските камари да увеличат съвместните си усилия за информиране, за да предоставят на потребителите ясни и достъпни насоки относно техните права и рисковете, свързани с онлайн покупки, особено от платформи извън ЕС; настоятелно призовава такива инициативи да подчертават ясно наличието на възможности за правна защита, включително колективна правна защита, за да се гарантира, че потребителите могат ефективно да търсят правна защита, що се касае до опасни или незаконни продукти;</w:t>
      </w:r>
    </w:p>
    <w:p w14:paraId="2B9EF486" w14:textId="77777777" w:rsidR="001A09F7" w:rsidRPr="00CC2C64" w:rsidRDefault="001A09F7" w:rsidP="001A09F7">
      <w:pPr>
        <w:pStyle w:val="NormalHanging12a"/>
        <w:jc w:val="center"/>
      </w:pPr>
      <w:r w:rsidRPr="00CC2C64">
        <w:t>°</w:t>
      </w:r>
    </w:p>
    <w:p w14:paraId="0C1791FF" w14:textId="77777777" w:rsidR="001A09F7" w:rsidRPr="00CC2C64" w:rsidRDefault="001A09F7" w:rsidP="001A09F7">
      <w:pPr>
        <w:pStyle w:val="NormalHanging12a"/>
        <w:jc w:val="center"/>
      </w:pPr>
      <w:r w:rsidRPr="00CC2C64">
        <w:t>°</w:t>
      </w:r>
      <w:r w:rsidRPr="00CC2C64">
        <w:tab/>
        <w:t>°</w:t>
      </w:r>
    </w:p>
    <w:p w14:paraId="05CB5E95" w14:textId="6634C623" w:rsidR="00E365E1" w:rsidRPr="00CC2C64" w:rsidRDefault="001A09F7" w:rsidP="00D82BAC">
      <w:pPr>
        <w:ind w:left="567" w:hanging="567"/>
      </w:pPr>
      <w:r w:rsidRPr="00CC2C64">
        <w:t xml:space="preserve">33. </w:t>
      </w:r>
      <w:r w:rsidR="000D07D2">
        <w:tab/>
      </w:r>
      <w:r w:rsidRPr="00CC2C64">
        <w:t xml:space="preserve">възлага на своя председател да предаде настоящата резолюция съответно </w:t>
      </w:r>
      <w:r w:rsidR="00CC2C64" w:rsidRPr="00CC2C64">
        <w:t>на Съвета и на Комисията.</w:t>
      </w:r>
    </w:p>
    <w:sectPr w:rsidR="00E365E1" w:rsidRPr="00CC2C64" w:rsidSect="00CC2C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4AC06" w14:textId="77777777" w:rsidR="003F5BB8" w:rsidRPr="00CC2C64" w:rsidRDefault="003F5BB8">
      <w:r w:rsidRPr="00CC2C64">
        <w:separator/>
      </w:r>
    </w:p>
  </w:endnote>
  <w:endnote w:type="continuationSeparator" w:id="0">
    <w:p w14:paraId="6CF451FE" w14:textId="77777777" w:rsidR="003F5BB8" w:rsidRPr="00CC2C64" w:rsidRDefault="003F5BB8">
      <w:r w:rsidRPr="00CC2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4D59" w14:textId="77777777" w:rsidR="00064002" w:rsidRPr="00CC2C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AF591" w14:textId="77777777" w:rsidR="00064002" w:rsidRPr="00CC2C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807A" w14:textId="77777777" w:rsidR="00064002" w:rsidRPr="00CC2C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EA3E1" w14:textId="77777777" w:rsidR="003F5BB8" w:rsidRPr="00CC2C64" w:rsidRDefault="003F5BB8">
      <w:r w:rsidRPr="00CC2C64">
        <w:separator/>
      </w:r>
    </w:p>
  </w:footnote>
  <w:footnote w:type="continuationSeparator" w:id="0">
    <w:p w14:paraId="14060E09" w14:textId="77777777" w:rsidR="003F5BB8" w:rsidRPr="00CC2C64" w:rsidRDefault="003F5BB8">
      <w:r w:rsidRPr="00CC2C64">
        <w:continuationSeparator/>
      </w:r>
    </w:p>
  </w:footnote>
  <w:footnote w:id="1">
    <w:p w14:paraId="58464C70" w14:textId="08ED5266"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 xml:space="preserve">ОВ C, C/2025/1035, 27.2.2025 г., ELI: </w:t>
      </w:r>
      <w:hyperlink r:id="rId1" w:history="1">
        <w:r w:rsidRPr="00CC2C64">
          <w:rPr>
            <w:rStyle w:val="Hyperlink"/>
            <w:sz w:val="24"/>
            <w:lang w:val="bg-BG"/>
          </w:rPr>
          <w:t>http://data.europa.eu/eli/C/2025/1035/oj</w:t>
        </w:r>
      </w:hyperlink>
      <w:r w:rsidRPr="00CC2C64">
        <w:rPr>
          <w:sz w:val="24"/>
          <w:lang w:val="bg-BG"/>
        </w:rPr>
        <w:t>.</w:t>
      </w:r>
    </w:p>
  </w:footnote>
  <w:footnote w:id="2">
    <w:p w14:paraId="1BEF4593" w14:textId="03EBE60E"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 xml:space="preserve">ОВ L, 2024/3015, 12.12.2024 г., ELI: </w:t>
      </w:r>
      <w:hyperlink r:id="rId2" w:history="1">
        <w:r w:rsidRPr="00CC2C64">
          <w:rPr>
            <w:rStyle w:val="Hyperlink"/>
            <w:sz w:val="24"/>
            <w:lang w:val="bg-BG"/>
          </w:rPr>
          <w:t>http://data.europa.eu/eli/reg/2024/3015/oj</w:t>
        </w:r>
      </w:hyperlink>
      <w:r w:rsidRPr="00CC2C64">
        <w:rPr>
          <w:sz w:val="24"/>
          <w:lang w:val="bg-BG"/>
        </w:rPr>
        <w:t>.</w:t>
      </w:r>
    </w:p>
  </w:footnote>
  <w:footnote w:id="3">
    <w:p w14:paraId="454CC68F" w14:textId="7626D6A2"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 xml:space="preserve">ОВ L, 2024/1760, 5.7.2024 г., ELI: </w:t>
      </w:r>
      <w:hyperlink r:id="rId3" w:history="1">
        <w:r w:rsidRPr="00CC2C64">
          <w:rPr>
            <w:rStyle w:val="Hyperlink"/>
            <w:sz w:val="24"/>
            <w:lang w:val="bg-BG"/>
          </w:rPr>
          <w:t>http://data.europa.eu/eli/dir/2024/1760/oj</w:t>
        </w:r>
      </w:hyperlink>
      <w:r w:rsidRPr="00CC2C64">
        <w:rPr>
          <w:sz w:val="24"/>
          <w:lang w:val="bg-BG"/>
        </w:rPr>
        <w:t>.</w:t>
      </w:r>
    </w:p>
  </w:footnote>
  <w:footnote w:id="4">
    <w:p w14:paraId="2D6A3198" w14:textId="1772405C"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 xml:space="preserve">Доклад на Лета Е., </w:t>
      </w:r>
      <w:hyperlink r:id="rId4" w:history="1">
        <w:proofErr w:type="spellStart"/>
        <w:r w:rsidRPr="00CC2C64">
          <w:rPr>
            <w:rStyle w:val="Hyperlink"/>
            <w:sz w:val="24"/>
            <w:lang w:val="bg-BG"/>
          </w:rPr>
          <w:t>Much</w:t>
        </w:r>
        <w:proofErr w:type="spellEnd"/>
        <w:r w:rsidRPr="00CC2C64">
          <w:rPr>
            <w:rStyle w:val="Hyperlink"/>
            <w:sz w:val="24"/>
            <w:lang w:val="bg-BG"/>
          </w:rPr>
          <w:t xml:space="preserve"> </w:t>
        </w:r>
        <w:proofErr w:type="spellStart"/>
        <w:r w:rsidRPr="00CC2C64">
          <w:rPr>
            <w:rStyle w:val="Hyperlink"/>
            <w:sz w:val="24"/>
            <w:lang w:val="bg-BG"/>
          </w:rPr>
          <w:t>more</w:t>
        </w:r>
        <w:proofErr w:type="spellEnd"/>
        <w:r w:rsidRPr="00CC2C64">
          <w:rPr>
            <w:rStyle w:val="Hyperlink"/>
            <w:sz w:val="24"/>
            <w:lang w:val="bg-BG"/>
          </w:rPr>
          <w:t xml:space="preserve"> </w:t>
        </w:r>
        <w:proofErr w:type="spellStart"/>
        <w:r w:rsidRPr="00CC2C64">
          <w:rPr>
            <w:rStyle w:val="Hyperlink"/>
            <w:sz w:val="24"/>
            <w:lang w:val="bg-BG"/>
          </w:rPr>
          <w:t>than</w:t>
        </w:r>
        <w:proofErr w:type="spellEnd"/>
        <w:r w:rsidRPr="00CC2C64">
          <w:rPr>
            <w:rStyle w:val="Hyperlink"/>
            <w:sz w:val="24"/>
            <w:lang w:val="bg-BG"/>
          </w:rPr>
          <w:t xml:space="preserve"> a </w:t>
        </w:r>
        <w:proofErr w:type="spellStart"/>
        <w:r w:rsidRPr="00CC2C64">
          <w:rPr>
            <w:rStyle w:val="Hyperlink"/>
            <w:sz w:val="24"/>
            <w:lang w:val="bg-BG"/>
          </w:rPr>
          <w:t>market</w:t>
        </w:r>
        <w:proofErr w:type="spellEnd"/>
        <w:r w:rsidRPr="00CC2C64">
          <w:rPr>
            <w:rStyle w:val="Hyperlink"/>
            <w:sz w:val="24"/>
            <w:lang w:val="bg-BG"/>
          </w:rPr>
          <w:t xml:space="preserve">: </w:t>
        </w:r>
        <w:proofErr w:type="spellStart"/>
        <w:r w:rsidRPr="00CC2C64">
          <w:rPr>
            <w:rStyle w:val="Hyperlink"/>
            <w:sz w:val="24"/>
            <w:lang w:val="bg-BG"/>
          </w:rPr>
          <w:t>Speed</w:t>
        </w:r>
        <w:proofErr w:type="spellEnd"/>
        <w:r w:rsidRPr="00CC2C64">
          <w:rPr>
            <w:rStyle w:val="Hyperlink"/>
            <w:sz w:val="24"/>
            <w:lang w:val="bg-BG"/>
          </w:rPr>
          <w:t xml:space="preserve">, </w:t>
        </w:r>
        <w:proofErr w:type="spellStart"/>
        <w:r w:rsidRPr="00CC2C64">
          <w:rPr>
            <w:rStyle w:val="Hyperlink"/>
            <w:sz w:val="24"/>
            <w:lang w:val="bg-BG"/>
          </w:rPr>
          <w:t>Security</w:t>
        </w:r>
        <w:proofErr w:type="spellEnd"/>
        <w:r w:rsidRPr="00CC2C64">
          <w:rPr>
            <w:rStyle w:val="Hyperlink"/>
            <w:sz w:val="24"/>
            <w:lang w:val="bg-BG"/>
          </w:rPr>
          <w:t xml:space="preserve">, </w:t>
        </w:r>
        <w:proofErr w:type="spellStart"/>
        <w:r w:rsidRPr="00CC2C64">
          <w:rPr>
            <w:rStyle w:val="Hyperlink"/>
            <w:sz w:val="24"/>
            <w:lang w:val="bg-BG"/>
          </w:rPr>
          <w:t>Solidarity</w:t>
        </w:r>
        <w:proofErr w:type="spellEnd"/>
        <w:r w:rsidRPr="00CC2C64">
          <w:rPr>
            <w:rStyle w:val="Hyperlink"/>
            <w:sz w:val="24"/>
            <w:lang w:val="bg-BG"/>
          </w:rPr>
          <w:t xml:space="preserve"> – </w:t>
        </w:r>
        <w:proofErr w:type="spellStart"/>
        <w:r w:rsidRPr="00CC2C64">
          <w:rPr>
            <w:rStyle w:val="Hyperlink"/>
            <w:sz w:val="24"/>
            <w:lang w:val="bg-BG"/>
          </w:rPr>
          <w:t>Empowering</w:t>
        </w:r>
        <w:proofErr w:type="spellEnd"/>
        <w:r w:rsidRPr="00CC2C64">
          <w:rPr>
            <w:rStyle w:val="Hyperlink"/>
            <w:sz w:val="24"/>
            <w:lang w:val="bg-BG"/>
          </w:rPr>
          <w:t xml:space="preserve"> </w:t>
        </w:r>
        <w:proofErr w:type="spellStart"/>
        <w:r w:rsidRPr="00CC2C64">
          <w:rPr>
            <w:rStyle w:val="Hyperlink"/>
            <w:sz w:val="24"/>
            <w:lang w:val="bg-BG"/>
          </w:rPr>
          <w:t>the</w:t>
        </w:r>
        <w:proofErr w:type="spellEnd"/>
        <w:r w:rsidRPr="00CC2C64">
          <w:rPr>
            <w:rStyle w:val="Hyperlink"/>
            <w:sz w:val="24"/>
            <w:lang w:val="bg-BG"/>
          </w:rPr>
          <w:t xml:space="preserve"> </w:t>
        </w:r>
        <w:proofErr w:type="spellStart"/>
        <w:r w:rsidRPr="00CC2C64">
          <w:rPr>
            <w:rStyle w:val="Hyperlink"/>
            <w:sz w:val="24"/>
            <w:lang w:val="bg-BG"/>
          </w:rPr>
          <w:t>Single</w:t>
        </w:r>
        <w:proofErr w:type="spellEnd"/>
        <w:r w:rsidRPr="00CC2C64">
          <w:rPr>
            <w:rStyle w:val="Hyperlink"/>
            <w:sz w:val="24"/>
            <w:lang w:val="bg-BG"/>
          </w:rPr>
          <w:t xml:space="preserve"> Market </w:t>
        </w:r>
        <w:proofErr w:type="spellStart"/>
        <w:r w:rsidRPr="00CC2C64">
          <w:rPr>
            <w:rStyle w:val="Hyperlink"/>
            <w:sz w:val="24"/>
            <w:lang w:val="bg-BG"/>
          </w:rPr>
          <w:t>to</w:t>
        </w:r>
        <w:proofErr w:type="spellEnd"/>
        <w:r w:rsidRPr="00CC2C64">
          <w:rPr>
            <w:rStyle w:val="Hyperlink"/>
            <w:sz w:val="24"/>
            <w:lang w:val="bg-BG"/>
          </w:rPr>
          <w:t xml:space="preserve"> </w:t>
        </w:r>
        <w:proofErr w:type="spellStart"/>
        <w:r w:rsidRPr="00CC2C64">
          <w:rPr>
            <w:rStyle w:val="Hyperlink"/>
            <w:sz w:val="24"/>
            <w:lang w:val="bg-BG"/>
          </w:rPr>
          <w:t>deliver</w:t>
        </w:r>
        <w:proofErr w:type="spellEnd"/>
        <w:r w:rsidRPr="00CC2C64">
          <w:rPr>
            <w:rStyle w:val="Hyperlink"/>
            <w:sz w:val="24"/>
            <w:lang w:val="bg-BG"/>
          </w:rPr>
          <w:t xml:space="preserve"> a </w:t>
        </w:r>
        <w:proofErr w:type="spellStart"/>
        <w:r w:rsidRPr="00CC2C64">
          <w:rPr>
            <w:rStyle w:val="Hyperlink"/>
            <w:sz w:val="24"/>
            <w:lang w:val="bg-BG"/>
          </w:rPr>
          <w:t>sustainable</w:t>
        </w:r>
        <w:proofErr w:type="spellEnd"/>
        <w:r w:rsidRPr="00CC2C64">
          <w:rPr>
            <w:rStyle w:val="Hyperlink"/>
            <w:sz w:val="24"/>
            <w:lang w:val="bg-BG"/>
          </w:rPr>
          <w:t xml:space="preserve"> </w:t>
        </w:r>
        <w:proofErr w:type="spellStart"/>
        <w:r w:rsidRPr="00CC2C64">
          <w:rPr>
            <w:rStyle w:val="Hyperlink"/>
            <w:sz w:val="24"/>
            <w:lang w:val="bg-BG"/>
          </w:rPr>
          <w:t>future</w:t>
        </w:r>
        <w:proofErr w:type="spellEnd"/>
        <w:r w:rsidRPr="00CC2C64">
          <w:rPr>
            <w:rStyle w:val="Hyperlink"/>
            <w:sz w:val="24"/>
            <w:lang w:val="bg-BG"/>
          </w:rPr>
          <w:t xml:space="preserve"> </w:t>
        </w:r>
        <w:proofErr w:type="spellStart"/>
        <w:r w:rsidRPr="00CC2C64">
          <w:rPr>
            <w:rStyle w:val="Hyperlink"/>
            <w:sz w:val="24"/>
            <w:lang w:val="bg-BG"/>
          </w:rPr>
          <w:t>and</w:t>
        </w:r>
        <w:proofErr w:type="spellEnd"/>
        <w:r w:rsidRPr="00CC2C64">
          <w:rPr>
            <w:rStyle w:val="Hyperlink"/>
            <w:sz w:val="24"/>
            <w:lang w:val="bg-BG"/>
          </w:rPr>
          <w:t xml:space="preserve"> </w:t>
        </w:r>
        <w:proofErr w:type="spellStart"/>
        <w:r w:rsidRPr="00CC2C64">
          <w:rPr>
            <w:rStyle w:val="Hyperlink"/>
            <w:sz w:val="24"/>
            <w:lang w:val="bg-BG"/>
          </w:rPr>
          <w:t>prosperity</w:t>
        </w:r>
        <w:proofErr w:type="spellEnd"/>
        <w:r w:rsidRPr="00CC2C64">
          <w:rPr>
            <w:rStyle w:val="Hyperlink"/>
            <w:sz w:val="24"/>
            <w:lang w:val="bg-BG"/>
          </w:rPr>
          <w:t xml:space="preserve"> </w:t>
        </w:r>
        <w:proofErr w:type="spellStart"/>
        <w:r w:rsidRPr="00CC2C64">
          <w:rPr>
            <w:rStyle w:val="Hyperlink"/>
            <w:sz w:val="24"/>
            <w:lang w:val="bg-BG"/>
          </w:rPr>
          <w:t>for</w:t>
        </w:r>
        <w:proofErr w:type="spellEnd"/>
        <w:r w:rsidRPr="00CC2C64">
          <w:rPr>
            <w:rStyle w:val="Hyperlink"/>
            <w:sz w:val="24"/>
            <w:lang w:val="bg-BG"/>
          </w:rPr>
          <w:t xml:space="preserve"> </w:t>
        </w:r>
        <w:proofErr w:type="spellStart"/>
        <w:r w:rsidRPr="00CC2C64">
          <w:rPr>
            <w:rStyle w:val="Hyperlink"/>
            <w:sz w:val="24"/>
            <w:lang w:val="bg-BG"/>
          </w:rPr>
          <w:t>all</w:t>
        </w:r>
        <w:proofErr w:type="spellEnd"/>
        <w:r w:rsidRPr="00CC2C64">
          <w:rPr>
            <w:rStyle w:val="Hyperlink"/>
            <w:sz w:val="24"/>
            <w:lang w:val="bg-BG"/>
          </w:rPr>
          <w:t xml:space="preserve"> EU </w:t>
        </w:r>
        <w:proofErr w:type="spellStart"/>
        <w:r w:rsidRPr="00CC2C64">
          <w:rPr>
            <w:rStyle w:val="Hyperlink"/>
            <w:sz w:val="24"/>
            <w:lang w:val="bg-BG"/>
          </w:rPr>
          <w:t>Citizens</w:t>
        </w:r>
        <w:proofErr w:type="spellEnd"/>
      </w:hyperlink>
      <w:r w:rsidRPr="00CC2C64">
        <w:rPr>
          <w:sz w:val="24"/>
          <w:lang w:val="bg-BG"/>
        </w:rPr>
        <w:t xml:space="preserve"> („Много повече от пазар – Бързина, сигурност, солидарност – Създаване на възможности на единния пазар за постигане на устойчиво бъдеще и просперитет за всички граждани на ЕС“), април 2024 г.</w:t>
      </w:r>
    </w:p>
  </w:footnote>
  <w:footnote w:id="5">
    <w:p w14:paraId="5DFD5F4C" w14:textId="66669B7D"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ОВ L 277, 27.10.2022 г., стр. </w:t>
      </w:r>
      <w:r w:rsidRPr="00CC2C64">
        <w:rPr>
          <w:sz w:val="24"/>
          <w:lang w:val="bg-BG"/>
        </w:rPr>
        <w:t>1, ELI: </w:t>
      </w:r>
      <w:hyperlink r:id="rId5" w:tooltip="Предоставя достъп до този документ чрез неговия унифициран идентификатор на ресурс ELI URI." w:history="1">
        <w:r w:rsidRPr="00CC2C64">
          <w:rPr>
            <w:rStyle w:val="Hyperlink"/>
            <w:sz w:val="24"/>
            <w:lang w:val="bg-BG"/>
          </w:rPr>
          <w:t>http://data.europa.eu/eli/reg/2022/2065/oj</w:t>
        </w:r>
      </w:hyperlink>
      <w:r w:rsidRPr="00CC2C64">
        <w:rPr>
          <w:sz w:val="24"/>
          <w:lang w:val="bg-BG"/>
        </w:rPr>
        <w:t>.</w:t>
      </w:r>
    </w:p>
  </w:footnote>
  <w:footnote w:id="6">
    <w:p w14:paraId="5C3DC099" w14:textId="752FF471"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ОВ L 265, 12.10.2022 г., стр. </w:t>
      </w:r>
      <w:r w:rsidRPr="00CC2C64">
        <w:rPr>
          <w:sz w:val="24"/>
          <w:lang w:val="bg-BG"/>
        </w:rPr>
        <w:t>1, ELI: </w:t>
      </w:r>
      <w:hyperlink r:id="rId6" w:tooltip="Предоставя достъп до този документ чрез неговия унифициран идентификатор на ресурс ELI URI." w:history="1">
        <w:r w:rsidRPr="00CC2C64">
          <w:rPr>
            <w:rStyle w:val="Hyperlink"/>
            <w:sz w:val="24"/>
            <w:lang w:val="bg-BG"/>
          </w:rPr>
          <w:t>http://data.europa.eu/eli/reg/2022/1925/oj</w:t>
        </w:r>
      </w:hyperlink>
      <w:r w:rsidRPr="00CC2C64">
        <w:rPr>
          <w:sz w:val="24"/>
          <w:lang w:val="bg-BG"/>
        </w:rPr>
        <w:t>.</w:t>
      </w:r>
    </w:p>
  </w:footnote>
  <w:footnote w:id="7">
    <w:p w14:paraId="48128D31" w14:textId="5894C077"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ОВ L 135, 23.5.2023 г., стр. </w:t>
      </w:r>
      <w:r w:rsidRPr="00CC2C64">
        <w:rPr>
          <w:sz w:val="24"/>
          <w:lang w:val="bg-BG"/>
        </w:rPr>
        <w:t>1, ELI: </w:t>
      </w:r>
      <w:hyperlink r:id="rId7" w:tooltip="Предоставя достъп до този документ чрез неговия унифициран идентификатор на ресурс ELI URI." w:history="1">
        <w:r w:rsidRPr="00CC2C64">
          <w:rPr>
            <w:rStyle w:val="Hyperlink"/>
            <w:sz w:val="24"/>
            <w:lang w:val="bg-BG"/>
          </w:rPr>
          <w:t>http://data.europa.eu/eli/reg/2023/988/oj</w:t>
        </w:r>
      </w:hyperlink>
      <w:r w:rsidRPr="00CC2C64">
        <w:rPr>
          <w:sz w:val="24"/>
          <w:lang w:val="bg-BG"/>
        </w:rPr>
        <w:t>.</w:t>
      </w:r>
    </w:p>
  </w:footnote>
  <w:footnote w:id="8">
    <w:p w14:paraId="0ABF61F4" w14:textId="233DE5C1"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 xml:space="preserve">OВ L 169, 25.6.2019 г., стр. </w:t>
      </w:r>
      <w:r w:rsidRPr="00CC2C64">
        <w:rPr>
          <w:sz w:val="24"/>
          <w:lang w:val="bg-BG"/>
        </w:rPr>
        <w:t>1, ELI: </w:t>
      </w:r>
      <w:hyperlink r:id="rId8" w:tooltip="Предоставя достъп до този документ чрез неговия унифициран идентификатор на ресурс ELI URI." w:history="1">
        <w:r w:rsidRPr="00CC2C64">
          <w:rPr>
            <w:rStyle w:val="Hyperlink"/>
            <w:sz w:val="24"/>
            <w:lang w:val="bg-BG"/>
          </w:rPr>
          <w:t>http://data.europa.eu/eli/reg/2019/1020/oj</w:t>
        </w:r>
      </w:hyperlink>
      <w:r w:rsidRPr="00CC2C64">
        <w:rPr>
          <w:sz w:val="24"/>
          <w:lang w:val="bg-BG"/>
        </w:rPr>
        <w:t>.</w:t>
      </w:r>
    </w:p>
  </w:footnote>
  <w:footnote w:id="9">
    <w:p w14:paraId="6B1D7640" w14:textId="6251C253"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OВ L, 2024/2853, 18.11.2024 г., ELI: </w:t>
      </w:r>
      <w:hyperlink r:id="rId9" w:tgtFrame="_blank" w:tooltip="Предоставя достъп до този документ чрез неговия унифициран идентификатор на ресурс ELI URI." w:history="1">
        <w:r w:rsidRPr="00CC2C64">
          <w:rPr>
            <w:rStyle w:val="Hyperlink"/>
            <w:sz w:val="24"/>
            <w:lang w:val="bg-BG"/>
          </w:rPr>
          <w:t>http://data.europa.eu/eli/dir/2024/2853/o</w:t>
        </w:r>
      </w:hyperlink>
      <w:r w:rsidRPr="00CC2C64">
        <w:rPr>
          <w:sz w:val="24"/>
          <w:lang w:val="bg-BG"/>
        </w:rPr>
        <w:t>j.</w:t>
      </w:r>
    </w:p>
  </w:footnote>
  <w:footnote w:id="10">
    <w:p w14:paraId="644E6052" w14:textId="0205490B" w:rsidR="001A09F7" w:rsidRPr="00CC2C64" w:rsidRDefault="001A09F7" w:rsidP="00CC2C64">
      <w:pPr>
        <w:pStyle w:val="FootnoteText"/>
        <w:ind w:left="567" w:hanging="567"/>
        <w:rPr>
          <w:sz w:val="24"/>
          <w:lang w:val="bg-BG"/>
        </w:rPr>
      </w:pPr>
      <w:r w:rsidRPr="00CC2C64">
        <w:rPr>
          <w:rStyle w:val="FootnoteReference"/>
          <w:sz w:val="24"/>
          <w:lang w:val="bg-BG"/>
        </w:rPr>
        <w:footnoteRef/>
      </w:r>
      <w:r w:rsidR="00CC2C64" w:rsidRPr="00CC2C64">
        <w:rPr>
          <w:sz w:val="24"/>
          <w:lang w:val="bg-BG"/>
        </w:rPr>
        <w:t xml:space="preserve"> </w:t>
      </w:r>
      <w:r w:rsidR="00CC2C64" w:rsidRPr="00CC2C64">
        <w:rPr>
          <w:sz w:val="24"/>
          <w:lang w:val="bg-BG"/>
        </w:rPr>
        <w:tab/>
      </w:r>
      <w:r w:rsidRPr="00CC2C64">
        <w:rPr>
          <w:sz w:val="24"/>
          <w:lang w:val="bg-BG"/>
        </w:rPr>
        <w:t>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(ОВ L 345, 27.12.2017 г., стр. </w:t>
      </w:r>
      <w:r w:rsidRPr="00CC2C64">
        <w:rPr>
          <w:sz w:val="24"/>
          <w:lang w:val="bg-BG"/>
        </w:rPr>
        <w:t>1, ELI: </w:t>
      </w:r>
      <w:hyperlink r:id="rId10" w:tooltip="Предоставя достъп до този документ чрез неговия унифициран идентификатор на ресурс ELI URI." w:history="1">
        <w:r w:rsidRPr="00CC2C64">
          <w:rPr>
            <w:rStyle w:val="Hyperlink"/>
            <w:sz w:val="24"/>
            <w:lang w:val="bg-BG"/>
          </w:rPr>
          <w:t>http://data.europa.eu/eli/reg/2017/2394/oj</w:t>
        </w:r>
      </w:hyperlink>
      <w:r w:rsidRPr="00CC2C64">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1D73" w14:textId="77777777" w:rsidR="00064002" w:rsidRPr="00CC2C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5F61" w14:textId="77777777" w:rsidR="00064002" w:rsidRPr="00CC2C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E30E0" w14:textId="77777777" w:rsidR="00064002" w:rsidRPr="00CC2C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4803872">
    <w:abstractNumId w:val="9"/>
  </w:num>
  <w:num w:numId="2" w16cid:durableId="694117921">
    <w:abstractNumId w:val="9"/>
  </w:num>
  <w:num w:numId="3" w16cid:durableId="939146489">
    <w:abstractNumId w:val="7"/>
  </w:num>
  <w:num w:numId="4" w16cid:durableId="617562351">
    <w:abstractNumId w:val="7"/>
  </w:num>
  <w:num w:numId="5" w16cid:durableId="1082801430">
    <w:abstractNumId w:val="6"/>
  </w:num>
  <w:num w:numId="6" w16cid:durableId="56242362">
    <w:abstractNumId w:val="6"/>
  </w:num>
  <w:num w:numId="7" w16cid:durableId="430244481">
    <w:abstractNumId w:val="5"/>
  </w:num>
  <w:num w:numId="8" w16cid:durableId="1668708909">
    <w:abstractNumId w:val="5"/>
  </w:num>
  <w:num w:numId="9" w16cid:durableId="1341851977">
    <w:abstractNumId w:val="4"/>
  </w:num>
  <w:num w:numId="10" w16cid:durableId="161624451">
    <w:abstractNumId w:val="4"/>
  </w:num>
  <w:num w:numId="11" w16cid:durableId="1102147122">
    <w:abstractNumId w:val="8"/>
  </w:num>
  <w:num w:numId="12" w16cid:durableId="2032799204">
    <w:abstractNumId w:val="8"/>
  </w:num>
  <w:num w:numId="13" w16cid:durableId="1778478410">
    <w:abstractNumId w:val="3"/>
  </w:num>
  <w:num w:numId="14" w16cid:durableId="2059628059">
    <w:abstractNumId w:val="3"/>
  </w:num>
  <w:num w:numId="15" w16cid:durableId="1479690050">
    <w:abstractNumId w:val="2"/>
  </w:num>
  <w:num w:numId="16" w16cid:durableId="1128280091">
    <w:abstractNumId w:val="2"/>
  </w:num>
  <w:num w:numId="17" w16cid:durableId="775171561">
    <w:abstractNumId w:val="1"/>
  </w:num>
  <w:num w:numId="18" w16cid:durableId="876509436">
    <w:abstractNumId w:val="1"/>
  </w:num>
  <w:num w:numId="19" w16cid:durableId="899248491">
    <w:abstractNumId w:val="0"/>
  </w:num>
  <w:num w:numId="20" w16cid:durableId="1182663924">
    <w:abstractNumId w:val="0"/>
  </w:num>
  <w:num w:numId="21" w16cid:durableId="146438137">
    <w:abstractNumId w:val="9"/>
  </w:num>
  <w:num w:numId="22" w16cid:durableId="1668091221">
    <w:abstractNumId w:val="7"/>
  </w:num>
  <w:num w:numId="23" w16cid:durableId="1372657162">
    <w:abstractNumId w:val="6"/>
  </w:num>
  <w:num w:numId="24" w16cid:durableId="1977294715">
    <w:abstractNumId w:val="5"/>
  </w:num>
  <w:num w:numId="25" w16cid:durableId="3365146">
    <w:abstractNumId w:val="4"/>
  </w:num>
  <w:num w:numId="26" w16cid:durableId="459883399">
    <w:abstractNumId w:val="8"/>
  </w:num>
  <w:num w:numId="27" w16cid:durableId="876161031">
    <w:abstractNumId w:val="3"/>
  </w:num>
  <w:num w:numId="28" w16cid:durableId="440342664">
    <w:abstractNumId w:val="2"/>
  </w:num>
  <w:num w:numId="29" w16cid:durableId="1620065741">
    <w:abstractNumId w:val="1"/>
  </w:num>
  <w:num w:numId="30" w16cid:durableId="683288107">
    <w:abstractNumId w:val="0"/>
  </w:num>
  <w:num w:numId="31" w16cid:durableId="152333804">
    <w:abstractNumId w:val="9"/>
  </w:num>
  <w:num w:numId="32" w16cid:durableId="769742989">
    <w:abstractNumId w:val="7"/>
  </w:num>
  <w:num w:numId="33" w16cid:durableId="2088839409">
    <w:abstractNumId w:val="6"/>
  </w:num>
  <w:num w:numId="34" w16cid:durableId="322856945">
    <w:abstractNumId w:val="5"/>
  </w:num>
  <w:num w:numId="35" w16cid:durableId="1615552893">
    <w:abstractNumId w:val="4"/>
  </w:num>
  <w:num w:numId="36" w16cid:durableId="910506317">
    <w:abstractNumId w:val="8"/>
  </w:num>
  <w:num w:numId="37" w16cid:durableId="662929061">
    <w:abstractNumId w:val="3"/>
  </w:num>
  <w:num w:numId="38" w16cid:durableId="2022589381">
    <w:abstractNumId w:val="2"/>
  </w:num>
  <w:num w:numId="39" w16cid:durableId="1555892833">
    <w:abstractNumId w:val="1"/>
  </w:num>
  <w:num w:numId="40" w16cid:durableId="1482386178">
    <w:abstractNumId w:val="0"/>
  </w:num>
  <w:num w:numId="41" w16cid:durableId="2097701590">
    <w:abstractNumId w:val="10"/>
  </w:num>
  <w:num w:numId="42" w16cid:durableId="136655236">
    <w:abstractNumId w:val="10"/>
  </w:num>
  <w:num w:numId="43" w16cid:durableId="1193810301">
    <w:abstractNumId w:val="10"/>
  </w:num>
  <w:num w:numId="44" w16cid:durableId="254679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BG"/>
    <w:docVar w:name="dvnumam" w:val="0"/>
    <w:docVar w:name="dvpe" w:val="778.971"/>
    <w:docVar w:name="dvtitre" w:val="Резолюция на Европейския парламент от ... 2025 г. относно защитата на потребителите в ЕС срещу практиките на някои платформи за електронна търговия: случаят на наподобяващи деца секс кукли, оръжия и други незаконни продукти и материали(2025/2971(RSP))"/>
  </w:docVars>
  <w:rsids>
    <w:rsidRoot w:val="003F5BB8"/>
    <w:rsid w:val="00002272"/>
    <w:rsid w:val="00064002"/>
    <w:rsid w:val="000677B9"/>
    <w:rsid w:val="000831BA"/>
    <w:rsid w:val="000A42CC"/>
    <w:rsid w:val="000D07D2"/>
    <w:rsid w:val="000E7DD9"/>
    <w:rsid w:val="0010095E"/>
    <w:rsid w:val="00125B37"/>
    <w:rsid w:val="00187494"/>
    <w:rsid w:val="001A09F7"/>
    <w:rsid w:val="001F32AE"/>
    <w:rsid w:val="002767FF"/>
    <w:rsid w:val="002B18FE"/>
    <w:rsid w:val="002B5493"/>
    <w:rsid w:val="003129DF"/>
    <w:rsid w:val="00343214"/>
    <w:rsid w:val="00361C00"/>
    <w:rsid w:val="00395FA1"/>
    <w:rsid w:val="003E15D4"/>
    <w:rsid w:val="003F5BB8"/>
    <w:rsid w:val="00411CCE"/>
    <w:rsid w:val="0041666E"/>
    <w:rsid w:val="00421060"/>
    <w:rsid w:val="00427DA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AC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2DC"/>
    <w:rsid w:val="00BD48FE"/>
    <w:rsid w:val="00BD7BD8"/>
    <w:rsid w:val="00BE6ADC"/>
    <w:rsid w:val="00C05BFE"/>
    <w:rsid w:val="00C23CD4"/>
    <w:rsid w:val="00C61C0C"/>
    <w:rsid w:val="00C941CB"/>
    <w:rsid w:val="00CB6469"/>
    <w:rsid w:val="00CC2357"/>
    <w:rsid w:val="00CC2C64"/>
    <w:rsid w:val="00CF071A"/>
    <w:rsid w:val="00D058B8"/>
    <w:rsid w:val="00D56C11"/>
    <w:rsid w:val="00D82BAC"/>
    <w:rsid w:val="00D834A0"/>
    <w:rsid w:val="00D872DF"/>
    <w:rsid w:val="00D91E21"/>
    <w:rsid w:val="00DA7FCD"/>
    <w:rsid w:val="00E365E1"/>
    <w:rsid w:val="00E820A4"/>
    <w:rsid w:val="00EB006A"/>
    <w:rsid w:val="00EB4772"/>
    <w:rsid w:val="00EB5698"/>
    <w:rsid w:val="00ED169E"/>
    <w:rsid w:val="00ED4235"/>
    <w:rsid w:val="00EE293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8D1D1"/>
  <w15:chartTrackingRefBased/>
  <w15:docId w15:val="{9B933D6D-A235-4DEE-9DBA-FC4598CB8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09F7"/>
    <w:pPr>
      <w:spacing w:before="480" w:after="240"/>
    </w:pPr>
  </w:style>
  <w:style w:type="paragraph" w:customStyle="1" w:styleId="NormalHanging12a">
    <w:name w:val="NormalHanging12a"/>
    <w:basedOn w:val="Normal"/>
    <w:link w:val="NormalHanging12aChar"/>
    <w:rsid w:val="001A09F7"/>
    <w:pPr>
      <w:spacing w:after="240"/>
      <w:ind w:left="567" w:hanging="567"/>
    </w:pPr>
  </w:style>
  <w:style w:type="character" w:styleId="Hyperlink">
    <w:name w:val="Hyperlink"/>
    <w:basedOn w:val="DefaultParagraphFont"/>
    <w:unhideWhenUsed/>
    <w:rsid w:val="001A09F7"/>
    <w:rPr>
      <w:color w:val="0563C1" w:themeColor="hyperlink"/>
      <w:u w:val="single"/>
    </w:rPr>
  </w:style>
  <w:style w:type="character" w:customStyle="1" w:styleId="NormalHanging12aChar">
    <w:name w:val="NormalHanging12a Char"/>
    <w:basedOn w:val="DefaultParagraphFont"/>
    <w:link w:val="NormalHanging12a"/>
    <w:rsid w:val="001A09F7"/>
    <w:rPr>
      <w:sz w:val="24"/>
      <w:lang w:val="bg-BG"/>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1A09F7"/>
    <w:pPr>
      <w:widowControl/>
      <w:spacing w:after="160" w:line="240" w:lineRule="exact"/>
    </w:pPr>
    <w:rPr>
      <w:sz w:val="20"/>
      <w:vertAlign w:val="superscript"/>
      <w:lang w:val="en-GB"/>
    </w:rPr>
  </w:style>
  <w:style w:type="paragraph" w:styleId="Revision">
    <w:name w:val="Revision"/>
    <w:hidden/>
    <w:uiPriority w:val="99"/>
    <w:semiHidden/>
    <w:rsid w:val="000D07D2"/>
    <w:rPr>
      <w:sz w:val="24"/>
      <w:lang w:val="bg-BG"/>
    </w:rPr>
  </w:style>
  <w:style w:type="character" w:styleId="CommentReference">
    <w:name w:val="annotation reference"/>
    <w:basedOn w:val="DefaultParagraphFont"/>
    <w:rsid w:val="00CB6469"/>
    <w:rPr>
      <w:sz w:val="16"/>
      <w:szCs w:val="16"/>
    </w:rPr>
  </w:style>
  <w:style w:type="paragraph" w:styleId="CommentText">
    <w:name w:val="annotation text"/>
    <w:basedOn w:val="Normal"/>
    <w:link w:val="CommentTextChar"/>
    <w:rsid w:val="00CB6469"/>
    <w:rPr>
      <w:sz w:val="20"/>
    </w:rPr>
  </w:style>
  <w:style w:type="character" w:customStyle="1" w:styleId="CommentTextChar">
    <w:name w:val="Comment Text Char"/>
    <w:basedOn w:val="DefaultParagraphFont"/>
    <w:link w:val="CommentText"/>
    <w:rsid w:val="00CB6469"/>
    <w:rPr>
      <w:lang w:val="bg-BG"/>
    </w:rPr>
  </w:style>
  <w:style w:type="paragraph" w:styleId="CommentSubject">
    <w:name w:val="annotation subject"/>
    <w:basedOn w:val="CommentText"/>
    <w:next w:val="CommentText"/>
    <w:link w:val="CommentSubjectChar"/>
    <w:rsid w:val="00CB6469"/>
    <w:rPr>
      <w:b/>
      <w:bCs/>
    </w:rPr>
  </w:style>
  <w:style w:type="character" w:customStyle="1" w:styleId="CommentSubjectChar">
    <w:name w:val="Comment Subject Char"/>
    <w:basedOn w:val="CommentTextChar"/>
    <w:link w:val="CommentSubject"/>
    <w:rsid w:val="00CB6469"/>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3983</Words>
  <Characters>23875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2025-11-26T14:26:00Z</dcterms:created>
  <dcterms:modified xsi:type="dcterms:W3CDTF">2025-11-26T14:26:00Z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B10-0500/2025</vt:lpwstr>
  </property>
  <property fmtid="{D5CDD505-2E9C-101B-9397-08002B2CF9AE}" pid="4" name="&lt;Type&gt;">
    <vt:lpwstr>RR</vt:lpwstr>
  </property>
</Properties>
</file>