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5CAC" w14:paraId="1D2A791F" w14:textId="77777777" w:rsidTr="0010095E">
        <w:trPr>
          <w:trHeight w:hRule="exact" w:val="1418"/>
        </w:trPr>
        <w:tc>
          <w:tcPr>
            <w:tcW w:w="6804" w:type="dxa"/>
            <w:shd w:val="clear" w:color="auto" w:fill="auto"/>
            <w:vAlign w:val="center"/>
          </w:tcPr>
          <w:p w14:paraId="6CD96F0D" w14:textId="4ECB18FC" w:rsidR="00751A4A" w:rsidRPr="000B5CAC" w:rsidRDefault="00FC1279" w:rsidP="0010095E">
            <w:pPr>
              <w:pStyle w:val="EPName"/>
            </w:pPr>
            <w:r w:rsidRPr="000B5CAC">
              <w:t>Evropský parlament</w:t>
            </w:r>
          </w:p>
          <w:p w14:paraId="6C8645C6" w14:textId="77777777" w:rsidR="00751A4A" w:rsidRPr="000B5CAC" w:rsidRDefault="005F1B17" w:rsidP="005F1B17">
            <w:pPr>
              <w:pStyle w:val="EPTerm"/>
              <w:rPr>
                <w:rStyle w:val="HideTWBExt"/>
                <w:noProof w:val="0"/>
                <w:vanish w:val="0"/>
                <w:color w:val="auto"/>
              </w:rPr>
            </w:pPr>
            <w:r w:rsidRPr="000B5CAC">
              <w:t>2024</w:t>
            </w:r>
            <w:r w:rsidR="00817416" w:rsidRPr="000B5CAC">
              <w:t>-202</w:t>
            </w:r>
            <w:r w:rsidRPr="000B5CAC">
              <w:t>9</w:t>
            </w:r>
          </w:p>
        </w:tc>
        <w:tc>
          <w:tcPr>
            <w:tcW w:w="2268" w:type="dxa"/>
            <w:shd w:val="clear" w:color="auto" w:fill="auto"/>
          </w:tcPr>
          <w:p w14:paraId="762FA71A" w14:textId="77777777" w:rsidR="00751A4A" w:rsidRPr="000B5CAC" w:rsidRDefault="00187494" w:rsidP="0010095E">
            <w:pPr>
              <w:pStyle w:val="EPLogo"/>
            </w:pPr>
            <w:r w:rsidRPr="000B5CAC">
              <w:rPr>
                <w:noProof/>
                <w:lang w:eastAsia="ja-JP"/>
              </w:rPr>
              <w:drawing>
                <wp:inline distT="0" distB="0" distL="0" distR="0" wp14:anchorId="5ACE3185" wp14:editId="334EA9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756AAA" w14:textId="77777777" w:rsidR="00D058B8" w:rsidRPr="000B5CAC" w:rsidRDefault="00D058B8" w:rsidP="004C5D52">
      <w:pPr>
        <w:pStyle w:val="LineTop"/>
      </w:pPr>
    </w:p>
    <w:p w14:paraId="1089AB6A" w14:textId="38700C51" w:rsidR="00680577" w:rsidRPr="000B5CAC" w:rsidRDefault="00FC1279" w:rsidP="00680577">
      <w:pPr>
        <w:pStyle w:val="EPBodyTA1"/>
      </w:pPr>
      <w:r w:rsidRPr="000B5CAC">
        <w:t>PŘIJATÉ TEXTY</w:t>
      </w:r>
    </w:p>
    <w:p w14:paraId="0C81C912" w14:textId="77777777" w:rsidR="00D058B8" w:rsidRPr="000B5CAC" w:rsidRDefault="00D058B8" w:rsidP="00D058B8">
      <w:pPr>
        <w:pStyle w:val="LineBottom"/>
      </w:pPr>
    </w:p>
    <w:p w14:paraId="6B171754" w14:textId="2F3CDC5D" w:rsidR="00FC1279" w:rsidRPr="000B5CAC" w:rsidRDefault="00FC1279" w:rsidP="00FC1279">
      <w:pPr>
        <w:pStyle w:val="ATHeading1"/>
      </w:pPr>
      <w:bookmarkStart w:id="0" w:name="TANumber"/>
      <w:r w:rsidRPr="000B5CAC">
        <w:t>P10_</w:t>
      </w:r>
      <w:proofErr w:type="gramStart"/>
      <w:r w:rsidRPr="000B5CAC">
        <w:t>TA(</w:t>
      </w:r>
      <w:proofErr w:type="gramEnd"/>
      <w:r w:rsidRPr="000B5CAC">
        <w:t>2025)0</w:t>
      </w:r>
      <w:r w:rsidR="00F96C80">
        <w:t>3</w:t>
      </w:r>
      <w:r w:rsidRPr="000B5CAC">
        <w:t>0</w:t>
      </w:r>
      <w:r w:rsidR="00F96C80">
        <w:t>1</w:t>
      </w:r>
      <w:bookmarkEnd w:id="0"/>
    </w:p>
    <w:p w14:paraId="388E89A2" w14:textId="77777777" w:rsidR="00FC1279" w:rsidRPr="000B5CAC" w:rsidRDefault="00FC1279" w:rsidP="00FC1279">
      <w:pPr>
        <w:pStyle w:val="ATHeading2"/>
      </w:pPr>
      <w:bookmarkStart w:id="1" w:name="title"/>
      <w:r w:rsidRPr="000B5CAC">
        <w:t>Ochrana spotřebitelů v EU před praktikami některých platforem elektronického obchodu: případ sexuálních panenek připomínajících děti, zbraní a dalších nelegálních výrobků a materiálů</w:t>
      </w:r>
      <w:bookmarkEnd w:id="1"/>
    </w:p>
    <w:p w14:paraId="5385D902" w14:textId="77777777" w:rsidR="00FC1279" w:rsidRPr="000B5CAC" w:rsidRDefault="00FC1279" w:rsidP="00FC1279">
      <w:pPr>
        <w:rPr>
          <w:i/>
          <w:vanish/>
        </w:rPr>
      </w:pPr>
      <w:r w:rsidRPr="000B5CAC">
        <w:rPr>
          <w:i/>
        </w:rPr>
        <w:fldChar w:fldCharType="begin"/>
      </w:r>
      <w:r w:rsidRPr="000B5CAC">
        <w:rPr>
          <w:i/>
        </w:rPr>
        <w:instrText xml:space="preserve"> TC"(</w:instrText>
      </w:r>
      <w:bookmarkStart w:id="2" w:name="DocNumber"/>
      <w:r w:rsidRPr="000B5CAC">
        <w:rPr>
          <w:i/>
        </w:rPr>
        <w:instrText>B10-0500/2025</w:instrText>
      </w:r>
      <w:bookmarkEnd w:id="2"/>
      <w:r w:rsidRPr="000B5CAC">
        <w:rPr>
          <w:i/>
        </w:rPr>
        <w:instrText xml:space="preserve">)"\l3 \n&gt; \* MERGEFORMAT </w:instrText>
      </w:r>
      <w:r w:rsidRPr="000B5CAC">
        <w:rPr>
          <w:i/>
        </w:rPr>
        <w:fldChar w:fldCharType="end"/>
      </w:r>
    </w:p>
    <w:p w14:paraId="3AE17855" w14:textId="77777777" w:rsidR="00FC1279" w:rsidRPr="000B5CAC" w:rsidRDefault="00FC1279" w:rsidP="00FC1279">
      <w:pPr>
        <w:rPr>
          <w:vanish/>
        </w:rPr>
      </w:pPr>
      <w:bookmarkStart w:id="3" w:name="PE"/>
      <w:r w:rsidRPr="000B5CAC">
        <w:rPr>
          <w:vanish/>
        </w:rPr>
        <w:t>PE778.971</w:t>
      </w:r>
      <w:bookmarkEnd w:id="3"/>
    </w:p>
    <w:p w14:paraId="393AF87E" w14:textId="77777777" w:rsidR="00FC1279" w:rsidRPr="000B5CAC" w:rsidRDefault="00FC1279" w:rsidP="00FC1279">
      <w:pPr>
        <w:pStyle w:val="ATHeading3"/>
      </w:pPr>
      <w:bookmarkStart w:id="4" w:name="Sujet"/>
      <w:r w:rsidRPr="000B5CAC">
        <w:t>Usnesení Evropského parlamentu ze dne 26. listopadu 2025 o ochraně spotřebitelů v EU před praktikami některých platforem elektronického obchodu: případ sexuálních panenek připomínajících děti, zbraní a dalších nelegálních výrobků a materiálů</w:t>
      </w:r>
      <w:bookmarkEnd w:id="4"/>
      <w:r w:rsidRPr="000B5CAC">
        <w:t xml:space="preserve"> </w:t>
      </w:r>
      <w:bookmarkStart w:id="5" w:name="References"/>
      <w:r w:rsidRPr="000B5CAC">
        <w:t>(2025/2971(RSP))</w:t>
      </w:r>
      <w:bookmarkEnd w:id="5"/>
    </w:p>
    <w:p w14:paraId="6C152A2C" w14:textId="77777777" w:rsidR="0045223C" w:rsidRPr="000B5CAC" w:rsidRDefault="0045223C" w:rsidP="0045223C">
      <w:pPr>
        <w:pStyle w:val="EPComma"/>
      </w:pPr>
      <w:bookmarkStart w:id="6" w:name="TextBodyBegin"/>
      <w:bookmarkEnd w:id="6"/>
      <w:r w:rsidRPr="000B5CAC">
        <w:rPr>
          <w:i/>
        </w:rPr>
        <w:t>Evropský parlament</w:t>
      </w:r>
      <w:r w:rsidRPr="000B5CAC">
        <w:t>,</w:t>
      </w:r>
    </w:p>
    <w:p w14:paraId="02FFCA62" w14:textId="77777777" w:rsidR="0045223C" w:rsidRPr="000B5CAC" w:rsidRDefault="0045223C" w:rsidP="000B5CAC">
      <w:pPr>
        <w:pStyle w:val="NormalHanging12a"/>
        <w:rPr>
          <w:szCs w:val="24"/>
        </w:rPr>
      </w:pPr>
      <w:r w:rsidRPr="000B5CAC">
        <w:t>–</w:t>
      </w:r>
      <w:r w:rsidRPr="000B5CAC">
        <w:tab/>
        <w:t>s ohledem na zprávu skupiny odborníků ze dne 31</w:t>
      </w:r>
      <w:r w:rsidRPr="000B5CAC">
        <w:rPr>
          <w:szCs w:val="24"/>
        </w:rPr>
        <w:t>. března 2022 o reformě celní unie EU nazvanou „Více unifikovat evropská cla: deset návrhů, jak připravit celní unii EU na geopolitickou Evropu“,</w:t>
      </w:r>
    </w:p>
    <w:p w14:paraId="2A03B066" w14:textId="77777777" w:rsidR="0045223C" w:rsidRPr="000B5CAC" w:rsidRDefault="0045223C" w:rsidP="000B5CAC">
      <w:pPr>
        <w:pStyle w:val="NormalHanging12a"/>
        <w:rPr>
          <w:szCs w:val="24"/>
        </w:rPr>
      </w:pPr>
      <w:r w:rsidRPr="000B5CAC">
        <w:rPr>
          <w:szCs w:val="24"/>
        </w:rPr>
        <w:t>–</w:t>
      </w:r>
      <w:r w:rsidRPr="000B5CAC">
        <w:rPr>
          <w:szCs w:val="24"/>
        </w:rPr>
        <w:tab/>
        <w:t>s ohledem na svůj postoj ze dne 13. března 2024 k návrhu nařízení Evropského parlamentu a Rady, kterým se stanoví celní kodex Unie a zřizuje Celní úřad Evropské unie a kterým se zrušuje nařízení (EU) č. 952/2013</w:t>
      </w:r>
      <w:r w:rsidRPr="000B5CAC">
        <w:rPr>
          <w:rStyle w:val="FootnoteReference"/>
          <w:szCs w:val="24"/>
        </w:rPr>
        <w:footnoteReference w:id="1"/>
      </w:r>
      <w:r w:rsidRPr="000B5CAC">
        <w:rPr>
          <w:szCs w:val="24"/>
        </w:rPr>
        <w:t>,</w:t>
      </w:r>
    </w:p>
    <w:p w14:paraId="6A9305A2" w14:textId="77777777" w:rsidR="0045223C" w:rsidRPr="000B5CAC" w:rsidRDefault="0045223C" w:rsidP="000B5CAC">
      <w:pPr>
        <w:pStyle w:val="NormalHanging12a"/>
        <w:rPr>
          <w:szCs w:val="24"/>
        </w:rPr>
      </w:pPr>
      <w:r w:rsidRPr="000B5CAC">
        <w:rPr>
          <w:szCs w:val="24"/>
        </w:rPr>
        <w:t>–</w:t>
      </w:r>
      <w:r w:rsidRPr="000B5CAC">
        <w:rPr>
          <w:szCs w:val="24"/>
        </w:rPr>
        <w:tab/>
        <w:t>s ohledem na sdělení Komise ze dne 5. února 2025 nazvané „Komplexní soubor nástrojů EU pro bezpečný a udržitelný elektronický obchod“ (</w:t>
      </w:r>
      <w:proofErr w:type="gramStart"/>
      <w:r w:rsidRPr="000B5CAC">
        <w:rPr>
          <w:szCs w:val="24"/>
        </w:rPr>
        <w:t>COM(</w:t>
      </w:r>
      <w:proofErr w:type="gramEnd"/>
      <w:r w:rsidRPr="000B5CAC">
        <w:rPr>
          <w:szCs w:val="24"/>
        </w:rPr>
        <w:t>2025)0037),</w:t>
      </w:r>
    </w:p>
    <w:p w14:paraId="254BFAC2" w14:textId="77777777" w:rsidR="0045223C" w:rsidRPr="000B5CAC" w:rsidRDefault="0045223C" w:rsidP="000B5CAC">
      <w:pPr>
        <w:pStyle w:val="NormalHanging12a"/>
        <w:rPr>
          <w:szCs w:val="24"/>
        </w:rPr>
      </w:pPr>
      <w:r w:rsidRPr="000B5CAC">
        <w:rPr>
          <w:szCs w:val="24"/>
        </w:rPr>
        <w:t>–</w:t>
      </w:r>
      <w:r w:rsidRPr="000B5CAC">
        <w:rPr>
          <w:szCs w:val="24"/>
        </w:rPr>
        <w:tab/>
        <w:t>s ohledem na nařízení Evropského parlamentu a Rady (EU) 2024/3015 ze dne 27. listopadu 2024, kterým se na trhu Unie zakazují produkty pocházející z nucené práce a kterým se mění směrnice (EU) 2019/1937</w:t>
      </w:r>
      <w:r w:rsidRPr="000B5CAC">
        <w:rPr>
          <w:rStyle w:val="FootnoteReference"/>
          <w:szCs w:val="24"/>
        </w:rPr>
        <w:footnoteReference w:id="2"/>
      </w:r>
      <w:r w:rsidRPr="000B5CAC">
        <w:rPr>
          <w:szCs w:val="24"/>
        </w:rPr>
        <w:t>,</w:t>
      </w:r>
    </w:p>
    <w:p w14:paraId="6EDFB552" w14:textId="65ECBD9B" w:rsidR="0045223C" w:rsidRPr="000B5CAC" w:rsidRDefault="0045223C" w:rsidP="000B5CAC">
      <w:pPr>
        <w:pStyle w:val="NormalHanging12a"/>
        <w:rPr>
          <w:szCs w:val="24"/>
        </w:rPr>
      </w:pPr>
      <w:r w:rsidRPr="000B5CAC">
        <w:rPr>
          <w:szCs w:val="24"/>
        </w:rPr>
        <w:t>–</w:t>
      </w:r>
      <w:r w:rsidRPr="000B5CAC">
        <w:rPr>
          <w:szCs w:val="24"/>
        </w:rPr>
        <w:tab/>
        <w:t>s ohledem na směrnici Evropského parlamentu a Rady (EU) 2024/1760 ze dne 13.</w:t>
      </w:r>
      <w:r w:rsidR="007E666A" w:rsidRPr="000B5CAC">
        <w:rPr>
          <w:szCs w:val="24"/>
        </w:rPr>
        <w:t> </w:t>
      </w:r>
      <w:r w:rsidRPr="000B5CAC">
        <w:rPr>
          <w:szCs w:val="24"/>
        </w:rPr>
        <w:t>června 2024 o náležité péči podniků v oblasti udržitelnosti a o změně směrnice (EU) 2019/1937 a nařízení (EU) 2023/2859</w:t>
      </w:r>
      <w:r w:rsidRPr="000B5CAC">
        <w:rPr>
          <w:rStyle w:val="FootnoteReference"/>
          <w:szCs w:val="24"/>
        </w:rPr>
        <w:footnoteReference w:id="3"/>
      </w:r>
      <w:r w:rsidRPr="000B5CAC">
        <w:rPr>
          <w:szCs w:val="24"/>
        </w:rPr>
        <w:t>,</w:t>
      </w:r>
    </w:p>
    <w:p w14:paraId="173C0A9F" w14:textId="77777777" w:rsidR="0045223C" w:rsidRPr="000B5CAC" w:rsidRDefault="0045223C" w:rsidP="000B5CAC">
      <w:pPr>
        <w:pStyle w:val="NormalHanging12a"/>
        <w:rPr>
          <w:szCs w:val="24"/>
        </w:rPr>
      </w:pPr>
      <w:r w:rsidRPr="000B5CAC">
        <w:rPr>
          <w:szCs w:val="24"/>
        </w:rPr>
        <w:t>–</w:t>
      </w:r>
      <w:r w:rsidRPr="000B5CAC">
        <w:rPr>
          <w:szCs w:val="24"/>
        </w:rPr>
        <w:tab/>
        <w:t xml:space="preserve">s ohledem na zprávu Enrica </w:t>
      </w:r>
      <w:proofErr w:type="spellStart"/>
      <w:r w:rsidRPr="000B5CAC">
        <w:rPr>
          <w:szCs w:val="24"/>
        </w:rPr>
        <w:t>Letty</w:t>
      </w:r>
      <w:proofErr w:type="spellEnd"/>
      <w:r w:rsidRPr="000B5CAC">
        <w:rPr>
          <w:szCs w:val="24"/>
        </w:rPr>
        <w:t xml:space="preserve"> z dubna 2024 „Much more </w:t>
      </w:r>
      <w:proofErr w:type="spellStart"/>
      <w:r w:rsidRPr="000B5CAC">
        <w:rPr>
          <w:szCs w:val="24"/>
        </w:rPr>
        <w:t>than</w:t>
      </w:r>
      <w:proofErr w:type="spellEnd"/>
      <w:r w:rsidRPr="000B5CAC">
        <w:rPr>
          <w:szCs w:val="24"/>
        </w:rPr>
        <w:t xml:space="preserve"> a market – Speed, </w:t>
      </w:r>
      <w:proofErr w:type="spellStart"/>
      <w:r w:rsidRPr="000B5CAC">
        <w:rPr>
          <w:szCs w:val="24"/>
        </w:rPr>
        <w:t>security</w:t>
      </w:r>
      <w:proofErr w:type="spellEnd"/>
      <w:r w:rsidRPr="000B5CAC">
        <w:rPr>
          <w:szCs w:val="24"/>
        </w:rPr>
        <w:t xml:space="preserve"> solidarity – </w:t>
      </w:r>
      <w:proofErr w:type="spellStart"/>
      <w:r w:rsidRPr="000B5CAC">
        <w:rPr>
          <w:szCs w:val="24"/>
        </w:rPr>
        <w:t>Empowering</w:t>
      </w:r>
      <w:proofErr w:type="spellEnd"/>
      <w:r w:rsidRPr="000B5CAC">
        <w:rPr>
          <w:szCs w:val="24"/>
        </w:rPr>
        <w:t xml:space="preserve"> </w:t>
      </w:r>
      <w:proofErr w:type="spellStart"/>
      <w:r w:rsidRPr="000B5CAC">
        <w:rPr>
          <w:szCs w:val="24"/>
        </w:rPr>
        <w:t>the</w:t>
      </w:r>
      <w:proofErr w:type="spellEnd"/>
      <w:r w:rsidRPr="000B5CAC">
        <w:rPr>
          <w:szCs w:val="24"/>
        </w:rPr>
        <w:t xml:space="preserve"> single market to </w:t>
      </w:r>
      <w:proofErr w:type="spellStart"/>
      <w:r w:rsidRPr="000B5CAC">
        <w:rPr>
          <w:szCs w:val="24"/>
        </w:rPr>
        <w:t>deliver</w:t>
      </w:r>
      <w:proofErr w:type="spellEnd"/>
      <w:r w:rsidRPr="000B5CAC">
        <w:rPr>
          <w:szCs w:val="24"/>
        </w:rPr>
        <w:t xml:space="preserve"> a </w:t>
      </w:r>
      <w:proofErr w:type="spellStart"/>
      <w:r w:rsidRPr="000B5CAC">
        <w:rPr>
          <w:szCs w:val="24"/>
        </w:rPr>
        <w:t>sustainable</w:t>
      </w:r>
      <w:proofErr w:type="spellEnd"/>
      <w:r w:rsidRPr="000B5CAC">
        <w:rPr>
          <w:szCs w:val="24"/>
        </w:rPr>
        <w:t xml:space="preserve"> </w:t>
      </w:r>
      <w:proofErr w:type="spellStart"/>
      <w:r w:rsidRPr="000B5CAC">
        <w:rPr>
          <w:szCs w:val="24"/>
        </w:rPr>
        <w:t>future</w:t>
      </w:r>
      <w:proofErr w:type="spellEnd"/>
      <w:r w:rsidRPr="000B5CAC">
        <w:rPr>
          <w:szCs w:val="24"/>
        </w:rPr>
        <w:t xml:space="preserve"> and prosperity </w:t>
      </w:r>
      <w:proofErr w:type="spellStart"/>
      <w:r w:rsidRPr="000B5CAC">
        <w:rPr>
          <w:szCs w:val="24"/>
        </w:rPr>
        <w:t>for</w:t>
      </w:r>
      <w:proofErr w:type="spellEnd"/>
      <w:r w:rsidRPr="000B5CAC">
        <w:rPr>
          <w:szCs w:val="24"/>
        </w:rPr>
        <w:t xml:space="preserve"> </w:t>
      </w:r>
      <w:proofErr w:type="spellStart"/>
      <w:r w:rsidRPr="000B5CAC">
        <w:rPr>
          <w:szCs w:val="24"/>
        </w:rPr>
        <w:t>all</w:t>
      </w:r>
      <w:proofErr w:type="spellEnd"/>
      <w:r w:rsidRPr="000B5CAC">
        <w:rPr>
          <w:szCs w:val="24"/>
        </w:rPr>
        <w:t xml:space="preserve"> EU </w:t>
      </w:r>
      <w:proofErr w:type="spellStart"/>
      <w:r w:rsidRPr="000B5CAC">
        <w:rPr>
          <w:szCs w:val="24"/>
        </w:rPr>
        <w:t>citizens</w:t>
      </w:r>
      <w:proofErr w:type="spellEnd"/>
      <w:r w:rsidRPr="000B5CAC">
        <w:rPr>
          <w:szCs w:val="24"/>
        </w:rPr>
        <w:t xml:space="preserve">“ (Mnohem více než jen trh – Tempo, bezpečnost </w:t>
      </w:r>
      <w:r w:rsidRPr="000B5CAC">
        <w:rPr>
          <w:szCs w:val="24"/>
        </w:rPr>
        <w:lastRenderedPageBreak/>
        <w:t>a solidarita – Posílení jednotného trhu s cílem zajistit udržitelnou budoucnost a prosperitu pro všechny občany EU)</w:t>
      </w:r>
      <w:r w:rsidRPr="000B5CAC">
        <w:rPr>
          <w:rStyle w:val="FootnoteReference"/>
          <w:szCs w:val="24"/>
        </w:rPr>
        <w:footnoteReference w:id="4"/>
      </w:r>
      <w:r w:rsidRPr="000B5CAC">
        <w:rPr>
          <w:szCs w:val="24"/>
        </w:rPr>
        <w:t xml:space="preserve">, </w:t>
      </w:r>
    </w:p>
    <w:p w14:paraId="757024BD" w14:textId="77777777" w:rsidR="0045223C" w:rsidRPr="000B5CAC" w:rsidRDefault="0045223C" w:rsidP="000B5CAC">
      <w:pPr>
        <w:pStyle w:val="NormalHanging12a"/>
        <w:rPr>
          <w:szCs w:val="24"/>
        </w:rPr>
      </w:pPr>
      <w:r w:rsidRPr="000B5CAC">
        <w:rPr>
          <w:szCs w:val="24"/>
        </w:rPr>
        <w:t>–</w:t>
      </w:r>
      <w:r w:rsidRPr="000B5CAC">
        <w:rPr>
          <w:szCs w:val="24"/>
        </w:rPr>
        <w:tab/>
        <w:t>s ohledem na nařízení (EU) 2022/2065 o jednotném trhu digitálních služeb a o změně směrnice 2000/31/ES (nařízení o digitálních službách)</w:t>
      </w:r>
      <w:r w:rsidRPr="000B5CAC">
        <w:rPr>
          <w:rStyle w:val="FootnoteReference"/>
          <w:szCs w:val="24"/>
        </w:rPr>
        <w:footnoteReference w:id="5"/>
      </w:r>
      <w:r w:rsidRPr="000B5CAC">
        <w:rPr>
          <w:szCs w:val="24"/>
        </w:rPr>
        <w:t>;</w:t>
      </w:r>
    </w:p>
    <w:p w14:paraId="6A3E6297" w14:textId="77777777" w:rsidR="0045223C" w:rsidRPr="000B5CAC" w:rsidRDefault="0045223C" w:rsidP="000B5CAC">
      <w:pPr>
        <w:pStyle w:val="NormalHanging12a"/>
        <w:rPr>
          <w:szCs w:val="24"/>
        </w:rPr>
      </w:pPr>
      <w:r w:rsidRPr="000B5CAC">
        <w:rPr>
          <w:szCs w:val="24"/>
        </w:rPr>
        <w:t>–</w:t>
      </w:r>
      <w:r w:rsidRPr="000B5CAC">
        <w:rPr>
          <w:szCs w:val="24"/>
        </w:rPr>
        <w:tab/>
        <w:t>s ohledem na nařízení Evropského parlamentu a Rady (EU) 2022/1925 ze dne 14. září 2022 o spravedlivých trzích otevřených hospodářské soutěži v digitálním odvětví a o změně směrnic (EU) 2019/1937 a (EU) 2020/1828 (nařízení o digitálních trzích)</w:t>
      </w:r>
      <w:r w:rsidRPr="000B5CAC">
        <w:rPr>
          <w:rStyle w:val="FootnoteReference"/>
          <w:szCs w:val="24"/>
        </w:rPr>
        <w:footnoteReference w:id="6"/>
      </w:r>
      <w:r w:rsidRPr="000B5CAC">
        <w:rPr>
          <w:szCs w:val="24"/>
        </w:rPr>
        <w:t>,</w:t>
      </w:r>
    </w:p>
    <w:p w14:paraId="7659257A" w14:textId="77777777" w:rsidR="0045223C" w:rsidRPr="000B5CAC" w:rsidRDefault="0045223C" w:rsidP="000B5CAC">
      <w:pPr>
        <w:pStyle w:val="NormalHanging12a"/>
        <w:rPr>
          <w:szCs w:val="24"/>
        </w:rPr>
      </w:pPr>
      <w:r w:rsidRPr="000B5CAC">
        <w:rPr>
          <w:szCs w:val="24"/>
        </w:rPr>
        <w:t>–</w:t>
      </w:r>
      <w:r w:rsidRPr="000B5CAC">
        <w:rPr>
          <w:szCs w:val="24"/>
        </w:rPr>
        <w:tab/>
        <w:t>s ohledem na nařízení Evropského parlamentu a Rady (EU) 2023/988 ze dne 10. května 2023 o obecné bezpečnosti výrobků, o změně nařízení Evropského parlamentu a Rady (EU) č. 1025/2012 a směrnice Evropského parlamentu a Rady (EU) 2020/1828 a o zrušení směrnice Evropského parlamentu a Rady 2001/95/ES a směrnice Rady 87/357/EHS (nařízení o obecné bezpečnosti výrobků)</w:t>
      </w:r>
      <w:r w:rsidRPr="000B5CAC">
        <w:rPr>
          <w:rStyle w:val="FootnoteReference"/>
          <w:szCs w:val="24"/>
        </w:rPr>
        <w:footnoteReference w:id="7"/>
      </w:r>
      <w:r w:rsidRPr="000B5CAC">
        <w:rPr>
          <w:szCs w:val="24"/>
        </w:rPr>
        <w:t>,</w:t>
      </w:r>
    </w:p>
    <w:p w14:paraId="54FFA55E" w14:textId="4632E0AA" w:rsidR="0045223C" w:rsidRPr="000B5CAC" w:rsidRDefault="0045223C" w:rsidP="000B5CAC">
      <w:pPr>
        <w:pStyle w:val="NormalHanging12a"/>
        <w:rPr>
          <w:szCs w:val="24"/>
        </w:rPr>
      </w:pPr>
      <w:r w:rsidRPr="000B5CAC">
        <w:rPr>
          <w:szCs w:val="24"/>
        </w:rPr>
        <w:t>–</w:t>
      </w:r>
      <w:r w:rsidRPr="000B5CAC">
        <w:rPr>
          <w:szCs w:val="24"/>
        </w:rPr>
        <w:tab/>
        <w:t>s ohledem na nařízení Evropského parlamentu a Rady (EU) 2019/1020 ze dne 20.</w:t>
      </w:r>
      <w:r w:rsidR="007E0FBC" w:rsidRPr="000B5CAC">
        <w:rPr>
          <w:szCs w:val="24"/>
        </w:rPr>
        <w:t> </w:t>
      </w:r>
      <w:r w:rsidRPr="000B5CAC">
        <w:rPr>
          <w:szCs w:val="24"/>
        </w:rPr>
        <w:t>června 2019 o dozoru nad trhem a souladu výrobků s předpisy a o změně směrnice 2004/42/ES a nařízení (ES) č. 765/2008 a (EU) č. 305/2011 (nařízení o dozoru nad trhem)</w:t>
      </w:r>
      <w:r w:rsidRPr="000B5CAC">
        <w:rPr>
          <w:rStyle w:val="FootnoteReference"/>
          <w:szCs w:val="24"/>
        </w:rPr>
        <w:footnoteReference w:id="8"/>
      </w:r>
      <w:r w:rsidRPr="000B5CAC">
        <w:rPr>
          <w:szCs w:val="24"/>
        </w:rPr>
        <w:t>,</w:t>
      </w:r>
    </w:p>
    <w:p w14:paraId="6E77DE4A" w14:textId="77777777" w:rsidR="0045223C" w:rsidRPr="000B5CAC" w:rsidRDefault="0045223C" w:rsidP="000B5CAC">
      <w:pPr>
        <w:pStyle w:val="NormalHanging12a"/>
        <w:rPr>
          <w:szCs w:val="24"/>
        </w:rPr>
      </w:pPr>
      <w:r w:rsidRPr="000B5CAC">
        <w:rPr>
          <w:szCs w:val="24"/>
        </w:rPr>
        <w:t>–</w:t>
      </w:r>
      <w:r w:rsidRPr="000B5CAC">
        <w:rPr>
          <w:szCs w:val="24"/>
        </w:rPr>
        <w:tab/>
        <w:t>s ohledem na směrnici Evropského parlamentu a Rady (EU) 2024/2853 ze dne 23. října 2024 o odpovědnosti za vadné výrobky a o zrušení směrnice Rady 85/374/EHS</w:t>
      </w:r>
      <w:r w:rsidRPr="000B5CAC">
        <w:rPr>
          <w:rStyle w:val="FootnoteReference"/>
          <w:szCs w:val="24"/>
        </w:rPr>
        <w:footnoteReference w:id="9"/>
      </w:r>
      <w:r w:rsidRPr="000B5CAC">
        <w:rPr>
          <w:szCs w:val="24"/>
        </w:rPr>
        <w:t>,</w:t>
      </w:r>
    </w:p>
    <w:p w14:paraId="0797A03E" w14:textId="77777777" w:rsidR="0045223C" w:rsidRPr="000B5CAC" w:rsidRDefault="0045223C" w:rsidP="000B5CAC">
      <w:pPr>
        <w:pStyle w:val="NormalHanging12a"/>
        <w:rPr>
          <w:szCs w:val="24"/>
        </w:rPr>
      </w:pPr>
      <w:r w:rsidRPr="000B5CAC">
        <w:rPr>
          <w:szCs w:val="24"/>
        </w:rPr>
        <w:t>–</w:t>
      </w:r>
      <w:r w:rsidRPr="000B5CAC">
        <w:rPr>
          <w:szCs w:val="24"/>
        </w:rPr>
        <w:tab/>
        <w:t>s ohledem na čl. 136 odst. 2 jednacího řádu,</w:t>
      </w:r>
    </w:p>
    <w:p w14:paraId="5EEB189A" w14:textId="77777777" w:rsidR="0045223C" w:rsidRPr="000B5CAC" w:rsidRDefault="0045223C" w:rsidP="000B5CAC">
      <w:pPr>
        <w:pStyle w:val="NormalHanging12a"/>
        <w:rPr>
          <w:szCs w:val="24"/>
        </w:rPr>
      </w:pPr>
      <w:r w:rsidRPr="000B5CAC">
        <w:rPr>
          <w:szCs w:val="24"/>
        </w:rPr>
        <w:t>–</w:t>
      </w:r>
      <w:r w:rsidRPr="000B5CAC">
        <w:rPr>
          <w:szCs w:val="24"/>
        </w:rPr>
        <w:tab/>
        <w:t>s ohledem na stanovisko Výboru pro mezinárodní obchod,</w:t>
      </w:r>
    </w:p>
    <w:p w14:paraId="7C1BC0FB" w14:textId="77777777" w:rsidR="0045223C" w:rsidRPr="000B5CAC" w:rsidRDefault="0045223C" w:rsidP="000B5CAC">
      <w:pPr>
        <w:pStyle w:val="NormalHanging12a"/>
        <w:rPr>
          <w:szCs w:val="24"/>
        </w:rPr>
      </w:pPr>
      <w:r w:rsidRPr="000B5CAC">
        <w:rPr>
          <w:szCs w:val="24"/>
        </w:rPr>
        <w:t>–</w:t>
      </w:r>
      <w:r w:rsidRPr="000B5CAC">
        <w:rPr>
          <w:szCs w:val="24"/>
        </w:rPr>
        <w:tab/>
        <w:t>s ohledem na zprávu Výboru pro vnitřní trh a ochranu spotřebitelů (A10-0133/2025),</w:t>
      </w:r>
    </w:p>
    <w:p w14:paraId="4FC752BF" w14:textId="77777777" w:rsidR="0045223C" w:rsidRPr="000B5CAC" w:rsidRDefault="0045223C" w:rsidP="000B5CAC">
      <w:pPr>
        <w:pStyle w:val="NormalHanging12a"/>
        <w:rPr>
          <w:szCs w:val="24"/>
        </w:rPr>
      </w:pPr>
      <w:r w:rsidRPr="000B5CAC">
        <w:rPr>
          <w:szCs w:val="24"/>
        </w:rPr>
        <w:t>A.</w:t>
      </w:r>
      <w:r w:rsidRPr="000B5CAC">
        <w:rPr>
          <w:szCs w:val="24"/>
        </w:rPr>
        <w:tab/>
        <w:t>vzhledem k tomu, že od 31. října 2025 ve Francii panuje velká kontroverze, která se rychle rozšířila po celé Evropě a týkala se prodeje sexuálních panenek připomínajících děti a dalších nelegálních výrobků, včetně zbraní, na čínské platformě pro elektronický obchod SHEIN; vzhledem k tomu, že francouzský orgán dohledu (DGCCRF) předal zprávy o „prodeji sexuálních předmětů připomínajících děti“ pařížskému státnímu zastupitelství, které následně dne 3. listopadu 2025 zahájilo vyšetřování platformy SHEIN a tří dalších online tržišť mimo EU, přičemž se jmenovitě jedná o </w:t>
      </w:r>
      <w:proofErr w:type="spellStart"/>
      <w:r w:rsidRPr="000B5CAC">
        <w:rPr>
          <w:szCs w:val="24"/>
        </w:rPr>
        <w:t>Temu</w:t>
      </w:r>
      <w:proofErr w:type="spellEnd"/>
      <w:r w:rsidRPr="000B5CAC">
        <w:rPr>
          <w:szCs w:val="24"/>
        </w:rPr>
        <w:t xml:space="preserve">, </w:t>
      </w:r>
      <w:proofErr w:type="spellStart"/>
      <w:r w:rsidRPr="000B5CAC">
        <w:rPr>
          <w:szCs w:val="24"/>
        </w:rPr>
        <w:t>AliExpress</w:t>
      </w:r>
      <w:proofErr w:type="spellEnd"/>
      <w:r w:rsidRPr="000B5CAC">
        <w:rPr>
          <w:szCs w:val="24"/>
        </w:rPr>
        <w:t xml:space="preserve"> a </w:t>
      </w:r>
      <w:proofErr w:type="spellStart"/>
      <w:r w:rsidRPr="000B5CAC">
        <w:rPr>
          <w:szCs w:val="24"/>
        </w:rPr>
        <w:t>Wish</w:t>
      </w:r>
      <w:proofErr w:type="spellEnd"/>
      <w:r w:rsidRPr="000B5CAC">
        <w:rPr>
          <w:szCs w:val="24"/>
        </w:rPr>
        <w:t>;</w:t>
      </w:r>
    </w:p>
    <w:p w14:paraId="2CBE4314" w14:textId="77777777" w:rsidR="0045223C" w:rsidRDefault="0045223C" w:rsidP="000B5CAC">
      <w:pPr>
        <w:pStyle w:val="NormalHanging12a"/>
        <w:rPr>
          <w:szCs w:val="24"/>
        </w:rPr>
      </w:pPr>
      <w:r w:rsidRPr="000B5CAC">
        <w:rPr>
          <w:szCs w:val="24"/>
        </w:rPr>
        <w:t>B.</w:t>
      </w:r>
      <w:r w:rsidRPr="000B5CAC">
        <w:rPr>
          <w:szCs w:val="24"/>
        </w:rPr>
        <w:tab/>
        <w:t xml:space="preserve">vzhledem k tomu, že po prvotních donucovacích opatřeních francouzských orgánů společnost SHEIN tvrdila, že stáhla všechny související reklamy a vizuální prvky a dočasně vyřadila ze své nabídky kategorii „výrobky pro dospělé“; vzhledem k tomu, </w:t>
      </w:r>
      <w:r w:rsidRPr="000B5CAC">
        <w:rPr>
          <w:szCs w:val="24"/>
        </w:rPr>
        <w:lastRenderedPageBreak/>
        <w:t>že přetrvávají značné pochybnosti ohledně schopnosti nebo ochoty společnosti SHEIN přijmout účinná a rozhodná opatření proti nezákonnému obsahu a zaručit, aby na její platformě byly k dispozici pouze výrobky, které jsou v souladu s předpisy; vzhledem k tomu, že tyto pochybnosti byly posíleny důkazy o tom, že sporné produkty zůstaly dva dny po údajném pozastavení jejich prodeje ve Francii přístupné v jiných členských státech, a to i prostřednictvím přístupu VPN;</w:t>
      </w:r>
    </w:p>
    <w:p w14:paraId="445C9CC1" w14:textId="29C6261F" w:rsidR="00175670" w:rsidRPr="00A9195E" w:rsidRDefault="00A9195E" w:rsidP="000B5CAC">
      <w:pPr>
        <w:pStyle w:val="NormalHanging12a"/>
        <w:rPr>
          <w:szCs w:val="24"/>
        </w:rPr>
      </w:pPr>
      <w:r w:rsidRPr="001E6731">
        <w:rPr>
          <w:szCs w:val="24"/>
        </w:rPr>
        <w:t>C</w:t>
      </w:r>
      <w:r w:rsidR="00175670" w:rsidRPr="001E6731">
        <w:rPr>
          <w:szCs w:val="24"/>
        </w:rPr>
        <w:t>.</w:t>
      </w:r>
      <w:r w:rsidR="00175670" w:rsidRPr="001E6731">
        <w:rPr>
          <w:szCs w:val="24"/>
        </w:rPr>
        <w:tab/>
        <w:t xml:space="preserve">vzhledem k tomu, že dne 26. listopadu 2025 francouzské orgány oznámily, že podají stížnost na společnosti </w:t>
      </w:r>
      <w:proofErr w:type="spellStart"/>
      <w:r w:rsidR="00175670" w:rsidRPr="001E6731">
        <w:rPr>
          <w:szCs w:val="24"/>
        </w:rPr>
        <w:t>AliExpress</w:t>
      </w:r>
      <w:proofErr w:type="spellEnd"/>
      <w:r w:rsidR="00175670" w:rsidRPr="001E6731">
        <w:rPr>
          <w:szCs w:val="24"/>
        </w:rPr>
        <w:t xml:space="preserve"> a </w:t>
      </w:r>
      <w:proofErr w:type="spellStart"/>
      <w:r w:rsidR="00175670" w:rsidRPr="001E6731">
        <w:rPr>
          <w:szCs w:val="24"/>
        </w:rPr>
        <w:t>Joom</w:t>
      </w:r>
      <w:proofErr w:type="spellEnd"/>
      <w:r w:rsidR="00175670" w:rsidRPr="001E6731">
        <w:rPr>
          <w:szCs w:val="24"/>
        </w:rPr>
        <w:t>, které se rovněž podílejí na prodeji panenek pro dětskou pornografii, což dokládá rozsah a závažnost tohoto jevu;</w:t>
      </w:r>
    </w:p>
    <w:p w14:paraId="1A201A01" w14:textId="28E1AF2E" w:rsidR="0045223C" w:rsidRPr="000B5CAC" w:rsidRDefault="00A9195E" w:rsidP="000B5CAC">
      <w:pPr>
        <w:pStyle w:val="NormalHanging12a"/>
        <w:rPr>
          <w:szCs w:val="24"/>
        </w:rPr>
      </w:pPr>
      <w:r>
        <w:rPr>
          <w:szCs w:val="24"/>
        </w:rPr>
        <w:t>D</w:t>
      </w:r>
      <w:r w:rsidR="0045223C" w:rsidRPr="000B5CAC">
        <w:rPr>
          <w:szCs w:val="24"/>
        </w:rPr>
        <w:t>.</w:t>
      </w:r>
      <w:r w:rsidR="0045223C" w:rsidRPr="000B5CAC">
        <w:rPr>
          <w:szCs w:val="24"/>
        </w:rPr>
        <w:tab/>
        <w:t>vzhledem k tomu, že s ohledem na tato odhalení francouzská vláda veřejně varovala, že opakované porušování předpisů povede k tomu, že bude požadovat zablokování přístupu k platformě SHEIN na francouzském trhu; vzhledem k tomu, že v reakci na to společnost SHEIN podle všeho odstranila všechny sexuální panenky připomínající děti ze svých globálních platforem a oznámila celosvětový zákaz všech sexuálních panenek, vyřadila příslušné zboží ze své nabídky a zahájila interní vyšetřování toho, jak se tyto výrobky mohly objevit na jejích online tržištích;</w:t>
      </w:r>
    </w:p>
    <w:p w14:paraId="5C9253A1" w14:textId="750A2DE2" w:rsidR="0045223C" w:rsidRPr="000B5CAC" w:rsidRDefault="00A9195E" w:rsidP="000B5CAC">
      <w:pPr>
        <w:pStyle w:val="NormalHanging12a"/>
        <w:rPr>
          <w:szCs w:val="24"/>
        </w:rPr>
      </w:pPr>
      <w:r>
        <w:rPr>
          <w:szCs w:val="24"/>
        </w:rPr>
        <w:t>E</w:t>
      </w:r>
      <w:r w:rsidR="0045223C" w:rsidRPr="000B5CAC">
        <w:rPr>
          <w:szCs w:val="24"/>
        </w:rPr>
        <w:t>.</w:t>
      </w:r>
      <w:r w:rsidR="0045223C" w:rsidRPr="000B5CAC">
        <w:rPr>
          <w:szCs w:val="24"/>
        </w:rPr>
        <w:tab/>
        <w:t>vzhledem k tomu, že silná reakce veřejnosti ve Francii souvisí s dřívějšími kontroverzemi ohledně společnosti SHEIN, včetně zjištění z července 2025, že se tato společnost dopustila klamavých slevových praktik a uváděla neoprávněná environmentální tvrzení; vzhledem k tomu, že tyto nekalé praktiky osvětlují obchodní modely těchto online platforem a vyvolávají otázky ohledně spotřebních vzorců;</w:t>
      </w:r>
    </w:p>
    <w:p w14:paraId="749F3B53" w14:textId="228F1D75" w:rsidR="0045223C" w:rsidRPr="000B5CAC" w:rsidRDefault="00A9195E" w:rsidP="000B5CAC">
      <w:pPr>
        <w:pStyle w:val="NormalHanging12a"/>
        <w:rPr>
          <w:szCs w:val="24"/>
        </w:rPr>
      </w:pPr>
      <w:r>
        <w:rPr>
          <w:szCs w:val="24"/>
        </w:rPr>
        <w:t>F</w:t>
      </w:r>
      <w:r w:rsidR="0045223C" w:rsidRPr="000B5CAC">
        <w:rPr>
          <w:szCs w:val="24"/>
        </w:rPr>
        <w:t>.</w:t>
      </w:r>
      <w:r w:rsidR="0045223C" w:rsidRPr="000B5CAC">
        <w:rPr>
          <w:szCs w:val="24"/>
        </w:rPr>
        <w:tab/>
        <w:t>vzhledem k tomu, že francouzský případ znovu důrazně upozornil na obecnější problém nebezpečných a nezákonných výrobků, které jsou v oběhu prostřednictvím online tržišť v celé EU, a vyvolal širší diskusi o spotřebních vzorcích, nekalé hospodářské soutěži ze strany online platforem mimo EU, regulaci online tržišť a o právech spotřebitelů;</w:t>
      </w:r>
    </w:p>
    <w:p w14:paraId="1BB3D850" w14:textId="77777777" w:rsidR="0045223C" w:rsidRPr="000B5CAC" w:rsidRDefault="0045223C" w:rsidP="000B5CAC">
      <w:pPr>
        <w:pStyle w:val="NormalHanging12a"/>
        <w:rPr>
          <w:b/>
          <w:i/>
          <w:iCs/>
          <w:szCs w:val="24"/>
        </w:rPr>
      </w:pPr>
      <w:r w:rsidRPr="000B5CAC">
        <w:rPr>
          <w:b/>
          <w:i/>
          <w:szCs w:val="24"/>
        </w:rPr>
        <w:t>Úvodní připomínky</w:t>
      </w:r>
    </w:p>
    <w:p w14:paraId="5D7E43F6" w14:textId="77777777" w:rsidR="0045223C" w:rsidRPr="000B5CAC" w:rsidRDefault="0045223C" w:rsidP="000B5CAC">
      <w:pPr>
        <w:pStyle w:val="NormalHanging12a"/>
        <w:rPr>
          <w:szCs w:val="24"/>
        </w:rPr>
      </w:pPr>
      <w:r w:rsidRPr="000B5CAC">
        <w:rPr>
          <w:szCs w:val="24"/>
        </w:rPr>
        <w:t>1.</w:t>
      </w:r>
      <w:r w:rsidRPr="000B5CAC">
        <w:rPr>
          <w:szCs w:val="24"/>
        </w:rPr>
        <w:tab/>
        <w:t>odsuzuje nedávné události ve Francii týkající se dostupnosti sexualizovaných předmětů připomínajících děti a dalšího nezákonného nebo nebezpečného zboží, jako jsou zbraně, na platformě SHEIN, na které byly dostupné v celé EU; důrazně prohlašuje, že tyto praktiky představují závažné porušení práva EU a přímé ohrožení bezpečnosti spotřebitelů a ochrany nezletilých osob;</w:t>
      </w:r>
    </w:p>
    <w:p w14:paraId="50021879" w14:textId="77777777" w:rsidR="0045223C" w:rsidRPr="000B5CAC" w:rsidRDefault="0045223C" w:rsidP="000B5CAC">
      <w:pPr>
        <w:pStyle w:val="NormalHanging12a"/>
        <w:rPr>
          <w:szCs w:val="24"/>
        </w:rPr>
      </w:pPr>
      <w:r w:rsidRPr="000B5CAC">
        <w:rPr>
          <w:szCs w:val="24"/>
        </w:rPr>
        <w:t>2.</w:t>
      </w:r>
      <w:r w:rsidRPr="000B5CAC">
        <w:rPr>
          <w:szCs w:val="24"/>
        </w:rPr>
        <w:tab/>
        <w:t>zdůrazňuje, že případ týkající se společnosti SHEIN není ojedinělý, ale je projevem systémového problému spočívajícího v nedostatečném dohledu a nedostačujících preventivních mechanismech; poukazuje na nedávná zjištění spotřebitelských organizací, z nichž vyplývá, že značná část výrobků nabízených největšími platformami elektronického obchodu mimo EU nesplňuje bezpečnostní požadavky EU, přičemž velká část těchto výrobků představuje pro spotřebitele vážná rizika;</w:t>
      </w:r>
    </w:p>
    <w:p w14:paraId="7B71A734" w14:textId="77777777" w:rsidR="0045223C" w:rsidRPr="000B5CAC" w:rsidRDefault="0045223C" w:rsidP="000B5CAC">
      <w:pPr>
        <w:pStyle w:val="NormalHanging12a"/>
        <w:rPr>
          <w:szCs w:val="24"/>
        </w:rPr>
      </w:pPr>
      <w:r w:rsidRPr="000B5CAC">
        <w:rPr>
          <w:szCs w:val="24"/>
        </w:rPr>
        <w:t>3.</w:t>
      </w:r>
      <w:r w:rsidRPr="000B5CAC">
        <w:rPr>
          <w:szCs w:val="24"/>
        </w:rPr>
        <w:tab/>
        <w:t>bere na vědomí probíhající šetření, která Komise zahájila v souvislosti s praktikami velmi velkých online platforem, včetně nedávných žádostí o informace adresovaných společnosti SHEIN, vyzývá však Komisi, aby přešla od dialogu k rozhodnému vymáhání předpisů;</w:t>
      </w:r>
    </w:p>
    <w:p w14:paraId="52288082" w14:textId="77777777" w:rsidR="0045223C" w:rsidRPr="000B5CAC" w:rsidRDefault="0045223C" w:rsidP="000B5CAC">
      <w:pPr>
        <w:pStyle w:val="NormalHanging12a"/>
        <w:rPr>
          <w:szCs w:val="24"/>
        </w:rPr>
      </w:pPr>
      <w:r w:rsidRPr="000B5CAC">
        <w:rPr>
          <w:szCs w:val="24"/>
        </w:rPr>
        <w:t>4.</w:t>
      </w:r>
      <w:r w:rsidRPr="000B5CAC">
        <w:rPr>
          <w:szCs w:val="24"/>
        </w:rPr>
        <w:tab/>
        <w:t>zdůrazňuje, že většina nebezpečných a nezákonných výrobků je do EU zasílána ve velkých počtech jednotlivých a často malých balíků prodávaných spotřebitelům v EU prostřednictvím online platforem mimo EU, zejména z Číny; varuje, že exponenciální nárůst malých zásilek spolu s omezenou kontrolní kapacitou vede k nedostatečnému zachycení nebezpečného zboží; zdůrazňuje, že tato situace ohrožuje spotřebitele a narušuje hospodářskou soutěž;</w:t>
      </w:r>
    </w:p>
    <w:p w14:paraId="76D6D690" w14:textId="77777777" w:rsidR="0045223C" w:rsidRPr="000B5CAC" w:rsidRDefault="0045223C" w:rsidP="000B5CAC">
      <w:pPr>
        <w:pStyle w:val="NormalHanging12a"/>
        <w:rPr>
          <w:szCs w:val="24"/>
        </w:rPr>
      </w:pPr>
      <w:r w:rsidRPr="000B5CAC">
        <w:rPr>
          <w:szCs w:val="24"/>
        </w:rPr>
        <w:t>5.</w:t>
      </w:r>
      <w:r w:rsidRPr="000B5CAC">
        <w:rPr>
          <w:szCs w:val="24"/>
        </w:rPr>
        <w:tab/>
        <w:t>vyjadřuje hluboké znepokojení nad tím, že zdokumentovaný a rostoucí počet případů nedodržování předpisů ze strany společnosti SHEIN a dalších online platforem mimo EU se zhoršuje v důsledku obchodního modelu založeného na rychlosti, maximalizaci zisku a nadměrné spotřebě, a to na úkor lidských práv, ochrany životního prostředí, bezpečnosti spotřebitelů a základních hodnot; odsuzuje skutečnost, že za uměle nízkými cenami stojí znepokojující jevy, včetně nedostatečně placené práce, nezákonného napodobování práce návrhářů, uvádění nebezpečných a nevyhovujících výrobků na trh a hromadění textilního odpadu;</w:t>
      </w:r>
    </w:p>
    <w:p w14:paraId="2AF23C43" w14:textId="77777777" w:rsidR="0045223C" w:rsidRPr="000B5CAC" w:rsidRDefault="0045223C" w:rsidP="000B5CAC">
      <w:pPr>
        <w:pStyle w:val="NormalHanging12a"/>
        <w:rPr>
          <w:b/>
          <w:i/>
          <w:iCs/>
          <w:szCs w:val="24"/>
        </w:rPr>
      </w:pPr>
      <w:r w:rsidRPr="000B5CAC">
        <w:rPr>
          <w:b/>
          <w:i/>
          <w:szCs w:val="24"/>
        </w:rPr>
        <w:t>Problémy v oblasti dodržování předpisů</w:t>
      </w:r>
    </w:p>
    <w:p w14:paraId="29FEAA30" w14:textId="77777777" w:rsidR="0045223C" w:rsidRPr="000B5CAC" w:rsidRDefault="0045223C" w:rsidP="000B5CAC">
      <w:pPr>
        <w:pStyle w:val="NormalHanging12a"/>
        <w:rPr>
          <w:szCs w:val="24"/>
        </w:rPr>
      </w:pPr>
      <w:r w:rsidRPr="000B5CAC">
        <w:rPr>
          <w:szCs w:val="24"/>
        </w:rPr>
        <w:t>6.</w:t>
      </w:r>
      <w:r w:rsidRPr="000B5CAC">
        <w:rPr>
          <w:szCs w:val="24"/>
        </w:rPr>
        <w:tab/>
        <w:t>uznává, že EU vytvořila pevný rámec pro dodržování předpisů, včetně nařízení o digitálních službách, nařízení o digitálních trzích, nařízení o dozoru nad trhem, nařízení o obecné bezpečnosti výrobků, předpisů na ochranu spotřebitele a různých právních předpisů týkajících se výrobků a životního prostředí, přičemž tento rámec se vztahuje i na výrobky prodávané online; uznává však, že je třeba stále více usilovat o plné a koordinované prosazování tohoto rámce pro dodržování předpisů;</w:t>
      </w:r>
    </w:p>
    <w:p w14:paraId="29D3B0BB" w14:textId="6769C9C6" w:rsidR="0045223C" w:rsidRPr="000B5CAC" w:rsidRDefault="0045223C" w:rsidP="000B5CAC">
      <w:pPr>
        <w:pStyle w:val="NormalHanging12a"/>
        <w:rPr>
          <w:szCs w:val="24"/>
        </w:rPr>
      </w:pPr>
      <w:r w:rsidRPr="000B5CAC">
        <w:rPr>
          <w:szCs w:val="24"/>
        </w:rPr>
        <w:t>7.</w:t>
      </w:r>
      <w:r w:rsidRPr="000B5CAC">
        <w:rPr>
          <w:szCs w:val="24"/>
        </w:rPr>
        <w:tab/>
        <w:t xml:space="preserve">domnívá se, že přísné, důsledné a včasné provádění </w:t>
      </w:r>
      <w:proofErr w:type="spellStart"/>
      <w:r w:rsidRPr="000B5CAC">
        <w:rPr>
          <w:i/>
          <w:iCs/>
          <w:szCs w:val="24"/>
        </w:rPr>
        <w:t>acquis</w:t>
      </w:r>
      <w:proofErr w:type="spellEnd"/>
      <w:r w:rsidRPr="000B5CAC">
        <w:rPr>
          <w:szCs w:val="24"/>
        </w:rPr>
        <w:t xml:space="preserve"> EU v oblasti regulace je nezbytné k tomu, aby se zabránilo vstupu nebezpečných, nevyhovujících a padělaných výrobků na vnitřní trh a aby byla zachována vysoká úroveň ochrany spotřebitele; vyzývá všechny příslušné orgány v členských státech, aby využily veškeré donucovací nástroje, které mají k dispozici, s cílem reagovat včas a účinně;</w:t>
      </w:r>
    </w:p>
    <w:p w14:paraId="392FBFBD" w14:textId="77777777" w:rsidR="0045223C" w:rsidRPr="000B5CAC" w:rsidRDefault="0045223C" w:rsidP="000B5CAC">
      <w:pPr>
        <w:pStyle w:val="NormalHanging12a"/>
        <w:rPr>
          <w:szCs w:val="24"/>
        </w:rPr>
      </w:pPr>
      <w:r w:rsidRPr="000B5CAC">
        <w:rPr>
          <w:szCs w:val="24"/>
        </w:rPr>
        <w:t>8.</w:t>
      </w:r>
      <w:r w:rsidRPr="000B5CAC">
        <w:rPr>
          <w:szCs w:val="24"/>
        </w:rPr>
        <w:tab/>
        <w:t>připomíná, že nařízení o digitálních službách poskytuje jasné právní základy pro zásah, včetně pravomoci podle článku 74 ukládat pokuty a podle článku 9 nařídit odstranění nezákonných výrobků; naléhavě žádá Komisi, aby tyto nástroje plně a včas využívala k zajištění toho, aby platformy plnily své povinnosti; zdůrazňuje, že občané musí vidět, že EU je schopna zaručit jejich bezpečnost na internetu, a očekává koordinované a důsledné vymáhání předpisů na celém vnitřním trhu;</w:t>
      </w:r>
    </w:p>
    <w:p w14:paraId="77DB8C46" w14:textId="77777777" w:rsidR="0045223C" w:rsidRPr="000B5CAC" w:rsidRDefault="0045223C" w:rsidP="000B5CAC">
      <w:pPr>
        <w:pStyle w:val="NormalHanging12a"/>
        <w:rPr>
          <w:szCs w:val="24"/>
        </w:rPr>
      </w:pPr>
      <w:r w:rsidRPr="000B5CAC">
        <w:rPr>
          <w:szCs w:val="24"/>
        </w:rPr>
        <w:t>9.</w:t>
      </w:r>
      <w:r w:rsidRPr="000B5CAC">
        <w:rPr>
          <w:szCs w:val="24"/>
        </w:rPr>
        <w:tab/>
        <w:t>upozorňuje na to, že přetrvávají závažné nedostatky ve vymáhání práva v důsledku chronického nedostatku zdrojů a nedostatečných digitálních kapacit celních orgánů a orgánů dozoru nad trhem, nedostatku specializovaného personálu a neexistence harmonizovaných a interoperabilních technologických nástrojů ve všech členských státech, přičemž tuto situaci ještě dále zhoršuje omezená výměna údajů a slabá operativní koordinace mezi celními orgány, orgány dozoru nad trhem a orgány na ochranu spotřebitele;</w:t>
      </w:r>
    </w:p>
    <w:p w14:paraId="3CA158BC" w14:textId="77777777" w:rsidR="0045223C" w:rsidRPr="000B5CAC" w:rsidRDefault="0045223C" w:rsidP="000B5CAC">
      <w:pPr>
        <w:pStyle w:val="NormalHanging12a"/>
        <w:rPr>
          <w:szCs w:val="24"/>
        </w:rPr>
      </w:pPr>
      <w:r w:rsidRPr="000B5CAC">
        <w:rPr>
          <w:szCs w:val="24"/>
        </w:rPr>
        <w:t>10.</w:t>
      </w:r>
      <w:r w:rsidRPr="000B5CAC">
        <w:rPr>
          <w:szCs w:val="24"/>
        </w:rPr>
        <w:tab/>
        <w:t>zdůrazňuje, že kvůli obrovskému objemu zásilek v rámci elektronického obchodu vstupujících do EU jsou fyzické kontroly ze své podstaty nedostatečné; vyzývá k přijetí naléhavých opatření, včetně harmonizovaného manipulačního poplatku, který by byl zaveden na úrovni EU a byl v souladu s pravidly WTO a jenž by pokryl zvýšené náklady celních orgánů na dohled, a k jasně definované odpovědnosti platforem a prodejců usazených ve třetích zemích za bezpečnost a soulad výrobků, které cílí na spotřebitele v EU, s předpisy, což by mělo doprovázet zrušení osvobození zásilek nízké hodnoty od DPH a cla, které bylo nedávno dohodnuto v Radě; naléhavě vyzývá Komisi, aby s cílem zajistit dostatečné zdroje a odpovídající personální obsazení výrazně zvýšila finanční a provozní podporu celních orgánů a orgánů dozoru nad trhem, a to i prostřednictvím zvýšených přídělů v rámci nadcházejícího víceletého finančního rámce;</w:t>
      </w:r>
    </w:p>
    <w:p w14:paraId="14D5EF27" w14:textId="77777777" w:rsidR="0045223C" w:rsidRPr="000B5CAC" w:rsidRDefault="0045223C" w:rsidP="000B5CAC">
      <w:pPr>
        <w:pStyle w:val="NormalHanging12a"/>
        <w:rPr>
          <w:b/>
          <w:i/>
          <w:iCs/>
          <w:szCs w:val="24"/>
        </w:rPr>
      </w:pPr>
      <w:r w:rsidRPr="000B5CAC">
        <w:rPr>
          <w:b/>
          <w:i/>
          <w:szCs w:val="24"/>
        </w:rPr>
        <w:t>Vyšetřování online platforem a další opatření</w:t>
      </w:r>
    </w:p>
    <w:p w14:paraId="6E447040" w14:textId="77777777" w:rsidR="0045223C" w:rsidRPr="000B5CAC" w:rsidRDefault="0045223C" w:rsidP="000B5CAC">
      <w:pPr>
        <w:pStyle w:val="NormalHanging12a"/>
        <w:rPr>
          <w:szCs w:val="24"/>
        </w:rPr>
      </w:pPr>
      <w:r w:rsidRPr="000B5CAC">
        <w:rPr>
          <w:szCs w:val="24"/>
        </w:rPr>
        <w:t>11.</w:t>
      </w:r>
      <w:r w:rsidRPr="000B5CAC">
        <w:rPr>
          <w:szCs w:val="24"/>
        </w:rPr>
        <w:tab/>
        <w:t>vyjadřuje politování nad pomalým pokrokem ve vyšetřování, která Komise a síť pro spolupráci v oblasti ochrany spotřebitele zahájily v souvislosti s online platformami mimo EU kvůli údajnému porušování právních předpisů EU v oblasti bezpečnosti výrobků a ochrany spotřebitele a v souvislosti s velmi velkými platformami, zejména na základě nařízení o digitálních službách; vyjadřuje politování nad tím, že vyšetřovací postupy často trvají mnoho měsíců nebo dokonce let, což narušuje důvěru občanů a omezuje schopnost zákonodárců reagovat na rychle se objevující rizika na internetu; zdůrazňuje, že je naléhavě nutné tato vyšetřování dokončit a řešit strukturální důvody tohoto škodlivého pomalého postupu; upozorňuje, že pozastavení provozu platforem, o něž se v současné době usiluje ve Francii, zůstává prakticky téměř nedosažitelné, a to i v případech zjevného a opakovaného nedodržování předpisů; poukazuje na to, že je třeba přijmout opatření na úrovni EU s cílem zajistit důsledné prosazování právních předpisů a zabránit jakémukoli narušení vnitřního trhu;</w:t>
      </w:r>
    </w:p>
    <w:p w14:paraId="52933339" w14:textId="77777777" w:rsidR="0045223C" w:rsidRPr="000B5CAC" w:rsidRDefault="0045223C" w:rsidP="000B5CAC">
      <w:pPr>
        <w:pStyle w:val="NormalHanging12a"/>
        <w:rPr>
          <w:szCs w:val="24"/>
        </w:rPr>
      </w:pPr>
      <w:r w:rsidRPr="000B5CAC">
        <w:rPr>
          <w:szCs w:val="24"/>
        </w:rPr>
        <w:t>12.</w:t>
      </w:r>
      <w:r w:rsidRPr="000B5CAC">
        <w:rPr>
          <w:szCs w:val="24"/>
        </w:rPr>
        <w:tab/>
        <w:t>vyzývá proto k silnějším, rychlejším a funkčnějším donucovacím nástrojům, které zajistí účinné uplatňování pravidel EU v digitálním prostředí; trvá na tom, aby plnění závazků přijatých online platformami podléhalo průběžné a systematické kontrole;</w:t>
      </w:r>
    </w:p>
    <w:p w14:paraId="7420E1CD" w14:textId="77777777" w:rsidR="0045223C" w:rsidRPr="000B5CAC" w:rsidRDefault="0045223C" w:rsidP="000B5CAC">
      <w:pPr>
        <w:pStyle w:val="NormalHanging12a"/>
        <w:rPr>
          <w:szCs w:val="24"/>
        </w:rPr>
      </w:pPr>
      <w:r w:rsidRPr="000B5CAC">
        <w:rPr>
          <w:szCs w:val="24"/>
        </w:rPr>
        <w:t>13.</w:t>
      </w:r>
      <w:r w:rsidRPr="000B5CAC">
        <w:rPr>
          <w:szCs w:val="24"/>
        </w:rPr>
        <w:tab/>
        <w:t xml:space="preserve">zdůrazňuje, že nedávná zjištění týkající se společnosti SHEIN </w:t>
      </w:r>
      <w:proofErr w:type="gramStart"/>
      <w:r w:rsidRPr="000B5CAC">
        <w:rPr>
          <w:szCs w:val="24"/>
        </w:rPr>
        <w:t>svědčí</w:t>
      </w:r>
      <w:proofErr w:type="gramEnd"/>
      <w:r w:rsidRPr="000B5CAC">
        <w:rPr>
          <w:szCs w:val="24"/>
        </w:rPr>
        <w:t xml:space="preserve"> spíše o systémových selháních než ojedinělých incidentech a nelze je napravit pouhým stažením výrobku nebo veřejnou omluvou;</w:t>
      </w:r>
    </w:p>
    <w:p w14:paraId="2C837C58" w14:textId="77777777" w:rsidR="0045223C" w:rsidRPr="000B5CAC" w:rsidRDefault="0045223C" w:rsidP="000B5CAC">
      <w:pPr>
        <w:pStyle w:val="NormalHanging12a"/>
        <w:rPr>
          <w:szCs w:val="24"/>
        </w:rPr>
      </w:pPr>
      <w:r w:rsidRPr="000B5CAC">
        <w:rPr>
          <w:szCs w:val="24"/>
        </w:rPr>
        <w:t>14.</w:t>
      </w:r>
      <w:r w:rsidRPr="000B5CAC">
        <w:rPr>
          <w:szCs w:val="24"/>
        </w:rPr>
        <w:tab/>
        <w:t>naléhavě vyzývá k rychlejší a snazší aktivaci předběžných opatření podle nařízení o digitálních službách a dalších opatření podle nařízení o obecné bezpečnosti výrobků a nařízení o dozoru nad trhem, včetně dočasného pozastavení provozu online tržišť v případech opakovaného, závažného nebo systémového porušování práva EU, jako je případ týkající se společnosti SHEIN ve Francii, s cílem zajistit, aby platformy, které nedodržují předpisy, nesly důsledky; zdůrazňuje, že pozastavení provozu online tržišť by již nemělo být považováno za výjimečné krajní opatření;</w:t>
      </w:r>
    </w:p>
    <w:p w14:paraId="4B461402" w14:textId="77777777" w:rsidR="0045223C" w:rsidRPr="000B5CAC" w:rsidRDefault="0045223C" w:rsidP="000B5CAC">
      <w:pPr>
        <w:pStyle w:val="NormalHanging12a"/>
        <w:rPr>
          <w:szCs w:val="24"/>
        </w:rPr>
      </w:pPr>
      <w:r w:rsidRPr="000B5CAC">
        <w:rPr>
          <w:szCs w:val="24"/>
        </w:rPr>
        <w:t>15.</w:t>
      </w:r>
      <w:r w:rsidRPr="000B5CAC">
        <w:rPr>
          <w:szCs w:val="24"/>
        </w:rPr>
        <w:tab/>
        <w:t>poukazuje na to, že je třeba včas uplatňovat účinnější sankce a plně využívat všechny nástroje stanovené v právních předpisech EU; zdůrazňuje, že tyto sankce musí být dostatečně odrazující, aby zajistily, že platformy, které nedodržují právní předpisy EU, je budou plně dodržovat;</w:t>
      </w:r>
    </w:p>
    <w:p w14:paraId="5A7A7AF9" w14:textId="77777777" w:rsidR="0045223C" w:rsidRPr="000B5CAC" w:rsidRDefault="0045223C" w:rsidP="000B5CAC">
      <w:pPr>
        <w:pStyle w:val="NormalHanging12a"/>
        <w:rPr>
          <w:szCs w:val="24"/>
        </w:rPr>
      </w:pPr>
      <w:r w:rsidRPr="000B5CAC">
        <w:rPr>
          <w:szCs w:val="24"/>
        </w:rPr>
        <w:t>16.</w:t>
      </w:r>
      <w:r w:rsidRPr="000B5CAC">
        <w:rPr>
          <w:szCs w:val="24"/>
        </w:rPr>
        <w:tab/>
        <w:t xml:space="preserve">konstatuje, že stávající systém je spíše reaktivní nežli preventivní, neboť orgány zasahují až po prodeji nebezpečných výrobků spotřebitelům namísto toho, aby zabránily jejich distribuci; připomíná, že podle nařízení o obecné bezpečnosti výrobků musí online tržiště odstranit nabídku nebezpečného výrobku do dvou dnů, pokud se dozvědí, že je výrobek nebezpečný, nebo pokud musí přijmout opatření v návaznosti na příkaz vnitrostátního orgánu k odstranění nabídky, nebo do tří dnů, pokud musí přijmout opatření v návaznosti na příkaz vydaný uznanou třetí stranu; dále zdůrazňuje, že poskytovatelé online tržišť jsou vyzýváni k tomu, aby před tím, než začnou výrobky nabízet na svém rozhraní, zkontrolovali, zda jsou uvedeny na portálu </w:t>
      </w:r>
      <w:proofErr w:type="spellStart"/>
      <w:r w:rsidRPr="000B5CAC">
        <w:rPr>
          <w:szCs w:val="24"/>
        </w:rPr>
        <w:t>Safety</w:t>
      </w:r>
      <w:proofErr w:type="spellEnd"/>
      <w:r w:rsidRPr="000B5CAC">
        <w:rPr>
          <w:szCs w:val="24"/>
        </w:rPr>
        <w:t xml:space="preserve"> </w:t>
      </w:r>
      <w:proofErr w:type="spellStart"/>
      <w:r w:rsidRPr="000B5CAC">
        <w:rPr>
          <w:szCs w:val="24"/>
        </w:rPr>
        <w:t>Gate</w:t>
      </w:r>
      <w:proofErr w:type="spellEnd"/>
      <w:r w:rsidRPr="000B5CAC">
        <w:rPr>
          <w:szCs w:val="24"/>
        </w:rPr>
        <w:t>; zdůrazňuje, že namátkový odběr vzorků a testování mohou sloužit jako účinný odrazující prostředek pouze tehdy, jsou-li prováděny systematicky a s dostatečnou četností;</w:t>
      </w:r>
    </w:p>
    <w:p w14:paraId="27CC9207" w14:textId="77777777" w:rsidR="0045223C" w:rsidRPr="000B5CAC" w:rsidRDefault="0045223C" w:rsidP="000B5CAC">
      <w:pPr>
        <w:pStyle w:val="NormalHanging12a"/>
        <w:rPr>
          <w:szCs w:val="24"/>
        </w:rPr>
      </w:pPr>
      <w:r w:rsidRPr="000B5CAC">
        <w:rPr>
          <w:szCs w:val="24"/>
        </w:rPr>
        <w:t>17.</w:t>
      </w:r>
      <w:r w:rsidRPr="000B5CAC">
        <w:rPr>
          <w:szCs w:val="24"/>
        </w:rPr>
        <w:tab/>
        <w:t>vyzývá Komisi a příslušné vnitrostátní orgány, aby důsledně prosazovaly provádění nařízení o digitálních službách, pokud jde o odpovědnost online tržišť, zejména jejich povinnosti v souvislosti s </w:t>
      </w:r>
      <w:proofErr w:type="spellStart"/>
      <w:r w:rsidRPr="000B5CAC">
        <w:rPr>
          <w:szCs w:val="24"/>
        </w:rPr>
        <w:t>doporučovacími</w:t>
      </w:r>
      <w:proofErr w:type="spellEnd"/>
      <w:r w:rsidRPr="000B5CAC">
        <w:rPr>
          <w:szCs w:val="24"/>
        </w:rPr>
        <w:t xml:space="preserve"> systémy, koncepcí rozhraní, právem na informace, zajišťováním souladu s předpisy již od stadia návrhu s cílem zvýšit celkovou sledovatelnost a jejich povinností „poznat svého zákazníka“; zdůrazňuje potřebu sítě důvěryhodných oznamovatelů nelegálních produktů a elektronického obchodování založené na nařízení o digitálních službách, aby bylo zajištěno, že platformy budou účinně plnit své povinnosti; připomíná, že SHEIN a další online platformy, jako jsou </w:t>
      </w:r>
      <w:proofErr w:type="spellStart"/>
      <w:r w:rsidRPr="000B5CAC">
        <w:rPr>
          <w:szCs w:val="24"/>
        </w:rPr>
        <w:t>Temu</w:t>
      </w:r>
      <w:proofErr w:type="spellEnd"/>
      <w:r w:rsidRPr="000B5CAC">
        <w:rPr>
          <w:szCs w:val="24"/>
        </w:rPr>
        <w:t xml:space="preserve"> a </w:t>
      </w:r>
      <w:proofErr w:type="spellStart"/>
      <w:r w:rsidRPr="000B5CAC">
        <w:rPr>
          <w:szCs w:val="24"/>
        </w:rPr>
        <w:t>AliExpress</w:t>
      </w:r>
      <w:proofErr w:type="spellEnd"/>
      <w:r w:rsidRPr="000B5CAC">
        <w:rPr>
          <w:szCs w:val="24"/>
        </w:rPr>
        <w:t>, byly označeny za velmi velké online platformy a vztahují se na ně rozšířené povinnosti;</w:t>
      </w:r>
    </w:p>
    <w:p w14:paraId="6E0ADBC6" w14:textId="77777777" w:rsidR="0045223C" w:rsidRPr="000B5CAC" w:rsidRDefault="0045223C" w:rsidP="000B5CAC">
      <w:pPr>
        <w:pStyle w:val="NormalHanging12a"/>
        <w:rPr>
          <w:szCs w:val="24"/>
        </w:rPr>
      </w:pPr>
      <w:r w:rsidRPr="000B5CAC">
        <w:rPr>
          <w:szCs w:val="24"/>
        </w:rPr>
        <w:t>18.</w:t>
      </w:r>
      <w:r w:rsidRPr="000B5CAC">
        <w:rPr>
          <w:szCs w:val="24"/>
        </w:rPr>
        <w:tab/>
        <w:t xml:space="preserve">konstatuje, že Komise vyšetřuje některá online tržiště mimo EU kvůli používání manipulativních praktik, včetně temných vzorců, prvků návykového designu, klamavého marketingu </w:t>
      </w:r>
      <w:proofErr w:type="spellStart"/>
      <w:r w:rsidRPr="000B5CAC">
        <w:rPr>
          <w:szCs w:val="24"/>
        </w:rPr>
        <w:t>influencerů</w:t>
      </w:r>
      <w:proofErr w:type="spellEnd"/>
      <w:r w:rsidRPr="000B5CAC">
        <w:rPr>
          <w:szCs w:val="24"/>
        </w:rPr>
        <w:t xml:space="preserve"> a zveřejňování falešných nebo zavádějících online recenzí; připomíná, že kontrola účelnosti spotřebitelského práva z hlediska digitální spravedlnosti odhaduje ztráty spotřebitelů v důsledku nekalých obchodních praktik na téměř 8 miliard EUR ročně, a zdůrazňuje, že tyto vykořisťující metody, které postihují zejména zranitelné uživatele a nezletilé osoby, vyvolávají impulzivní nákupní chování a neudržitelnou spotřebu; naléhavě vyzývá Komisi, aby zajistila, aby připravovaný akt o digitální spravedlnosti tyto praktiky řešil odstraněním regulačních nedostatků ve stávajících právních předpisech; </w:t>
      </w:r>
    </w:p>
    <w:p w14:paraId="319E34D7" w14:textId="77777777" w:rsidR="0045223C" w:rsidRPr="000B5CAC" w:rsidRDefault="0045223C" w:rsidP="000B5CAC">
      <w:pPr>
        <w:pStyle w:val="NormalHanging12a"/>
        <w:rPr>
          <w:szCs w:val="24"/>
        </w:rPr>
      </w:pPr>
      <w:r w:rsidRPr="000B5CAC">
        <w:rPr>
          <w:szCs w:val="24"/>
        </w:rPr>
        <w:t>19.</w:t>
      </w:r>
      <w:r w:rsidRPr="000B5CAC">
        <w:rPr>
          <w:szCs w:val="24"/>
        </w:rPr>
        <w:tab/>
        <w:t>vyzývá k tomu, aby všichni prodejci působící na online tržištích měli povinnost poskytnout ověřitelnou adresu pro vracení zboží a kontaktní místo v EU a bylo zajištěno, aby spotřebitelé mohli účinně vymáhat svá práva podle spotřebitelského práva EU, jako je právo odstoupit od nákupu při nákupu online a vrátit nevyhovující zboží bez další zátěže, a aby příslušné orgány mohly účinně provádět kontroly; trvá na tom, že online tržiště by měla být odpovědná za kontrolu těchto záležitostí a související vymáhání;</w:t>
      </w:r>
    </w:p>
    <w:p w14:paraId="1D5DE3F7" w14:textId="77777777" w:rsidR="0045223C" w:rsidRPr="000B5CAC" w:rsidRDefault="0045223C" w:rsidP="000B5CAC">
      <w:pPr>
        <w:pStyle w:val="NormalHanging12a"/>
        <w:rPr>
          <w:b/>
          <w:i/>
          <w:iCs/>
          <w:szCs w:val="24"/>
        </w:rPr>
      </w:pPr>
      <w:r w:rsidRPr="000B5CAC">
        <w:rPr>
          <w:b/>
          <w:i/>
          <w:szCs w:val="24"/>
        </w:rPr>
        <w:t>Potřebné regulační reformy</w:t>
      </w:r>
    </w:p>
    <w:p w14:paraId="35FF35A0" w14:textId="77777777" w:rsidR="0045223C" w:rsidRPr="000B5CAC" w:rsidRDefault="0045223C" w:rsidP="000B5CAC">
      <w:pPr>
        <w:pStyle w:val="NormalHanging12a"/>
        <w:rPr>
          <w:bCs/>
          <w:szCs w:val="24"/>
        </w:rPr>
      </w:pPr>
      <w:r w:rsidRPr="000B5CAC">
        <w:rPr>
          <w:szCs w:val="24"/>
        </w:rPr>
        <w:t>20.</w:t>
      </w:r>
      <w:r w:rsidRPr="000B5CAC">
        <w:rPr>
          <w:szCs w:val="24"/>
        </w:rPr>
        <w:tab/>
        <w:t>naléhavě vyzývá Komisi, aby neprodleně přijala účinná opatření proti nebezpečným a nezákonným výrobkům na online platformách, včetně legislativních opatření v případech, kdy byly jasně zjištěny právní mezery, s cílem zajistit právní jistotu a rovné podmínky pro evropské společnosti, se zvláštním důrazem na malé a střední podniky; zdůrazňuje, že je třeba provádět stávající rámec pro dodržování předpisů a vyhodnotit tato opatření při zvažování nových právních předpisů, včetně nových povinností pro online tržiště;</w:t>
      </w:r>
    </w:p>
    <w:p w14:paraId="1AB90C20" w14:textId="77777777" w:rsidR="0045223C" w:rsidRPr="000B5CAC" w:rsidRDefault="0045223C" w:rsidP="000B5CAC">
      <w:pPr>
        <w:pStyle w:val="NormalHanging12a"/>
        <w:rPr>
          <w:szCs w:val="24"/>
        </w:rPr>
      </w:pPr>
      <w:r w:rsidRPr="000B5CAC">
        <w:rPr>
          <w:szCs w:val="24"/>
        </w:rPr>
        <w:t>21.</w:t>
      </w:r>
      <w:r w:rsidRPr="000B5CAC">
        <w:rPr>
          <w:szCs w:val="24"/>
        </w:rPr>
        <w:tab/>
        <w:t>zdůrazňuje skutečnost, že informace o odpovědném hospodářském subjektu v EU jednajícím jménem obchodníka nebo platformy ze zemí mimo EU, jež vyžaduje nařízení o obecné bezpečnosti výrobků, jsou často nesprávné nebo úplně chybějí; zdůrazňuje však, že pokud mají prodejci sídlo mimo EU nebo je nelze vysledovat a pokud jsou používány falešné adresy pro odpovědné osoby, neexistuje odpovědný právní subjekt a orgány dozoru nad trhem nemohou přijmout donucovací opatření a spotřebitelé nemají přístup k odškodnění nebo opravným prostředkům; konstatuje, že i když jsou uvedené informace k dispozici, nemusí to znamenat, že odpovědná osoba v EU ponese odpovědnost;</w:t>
      </w:r>
    </w:p>
    <w:p w14:paraId="4812E8AA" w14:textId="77777777" w:rsidR="0045223C" w:rsidRPr="000B5CAC" w:rsidRDefault="0045223C" w:rsidP="000B5CAC">
      <w:pPr>
        <w:pStyle w:val="NormalHanging12a"/>
        <w:rPr>
          <w:szCs w:val="24"/>
        </w:rPr>
      </w:pPr>
      <w:r w:rsidRPr="000B5CAC">
        <w:rPr>
          <w:szCs w:val="24"/>
        </w:rPr>
        <w:t>22.</w:t>
      </w:r>
      <w:r w:rsidRPr="000B5CAC">
        <w:rPr>
          <w:szCs w:val="24"/>
        </w:rPr>
        <w:tab/>
        <w:t>domnívá se, že odškodnění spotřebitelů musí být zajištěno ve všech případech; v této souvislosti zdůrazňuje, že pokud je výrobce usazen mimo EU a nelze určit žádného dovozce, zplnomocněného zástupce nebo poskytovatele služeb kompletního vyřízení objednávek, měla by v případě, že nebylo dodrženo nařízení o digitálních službách, zejména články 30 a 31 tohoto nařízení nebo článek 22 nařízení o obecné bezpečnosti výrobků, odpovídající a přiměřená nápravná opatření poskytovat spotřebitelům online tržiště;</w:t>
      </w:r>
    </w:p>
    <w:p w14:paraId="18748EB6" w14:textId="77777777" w:rsidR="0045223C" w:rsidRPr="000B5CAC" w:rsidRDefault="0045223C" w:rsidP="000B5CAC">
      <w:pPr>
        <w:pStyle w:val="NormalHanging12a"/>
        <w:rPr>
          <w:szCs w:val="24"/>
        </w:rPr>
      </w:pPr>
      <w:r w:rsidRPr="000B5CAC">
        <w:rPr>
          <w:szCs w:val="24"/>
        </w:rPr>
        <w:t>23.</w:t>
      </w:r>
      <w:r w:rsidRPr="000B5CAC">
        <w:rPr>
          <w:szCs w:val="24"/>
        </w:rPr>
        <w:tab/>
        <w:t>bere na vědomí záměr Komise revidovat nařízení o dozoru nad trhem a zdůrazňuje, že tento proces musí umožnit rychlé a důkladné posouzení stávajících pravidel týkajících se „osoby odpovědné za výrobky uvedené na trh Unie“, zejména pravidel pro obchodníky ze zemí mimo EU, a to na základě výsledků hodnotící zprávy k článku 4 nařízení o dozoru nad trhem; vyzývá Komisi, aby urychleně vypracovala posouzení týkající se zavedení povinnosti pro obchodníky ze zemí mimo EU jmenovat v EU odpovědnou osobu s větší právní a finanční odpovědností;</w:t>
      </w:r>
    </w:p>
    <w:p w14:paraId="4A93A47F" w14:textId="77777777" w:rsidR="0045223C" w:rsidRPr="000B5CAC" w:rsidRDefault="0045223C" w:rsidP="000B5CAC">
      <w:pPr>
        <w:pStyle w:val="NormalHanging12a"/>
        <w:rPr>
          <w:szCs w:val="24"/>
        </w:rPr>
      </w:pPr>
      <w:r w:rsidRPr="000B5CAC">
        <w:rPr>
          <w:szCs w:val="24"/>
        </w:rPr>
        <w:t>24.</w:t>
      </w:r>
      <w:r w:rsidRPr="000B5CAC">
        <w:rPr>
          <w:szCs w:val="24"/>
        </w:rPr>
        <w:tab/>
        <w:t>domnívá se, že revize nařízení o dozoru nad trhem nabízí zásadní příležitost k posílení regulačního rámce EU tím, že se jasněji odliší povinnosti platforem, které uvádějí výrobky na trh, od povinností platforem, jejichž činnost je omezena na hosting neproduktového obsahu, jako jsou videa, obrazový materiál nebo články; připomíná, že toto rozlišení je již obsaženo v nařízení o obecné bezpečnosti výrobků, nařízení o dozoru nad trhem a celním kodexu Unie, které stanoví zvláštní ustanovení pro online tržiště prodávající výrobky; domnívá se však, že pro další ochranu spotřebitelů je nezbytné posílit odpovědnost online tržišť, která prodávají výrobky;</w:t>
      </w:r>
    </w:p>
    <w:p w14:paraId="1D1A87D0" w14:textId="77777777" w:rsidR="0045223C" w:rsidRPr="000B5CAC" w:rsidRDefault="0045223C" w:rsidP="000B5CAC">
      <w:pPr>
        <w:pStyle w:val="NormalHanging12a"/>
        <w:rPr>
          <w:szCs w:val="24"/>
        </w:rPr>
      </w:pPr>
      <w:r w:rsidRPr="000B5CAC">
        <w:rPr>
          <w:szCs w:val="24"/>
        </w:rPr>
        <w:t>25.</w:t>
      </w:r>
      <w:r w:rsidRPr="000B5CAC">
        <w:rPr>
          <w:szCs w:val="24"/>
        </w:rPr>
        <w:tab/>
        <w:t>naléhavě vyzývá Komisi, aby neprodleně přistoupila ke komplexní revizi nařízení o spolupráci v oblasti ochrany spotřebitele</w:t>
      </w:r>
      <w:r w:rsidRPr="000B5CAC">
        <w:rPr>
          <w:rStyle w:val="FootnoteReference"/>
          <w:szCs w:val="24"/>
        </w:rPr>
        <w:footnoteReference w:id="10"/>
      </w:r>
      <w:r w:rsidRPr="000B5CAC">
        <w:rPr>
          <w:szCs w:val="24"/>
        </w:rPr>
        <w:t>, neboť to je předpokladem pro dosažení důsledného přeshraničního prosazování pravidel EU na ochranu spotřebitele a omezení oběhu nebezpečného zboží; trvá na tom, že revize musí zavést konkrétní ustanovení posilující donucovací kapacity, pokud jde o obchodníky a platformy ze zemí mimo EU, a zároveň zajistit užší koordinaci a strukturované sdílení informací mezi EU a vnitrostátními orgány a případně s příslušnými orgány v zemích mimo EU; zdůrazňuje, že je třeba udělit Komisi přímé vyšetřovací a sankční pravomoci v případě závažného porušování spotřebitelského práva s velkým dopadem, aby bylo zajištěno jednotné, souběžné a odrazující prosazování v celé EU;</w:t>
      </w:r>
    </w:p>
    <w:p w14:paraId="1DD8EAB7" w14:textId="77777777" w:rsidR="0045223C" w:rsidRPr="000B5CAC" w:rsidRDefault="0045223C" w:rsidP="000B5CAC">
      <w:pPr>
        <w:pStyle w:val="NormalHanging12a"/>
        <w:rPr>
          <w:szCs w:val="24"/>
        </w:rPr>
      </w:pPr>
      <w:r w:rsidRPr="000B5CAC">
        <w:rPr>
          <w:szCs w:val="24"/>
        </w:rPr>
        <w:t>26.</w:t>
      </w:r>
      <w:r w:rsidRPr="000B5CAC">
        <w:rPr>
          <w:szCs w:val="24"/>
        </w:rPr>
        <w:tab/>
        <w:t>domnívá se, že fiktivní nákupy prováděné orgány dozoru nad trhem, jak je uvedeno ve sdělení Komise o elektronickém obchodu, představují klíčový prostředek pro posouzení zákonnosti a bezpečnosti výrobků nabízených prostřednictvím online platforem; vyzývá k výraznému rozšíření těchto kontrol a k jejich pravidelnějšímu provádění s cílem zajistit rozsáhlé prosazování spolu s dalšími koordinovanými donucovacími opatřeními, jako jsou společné kontrolní akce a vzájemná hodnocení; připomíná, že nápravná opatření zaměřená na opakované nebo dříve zdokumentované nedodržení předpisů ve vztahu ke srovnatelným výrobkům, která stanoví nařízení o obecné bezpečnosti výrobků, by měla být používána systematičtěji;</w:t>
      </w:r>
    </w:p>
    <w:p w14:paraId="25B13225" w14:textId="77777777" w:rsidR="0045223C" w:rsidRPr="000B5CAC" w:rsidRDefault="0045223C" w:rsidP="000B5CAC">
      <w:pPr>
        <w:pStyle w:val="NormalHanging12a"/>
        <w:rPr>
          <w:szCs w:val="24"/>
        </w:rPr>
      </w:pPr>
      <w:r w:rsidRPr="000B5CAC">
        <w:rPr>
          <w:szCs w:val="24"/>
        </w:rPr>
        <w:t>27.</w:t>
      </w:r>
      <w:r w:rsidRPr="000B5CAC">
        <w:rPr>
          <w:szCs w:val="24"/>
        </w:rPr>
        <w:tab/>
        <w:t>vyzývá Komisi, aby posoudila proveditelnost vypracování jasných a harmonizovaných definic „rychlé módy“ a „ultrarychlé módy“ s cílem řešit specifická rizika spojená s těmito obchodními modely, zajistit rovné podmínky pro všechny účastníky trhu a zabránit roztříštěnosti právních předpisů v rámci vnitřního trhu; dále žádá Komisi, aby zvážila ustanovení, která by zajistila dostupnost plně účinných nástrojů k řešení problémů, které představuje nárůst „ultrarychlých“ a nekvalitních výrobků, včetně spolehlivějších postupů posuzování shody a posílených nástrojů prosazování pravidel, a to s cílem zajistit takový vnitřní trh, který zaručí nejvyšší úroveň ochrany spotřebitele a zároveň umožní rozvoj inovativních výrobků a nápadů a sníží veškerou zbytečnou administrativní zátěž odpovědných podniků a výrobků, které jsou v souladu s právními předpisy;</w:t>
      </w:r>
    </w:p>
    <w:p w14:paraId="19DD69BE" w14:textId="77777777" w:rsidR="0045223C" w:rsidRPr="000B5CAC" w:rsidRDefault="0045223C" w:rsidP="000B5CAC">
      <w:pPr>
        <w:pStyle w:val="NormalHanging12a"/>
        <w:rPr>
          <w:szCs w:val="24"/>
        </w:rPr>
      </w:pPr>
      <w:r w:rsidRPr="000B5CAC">
        <w:rPr>
          <w:szCs w:val="24"/>
        </w:rPr>
        <w:t>28.</w:t>
      </w:r>
      <w:r w:rsidRPr="000B5CAC">
        <w:rPr>
          <w:szCs w:val="24"/>
        </w:rPr>
        <w:tab/>
        <w:t>dále naléhavě vyzývá členské státy, aby za podpory celního datového centra EU výrazně urychlily digitalizaci dovozních postupů v celních správách s cílem zajistit účinné uplatňování stávajících právních předpisů a urychlit celní odbavení, zejména vzhledem k exponenciálnímu nárůstu toků balíků; žádá členské státy, aby zvýšily využívání automatizovaných procesů, jako je automatizované skenování štítků při zpracování balíků u celních orgánů; zdůrazňuje, že všeobecné využívání digitálního pasu výrobku, který by obsahoval podrobné informace o kvalitě a souladu a který by byl začleněn přímo do celního datového centra EU, by umožňovalo ověření souladu ex ante u všech výrobků dovážených prostřednictvím elektronického obchodu; vyzývá Komisi, aby co nejdříve zavedla digitální pas výrobku pro veškeré fyzické zboží uváděné na trh EU;</w:t>
      </w:r>
    </w:p>
    <w:p w14:paraId="5E2E6F9E" w14:textId="77777777" w:rsidR="0045223C" w:rsidRPr="000B5CAC" w:rsidRDefault="0045223C" w:rsidP="000B5CAC">
      <w:pPr>
        <w:pStyle w:val="NormalHanging12a"/>
        <w:rPr>
          <w:szCs w:val="24"/>
        </w:rPr>
      </w:pPr>
      <w:r w:rsidRPr="000B5CAC">
        <w:rPr>
          <w:szCs w:val="24"/>
        </w:rPr>
        <w:t>29.</w:t>
      </w:r>
      <w:r w:rsidRPr="000B5CAC">
        <w:rPr>
          <w:szCs w:val="24"/>
        </w:rPr>
        <w:tab/>
        <w:t>naléhavě vyzývá členské státy, aby výrazně posílily celní kontroly a zvýšily kapacity pro analýzu rizik, a to s podporou úkolů v oblasti řízení rizik prováděných Komisí a Celním úřadem EU, které mají být zavedeny v rámci reformy celního kodexu Unie, aby bylo rychle odhaleno a zachyceno nevyhovující zboží, a omezily se tak škody způsobené spotřebitelům v EU a ochránily hospodářské zájmy podniků v EU; zdůrazňuje, že je třeba posílit kapacitu celních středisek, aby mohla účinně zpracovávat velmi vysoký objem malých balíků, které unikají tradičním kontrolním metodám, a to i prostřednictvím zavádění pokročilých screeningových technologií schopných identifikovat podezřelé zásilky na vstupních místech; vyzývá k přísnějším kontrolám dodržování předpisů u přepravy s vysokou tonáží, které by měly doplňovat namátkové kontroly;</w:t>
      </w:r>
    </w:p>
    <w:p w14:paraId="367CF92F" w14:textId="77777777" w:rsidR="0045223C" w:rsidRPr="000B5CAC" w:rsidRDefault="0045223C" w:rsidP="000B5CAC">
      <w:pPr>
        <w:pStyle w:val="NormalHanging12a"/>
        <w:rPr>
          <w:szCs w:val="24"/>
        </w:rPr>
      </w:pPr>
      <w:r w:rsidRPr="000B5CAC">
        <w:rPr>
          <w:szCs w:val="24"/>
        </w:rPr>
        <w:t>30.</w:t>
      </w:r>
      <w:r w:rsidRPr="000B5CAC">
        <w:rPr>
          <w:szCs w:val="24"/>
        </w:rPr>
        <w:tab/>
        <w:t>zdůrazňuje, že s ohledem na naléhavou potřebu posílit celní kontroly by měly být zkráceny lhůty pro provedení hlavních povinností vyplývajících z revize celního kodexu Unie, zejména vytvoření celního datového centra EU; naléhavě vyzývá Komisi, aby neprodleně zahájila veškeré přípravné kroky nezbytné pro jeho zřízení a zajistila, aby byly funkce centra týkající se elektronického obchodu plně zprovozněny ještě před rokem 2026, což byla původně stanovená lhůta; vítá politickou dohodu dosaženou v Radě o zrušení prahové hodnoty 150 EUR pro osvobození od cla, neboť se jedná o zásadní opatření k omezení systematického zneužívání osvobození u zásilek nízké hodnoty;</w:t>
      </w:r>
    </w:p>
    <w:p w14:paraId="7370526B" w14:textId="77777777" w:rsidR="0045223C" w:rsidRPr="000B5CAC" w:rsidRDefault="0045223C" w:rsidP="000B5CAC">
      <w:pPr>
        <w:pStyle w:val="NormalHanging12a"/>
        <w:rPr>
          <w:szCs w:val="24"/>
        </w:rPr>
      </w:pPr>
      <w:r w:rsidRPr="000B5CAC">
        <w:rPr>
          <w:szCs w:val="24"/>
        </w:rPr>
        <w:t>31.</w:t>
      </w:r>
      <w:r w:rsidRPr="000B5CAC">
        <w:rPr>
          <w:szCs w:val="24"/>
        </w:rPr>
        <w:tab/>
        <w:t>konstatuje, že v některých případech obchodníci a platformy ze zemí mimo EU dodávají na trh EU nevyhovující a někdy i nebezpečné zboží, aniž by čelili důsledkům; bere na vědomí, že reforma celního kodexu Unie by měla přispět k řešení mezer, pokud jde o odpovědnost za nevyhovující výrobky vstupující na celní území EU;</w:t>
      </w:r>
    </w:p>
    <w:p w14:paraId="3716C49D" w14:textId="77777777" w:rsidR="0045223C" w:rsidRPr="000B5CAC" w:rsidRDefault="0045223C" w:rsidP="007E0FBC">
      <w:pPr>
        <w:pStyle w:val="NormalHanging12a"/>
        <w:rPr>
          <w:szCs w:val="24"/>
        </w:rPr>
      </w:pPr>
      <w:r w:rsidRPr="000B5CAC">
        <w:rPr>
          <w:szCs w:val="24"/>
        </w:rPr>
        <w:t>32.</w:t>
      </w:r>
      <w:r w:rsidRPr="000B5CAC">
        <w:rPr>
          <w:szCs w:val="24"/>
        </w:rPr>
        <w:tab/>
        <w:t>vyzývá orgány na ochranu spotřebitele, organizace, průmyslové subjekty a obchodní komory, aby zintenzivnily společné informační úsilí s cílem poskytnout spotřebitelům jasné a dostupné pokyny týkající se jejich práv a rizik spojených s online nákupy, zejména ze strany platforem mimo EU; důrazně vyzývá k tomu, aby tyto iniciativy výrazně upozorňovaly na dostupnost způsobů odškodnění, včetně kolektivního odškodnění, s cílem zajistit, aby spotřebitelé mohli účinně usilovat o nápravu v případě, že se setkají s nebezpečnými nebo nezákonnými výrobky;</w:t>
      </w:r>
    </w:p>
    <w:p w14:paraId="768683AE" w14:textId="21769FB3" w:rsidR="000B5CAC" w:rsidRDefault="000B5CAC" w:rsidP="001E6731">
      <w:pPr>
        <w:pStyle w:val="NormalHanging12a"/>
        <w:widowControl/>
        <w:jc w:val="center"/>
        <w:rPr>
          <w:szCs w:val="24"/>
        </w:rPr>
      </w:pPr>
      <w:r>
        <w:rPr>
          <w:szCs w:val="24"/>
        </w:rPr>
        <w:t>°</w:t>
      </w:r>
    </w:p>
    <w:p w14:paraId="559175BC" w14:textId="485E92AD" w:rsidR="000B5CAC" w:rsidRDefault="000B5CAC" w:rsidP="001E6731">
      <w:pPr>
        <w:pStyle w:val="NormalHanging12a"/>
        <w:widowControl/>
        <w:jc w:val="center"/>
        <w:rPr>
          <w:szCs w:val="24"/>
        </w:rPr>
      </w:pPr>
      <w:r>
        <w:rPr>
          <w:szCs w:val="24"/>
        </w:rPr>
        <w:t>°     °</w:t>
      </w:r>
    </w:p>
    <w:p w14:paraId="500DEA0D" w14:textId="606E9A94" w:rsidR="00E365E1" w:rsidRPr="000B5CAC" w:rsidRDefault="0045223C" w:rsidP="007E0FBC">
      <w:pPr>
        <w:pStyle w:val="NormalHanging12a"/>
        <w:rPr>
          <w:szCs w:val="24"/>
        </w:rPr>
      </w:pPr>
      <w:r w:rsidRPr="000B5CAC">
        <w:rPr>
          <w:szCs w:val="24"/>
        </w:rPr>
        <w:t>33.</w:t>
      </w:r>
      <w:r w:rsidR="007E0FBC">
        <w:rPr>
          <w:szCs w:val="24"/>
        </w:rPr>
        <w:tab/>
      </w:r>
      <w:r w:rsidRPr="000B5CAC">
        <w:rPr>
          <w:szCs w:val="24"/>
        </w:rPr>
        <w:t>pověřuje svou předsedkyni, aby předala toto usnesení Radě a Komisi.</w:t>
      </w:r>
    </w:p>
    <w:sectPr w:rsidR="00E365E1" w:rsidRPr="000B5CAC" w:rsidSect="006C435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8A027" w14:textId="77777777" w:rsidR="00FC1279" w:rsidRPr="006C4351" w:rsidRDefault="00FC1279">
      <w:r w:rsidRPr="006C4351">
        <w:separator/>
      </w:r>
    </w:p>
  </w:endnote>
  <w:endnote w:type="continuationSeparator" w:id="0">
    <w:p w14:paraId="5B3F2C77" w14:textId="77777777" w:rsidR="00FC1279" w:rsidRPr="006C4351" w:rsidRDefault="00FC1279">
      <w:r w:rsidRPr="006C43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2320B" w14:textId="77777777" w:rsidR="00064002" w:rsidRPr="006C435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F920A" w14:textId="77777777" w:rsidR="00064002" w:rsidRPr="006C435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F8EEF" w14:textId="77777777" w:rsidR="00064002" w:rsidRPr="006C43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DFF9F" w14:textId="77777777" w:rsidR="00FC1279" w:rsidRPr="006C4351" w:rsidRDefault="00FC1279">
      <w:r w:rsidRPr="006C4351">
        <w:separator/>
      </w:r>
    </w:p>
  </w:footnote>
  <w:footnote w:type="continuationSeparator" w:id="0">
    <w:p w14:paraId="272F9D74" w14:textId="77777777" w:rsidR="00FC1279" w:rsidRPr="006C4351" w:rsidRDefault="00FC1279">
      <w:r w:rsidRPr="006C4351">
        <w:continuationSeparator/>
      </w:r>
    </w:p>
  </w:footnote>
  <w:footnote w:id="1">
    <w:p w14:paraId="5393CC75" w14:textId="32D1B719" w:rsidR="0045223C" w:rsidRPr="006C4351" w:rsidRDefault="0045223C" w:rsidP="006C4351">
      <w:pPr>
        <w:pStyle w:val="FootnoteText"/>
        <w:ind w:left="567" w:hanging="567"/>
        <w:rPr>
          <w:sz w:val="24"/>
          <w:lang w:val="cs-CZ"/>
        </w:rPr>
      </w:pPr>
      <w:r w:rsidRPr="006C4351">
        <w:rPr>
          <w:rStyle w:val="FootnoteReference"/>
          <w:sz w:val="24"/>
          <w:lang w:val="cs-CZ"/>
        </w:rPr>
        <w:footnoteRef/>
      </w:r>
      <w:r w:rsidR="006C4351" w:rsidRPr="006C4351">
        <w:rPr>
          <w:sz w:val="24"/>
          <w:lang w:val="cs-CZ"/>
        </w:rPr>
        <w:t xml:space="preserve"> </w:t>
      </w:r>
      <w:r w:rsidR="006C4351" w:rsidRPr="006C4351">
        <w:rPr>
          <w:sz w:val="24"/>
          <w:lang w:val="cs-CZ"/>
        </w:rPr>
        <w:tab/>
      </w:r>
      <w:proofErr w:type="spellStart"/>
      <w:r w:rsidRPr="006C4351">
        <w:rPr>
          <w:sz w:val="24"/>
          <w:lang w:val="cs-CZ"/>
        </w:rPr>
        <w:t>Úř</w:t>
      </w:r>
      <w:proofErr w:type="spellEnd"/>
      <w:r w:rsidRPr="006C4351">
        <w:rPr>
          <w:sz w:val="24"/>
          <w:lang w:val="cs-CZ"/>
        </w:rPr>
        <w:t xml:space="preserve">. </w:t>
      </w:r>
      <w:proofErr w:type="spellStart"/>
      <w:r w:rsidRPr="006C4351">
        <w:rPr>
          <w:sz w:val="24"/>
          <w:lang w:val="cs-CZ"/>
        </w:rPr>
        <w:t>věst</w:t>
      </w:r>
      <w:proofErr w:type="spellEnd"/>
      <w:r w:rsidRPr="006C4351">
        <w:rPr>
          <w:sz w:val="24"/>
          <w:lang w:val="cs-CZ"/>
        </w:rPr>
        <w:t xml:space="preserve">. C, C/2025/1035, 27.2.2025, ELI: </w:t>
      </w:r>
      <w:hyperlink r:id="rId1" w:history="1">
        <w:r w:rsidRPr="006C4351">
          <w:rPr>
            <w:rStyle w:val="Hyperlink"/>
            <w:sz w:val="24"/>
            <w:lang w:val="cs-CZ"/>
          </w:rPr>
          <w:t>http://data.europa.eu/eli/C/2025/1035/oj</w:t>
        </w:r>
      </w:hyperlink>
      <w:r w:rsidRPr="006C4351">
        <w:rPr>
          <w:sz w:val="24"/>
          <w:lang w:val="cs-CZ"/>
        </w:rPr>
        <w:t>.</w:t>
      </w:r>
    </w:p>
  </w:footnote>
  <w:footnote w:id="2">
    <w:p w14:paraId="68177FD7" w14:textId="26D68116" w:rsidR="0045223C" w:rsidRPr="006C4351" w:rsidRDefault="0045223C" w:rsidP="006C4351">
      <w:pPr>
        <w:pStyle w:val="FootnoteText"/>
        <w:ind w:left="567" w:hanging="567"/>
        <w:rPr>
          <w:sz w:val="24"/>
          <w:lang w:val="cs-CZ"/>
        </w:rPr>
      </w:pPr>
      <w:r w:rsidRPr="006C4351">
        <w:rPr>
          <w:rStyle w:val="FootnoteReference"/>
          <w:sz w:val="24"/>
          <w:lang w:val="cs-CZ"/>
        </w:rPr>
        <w:footnoteRef/>
      </w:r>
      <w:r w:rsidR="006C4351" w:rsidRPr="006C4351">
        <w:rPr>
          <w:sz w:val="24"/>
          <w:lang w:val="cs-CZ"/>
        </w:rPr>
        <w:t xml:space="preserve"> </w:t>
      </w:r>
      <w:r w:rsidR="006C4351" w:rsidRPr="006C4351">
        <w:rPr>
          <w:sz w:val="24"/>
          <w:lang w:val="cs-CZ"/>
        </w:rPr>
        <w:tab/>
      </w:r>
      <w:proofErr w:type="spellStart"/>
      <w:r w:rsidRPr="006C4351">
        <w:rPr>
          <w:sz w:val="24"/>
          <w:lang w:val="cs-CZ"/>
        </w:rPr>
        <w:t>Úř</w:t>
      </w:r>
      <w:proofErr w:type="spellEnd"/>
      <w:r w:rsidRPr="006C4351">
        <w:rPr>
          <w:sz w:val="24"/>
          <w:lang w:val="cs-CZ"/>
        </w:rPr>
        <w:t xml:space="preserve">. </w:t>
      </w:r>
      <w:proofErr w:type="spellStart"/>
      <w:r w:rsidRPr="006C4351">
        <w:rPr>
          <w:sz w:val="24"/>
          <w:lang w:val="cs-CZ"/>
        </w:rPr>
        <w:t>věst</w:t>
      </w:r>
      <w:proofErr w:type="spellEnd"/>
      <w:r w:rsidRPr="006C4351">
        <w:rPr>
          <w:sz w:val="24"/>
          <w:lang w:val="cs-CZ"/>
        </w:rPr>
        <w:t xml:space="preserve">. L, 2024/3015, 12.12.2024, ELI: </w:t>
      </w:r>
      <w:hyperlink r:id="rId2" w:history="1">
        <w:r w:rsidRPr="006C4351">
          <w:rPr>
            <w:rStyle w:val="Hyperlink"/>
            <w:sz w:val="24"/>
            <w:lang w:val="cs-CZ"/>
          </w:rPr>
          <w:t>http://data.europa.eu/eli/reg/2024/3015/oj</w:t>
        </w:r>
      </w:hyperlink>
      <w:r w:rsidRPr="006C4351">
        <w:rPr>
          <w:sz w:val="24"/>
          <w:lang w:val="cs-CZ"/>
        </w:rPr>
        <w:t>.</w:t>
      </w:r>
    </w:p>
  </w:footnote>
  <w:footnote w:id="3">
    <w:p w14:paraId="6890450D" w14:textId="6CF49C4B" w:rsidR="0045223C" w:rsidRPr="006C4351" w:rsidRDefault="0045223C" w:rsidP="006C4351">
      <w:pPr>
        <w:pStyle w:val="FootnoteText"/>
        <w:ind w:left="567" w:hanging="567"/>
        <w:rPr>
          <w:sz w:val="24"/>
          <w:lang w:val="cs-CZ"/>
        </w:rPr>
      </w:pPr>
      <w:r w:rsidRPr="006C4351">
        <w:rPr>
          <w:rStyle w:val="FootnoteReference"/>
          <w:sz w:val="24"/>
          <w:lang w:val="cs-CZ"/>
        </w:rPr>
        <w:footnoteRef/>
      </w:r>
      <w:r w:rsidR="006C4351" w:rsidRPr="006C4351">
        <w:rPr>
          <w:sz w:val="24"/>
          <w:lang w:val="cs-CZ"/>
        </w:rPr>
        <w:t xml:space="preserve"> </w:t>
      </w:r>
      <w:r w:rsidR="006C4351" w:rsidRPr="006C4351">
        <w:rPr>
          <w:sz w:val="24"/>
          <w:lang w:val="cs-CZ"/>
        </w:rPr>
        <w:tab/>
      </w:r>
      <w:proofErr w:type="spellStart"/>
      <w:r w:rsidRPr="006C4351">
        <w:rPr>
          <w:sz w:val="24"/>
          <w:lang w:val="cs-CZ"/>
        </w:rPr>
        <w:t>Úř</w:t>
      </w:r>
      <w:proofErr w:type="spellEnd"/>
      <w:r w:rsidRPr="006C4351">
        <w:rPr>
          <w:sz w:val="24"/>
          <w:lang w:val="cs-CZ"/>
        </w:rPr>
        <w:t xml:space="preserve">. </w:t>
      </w:r>
      <w:proofErr w:type="spellStart"/>
      <w:r w:rsidRPr="006C4351">
        <w:rPr>
          <w:sz w:val="24"/>
          <w:lang w:val="cs-CZ"/>
        </w:rPr>
        <w:t>věst</w:t>
      </w:r>
      <w:proofErr w:type="spellEnd"/>
      <w:r w:rsidRPr="006C4351">
        <w:rPr>
          <w:sz w:val="24"/>
          <w:lang w:val="cs-CZ"/>
        </w:rPr>
        <w:t xml:space="preserve">. L, 2024/1760, 5.7.2024, ELI: </w:t>
      </w:r>
      <w:hyperlink r:id="rId3" w:history="1">
        <w:r w:rsidRPr="006C4351">
          <w:rPr>
            <w:rStyle w:val="Hyperlink"/>
            <w:sz w:val="24"/>
            <w:lang w:val="cs-CZ"/>
          </w:rPr>
          <w:t>http://data.europa.eu/eli/dir/2024/1760/oj</w:t>
        </w:r>
      </w:hyperlink>
      <w:r w:rsidRPr="006C4351">
        <w:rPr>
          <w:sz w:val="24"/>
          <w:lang w:val="cs-CZ"/>
        </w:rPr>
        <w:t>.</w:t>
      </w:r>
    </w:p>
  </w:footnote>
  <w:footnote w:id="4">
    <w:p w14:paraId="01B5FDC9" w14:textId="12C77771" w:rsidR="0045223C" w:rsidRPr="006C4351" w:rsidRDefault="0045223C" w:rsidP="006C4351">
      <w:pPr>
        <w:pStyle w:val="FootnoteText"/>
        <w:ind w:left="567" w:hanging="567"/>
        <w:rPr>
          <w:sz w:val="24"/>
          <w:lang w:val="cs-CZ"/>
        </w:rPr>
      </w:pPr>
      <w:r w:rsidRPr="006C4351">
        <w:rPr>
          <w:rStyle w:val="FootnoteReference"/>
          <w:sz w:val="24"/>
          <w:lang w:val="cs-CZ"/>
        </w:rPr>
        <w:footnoteRef/>
      </w:r>
      <w:r w:rsidR="006C4351" w:rsidRPr="006C4351">
        <w:rPr>
          <w:sz w:val="24"/>
          <w:lang w:val="cs-CZ"/>
        </w:rPr>
        <w:t xml:space="preserve"> </w:t>
      </w:r>
      <w:r w:rsidR="006C4351" w:rsidRPr="006C4351">
        <w:rPr>
          <w:sz w:val="24"/>
          <w:lang w:val="cs-CZ"/>
        </w:rPr>
        <w:tab/>
      </w:r>
      <w:proofErr w:type="spellStart"/>
      <w:r w:rsidRPr="006C4351">
        <w:rPr>
          <w:sz w:val="24"/>
          <w:lang w:val="cs-CZ"/>
        </w:rPr>
        <w:t>Letta</w:t>
      </w:r>
      <w:proofErr w:type="spellEnd"/>
      <w:r w:rsidRPr="006C4351">
        <w:rPr>
          <w:sz w:val="24"/>
          <w:lang w:val="cs-CZ"/>
        </w:rPr>
        <w:t>, E., „</w:t>
      </w:r>
      <w:hyperlink r:id="rId4" w:history="1">
        <w:r w:rsidRPr="001E6731">
          <w:rPr>
            <w:rStyle w:val="Hyperlink"/>
            <w:color w:val="auto"/>
            <w:sz w:val="24"/>
            <w:u w:val="none"/>
            <w:lang w:val="cs-CZ"/>
          </w:rPr>
          <w:t xml:space="preserve">Much more </w:t>
        </w:r>
        <w:proofErr w:type="spellStart"/>
        <w:r w:rsidRPr="001E6731">
          <w:rPr>
            <w:rStyle w:val="Hyperlink"/>
            <w:color w:val="auto"/>
            <w:sz w:val="24"/>
            <w:u w:val="none"/>
            <w:lang w:val="cs-CZ"/>
          </w:rPr>
          <w:t>than</w:t>
        </w:r>
        <w:proofErr w:type="spellEnd"/>
        <w:r w:rsidRPr="001E6731">
          <w:rPr>
            <w:rStyle w:val="Hyperlink"/>
            <w:color w:val="auto"/>
            <w:sz w:val="24"/>
            <w:u w:val="none"/>
            <w:lang w:val="cs-CZ"/>
          </w:rPr>
          <w:t xml:space="preserve"> a market:</w:t>
        </w:r>
      </w:hyperlink>
      <w:hyperlink r:id="rId5" w:history="1">
        <w:r w:rsidRPr="001E6731">
          <w:rPr>
            <w:rStyle w:val="Hyperlink"/>
            <w:color w:val="auto"/>
            <w:sz w:val="24"/>
            <w:u w:val="none"/>
            <w:lang w:val="cs-CZ"/>
          </w:rPr>
          <w:t xml:space="preserve"> Speed, </w:t>
        </w:r>
        <w:proofErr w:type="spellStart"/>
        <w:r w:rsidRPr="001E6731">
          <w:rPr>
            <w:rStyle w:val="Hyperlink"/>
            <w:color w:val="auto"/>
            <w:sz w:val="24"/>
            <w:u w:val="none"/>
            <w:lang w:val="cs-CZ"/>
          </w:rPr>
          <w:t>Security</w:t>
        </w:r>
        <w:proofErr w:type="spellEnd"/>
        <w:r w:rsidRPr="001E6731">
          <w:rPr>
            <w:rStyle w:val="Hyperlink"/>
            <w:color w:val="auto"/>
            <w:sz w:val="24"/>
            <w:u w:val="none"/>
            <w:lang w:val="cs-CZ"/>
          </w:rPr>
          <w:t xml:space="preserve">, Solidarity – </w:t>
        </w:r>
        <w:proofErr w:type="spellStart"/>
        <w:r w:rsidRPr="001E6731">
          <w:rPr>
            <w:rStyle w:val="Hyperlink"/>
            <w:color w:val="auto"/>
            <w:sz w:val="24"/>
            <w:u w:val="none"/>
            <w:lang w:val="cs-CZ"/>
          </w:rPr>
          <w:t>Empowering</w:t>
        </w:r>
        <w:proofErr w:type="spellEnd"/>
        <w:r w:rsidRPr="001E6731">
          <w:rPr>
            <w:rStyle w:val="Hyperlink"/>
            <w:color w:val="auto"/>
            <w:sz w:val="24"/>
            <w:u w:val="none"/>
            <w:lang w:val="cs-CZ"/>
          </w:rPr>
          <w:t xml:space="preserve"> </w:t>
        </w:r>
        <w:proofErr w:type="spellStart"/>
        <w:r w:rsidRPr="001E6731">
          <w:rPr>
            <w:rStyle w:val="Hyperlink"/>
            <w:color w:val="auto"/>
            <w:sz w:val="24"/>
            <w:u w:val="none"/>
            <w:lang w:val="cs-CZ"/>
          </w:rPr>
          <w:t>the</w:t>
        </w:r>
        <w:proofErr w:type="spellEnd"/>
        <w:r w:rsidRPr="001E6731">
          <w:rPr>
            <w:rStyle w:val="Hyperlink"/>
            <w:color w:val="auto"/>
            <w:sz w:val="24"/>
            <w:u w:val="none"/>
            <w:lang w:val="cs-CZ"/>
          </w:rPr>
          <w:t xml:space="preserve"> Single Market to </w:t>
        </w:r>
        <w:proofErr w:type="spellStart"/>
        <w:r w:rsidRPr="001E6731">
          <w:rPr>
            <w:rStyle w:val="Hyperlink"/>
            <w:color w:val="auto"/>
            <w:sz w:val="24"/>
            <w:u w:val="none"/>
            <w:lang w:val="cs-CZ"/>
          </w:rPr>
          <w:t>deliver</w:t>
        </w:r>
        <w:proofErr w:type="spellEnd"/>
        <w:r w:rsidRPr="001E6731">
          <w:rPr>
            <w:rStyle w:val="Hyperlink"/>
            <w:color w:val="auto"/>
            <w:sz w:val="24"/>
            <w:u w:val="none"/>
            <w:lang w:val="cs-CZ"/>
          </w:rPr>
          <w:t xml:space="preserve"> a </w:t>
        </w:r>
        <w:proofErr w:type="spellStart"/>
        <w:r w:rsidRPr="001E6731">
          <w:rPr>
            <w:rStyle w:val="Hyperlink"/>
            <w:color w:val="auto"/>
            <w:sz w:val="24"/>
            <w:u w:val="none"/>
            <w:lang w:val="cs-CZ"/>
          </w:rPr>
          <w:t>sustainable</w:t>
        </w:r>
        <w:proofErr w:type="spellEnd"/>
        <w:r w:rsidRPr="001E6731">
          <w:rPr>
            <w:rStyle w:val="Hyperlink"/>
            <w:color w:val="auto"/>
            <w:sz w:val="24"/>
            <w:u w:val="none"/>
            <w:lang w:val="cs-CZ"/>
          </w:rPr>
          <w:t xml:space="preserve"> </w:t>
        </w:r>
        <w:proofErr w:type="spellStart"/>
        <w:r w:rsidRPr="001E6731">
          <w:rPr>
            <w:rStyle w:val="Hyperlink"/>
            <w:color w:val="auto"/>
            <w:sz w:val="24"/>
            <w:u w:val="none"/>
            <w:lang w:val="cs-CZ"/>
          </w:rPr>
          <w:t>future</w:t>
        </w:r>
        <w:proofErr w:type="spellEnd"/>
        <w:r w:rsidRPr="001E6731">
          <w:rPr>
            <w:rStyle w:val="Hyperlink"/>
            <w:color w:val="auto"/>
            <w:sz w:val="24"/>
            <w:u w:val="none"/>
            <w:lang w:val="cs-CZ"/>
          </w:rPr>
          <w:t xml:space="preserve"> and prosperity </w:t>
        </w:r>
        <w:proofErr w:type="spellStart"/>
        <w:r w:rsidRPr="001E6731">
          <w:rPr>
            <w:rStyle w:val="Hyperlink"/>
            <w:color w:val="auto"/>
            <w:sz w:val="24"/>
            <w:u w:val="none"/>
            <w:lang w:val="cs-CZ"/>
          </w:rPr>
          <w:t>for</w:t>
        </w:r>
        <w:proofErr w:type="spellEnd"/>
        <w:r w:rsidRPr="001E6731">
          <w:rPr>
            <w:rStyle w:val="Hyperlink"/>
            <w:color w:val="auto"/>
            <w:sz w:val="24"/>
            <w:u w:val="none"/>
            <w:lang w:val="cs-CZ"/>
          </w:rPr>
          <w:t xml:space="preserve"> </w:t>
        </w:r>
        <w:proofErr w:type="spellStart"/>
        <w:r w:rsidRPr="001E6731">
          <w:rPr>
            <w:rStyle w:val="Hyperlink"/>
            <w:color w:val="auto"/>
            <w:sz w:val="24"/>
            <w:u w:val="none"/>
            <w:lang w:val="cs-CZ"/>
          </w:rPr>
          <w:t>all</w:t>
        </w:r>
        <w:proofErr w:type="spellEnd"/>
        <w:r w:rsidRPr="001E6731">
          <w:rPr>
            <w:rStyle w:val="Hyperlink"/>
            <w:color w:val="auto"/>
            <w:sz w:val="24"/>
            <w:u w:val="none"/>
            <w:lang w:val="cs-CZ"/>
          </w:rPr>
          <w:t xml:space="preserve"> EU </w:t>
        </w:r>
        <w:proofErr w:type="spellStart"/>
        <w:r w:rsidRPr="001E6731">
          <w:rPr>
            <w:rStyle w:val="Hyperlink"/>
            <w:color w:val="auto"/>
            <w:sz w:val="24"/>
            <w:u w:val="none"/>
            <w:lang w:val="cs-CZ"/>
          </w:rPr>
          <w:t>Citizens</w:t>
        </w:r>
        <w:proofErr w:type="spellEnd"/>
      </w:hyperlink>
      <w:r w:rsidRPr="006C4351">
        <w:rPr>
          <w:sz w:val="24"/>
          <w:lang w:val="cs-CZ"/>
        </w:rPr>
        <w:t>“, duben 2024.</w:t>
      </w:r>
    </w:p>
  </w:footnote>
  <w:footnote w:id="5">
    <w:p w14:paraId="3DD5B760" w14:textId="26DE04E8" w:rsidR="0045223C" w:rsidRPr="006C4351" w:rsidRDefault="0045223C" w:rsidP="006C4351">
      <w:pPr>
        <w:pStyle w:val="FootnoteText"/>
        <w:ind w:left="567" w:hanging="567"/>
        <w:rPr>
          <w:sz w:val="24"/>
          <w:lang w:val="cs-CZ"/>
        </w:rPr>
      </w:pPr>
      <w:r w:rsidRPr="006C4351">
        <w:rPr>
          <w:rStyle w:val="FootnoteReference"/>
          <w:sz w:val="24"/>
          <w:lang w:val="cs-CZ"/>
        </w:rPr>
        <w:footnoteRef/>
      </w:r>
      <w:r w:rsidR="006C4351" w:rsidRPr="006C4351">
        <w:rPr>
          <w:sz w:val="24"/>
          <w:lang w:val="cs-CZ"/>
        </w:rPr>
        <w:t xml:space="preserve"> </w:t>
      </w:r>
      <w:r w:rsidR="006C4351" w:rsidRPr="006C4351">
        <w:rPr>
          <w:sz w:val="24"/>
          <w:lang w:val="cs-CZ"/>
        </w:rPr>
        <w:tab/>
      </w:r>
      <w:proofErr w:type="spellStart"/>
      <w:r w:rsidRPr="006C4351">
        <w:rPr>
          <w:sz w:val="24"/>
          <w:lang w:val="cs-CZ"/>
        </w:rPr>
        <w:t>Úř</w:t>
      </w:r>
      <w:proofErr w:type="spellEnd"/>
      <w:r w:rsidRPr="006C4351">
        <w:rPr>
          <w:sz w:val="24"/>
          <w:lang w:val="cs-CZ"/>
        </w:rPr>
        <w:t xml:space="preserve">. </w:t>
      </w:r>
      <w:proofErr w:type="spellStart"/>
      <w:r w:rsidRPr="006C4351">
        <w:rPr>
          <w:sz w:val="24"/>
          <w:lang w:val="cs-CZ"/>
        </w:rPr>
        <w:t>věst</w:t>
      </w:r>
      <w:proofErr w:type="spellEnd"/>
      <w:r w:rsidRPr="006C4351">
        <w:rPr>
          <w:sz w:val="24"/>
          <w:lang w:val="cs-CZ"/>
        </w:rPr>
        <w:t>. L 277, 27.10.2022, s. 1, ELI: </w:t>
      </w:r>
      <w:hyperlink r:id="rId6" w:tooltip="Umožňuje přístup k tomuto dokumentu prostřednictvím jeho identifikátoru URI používaného v rámci ELI." w:history="1">
        <w:r w:rsidRPr="006C4351">
          <w:rPr>
            <w:rStyle w:val="Hyperlink"/>
            <w:sz w:val="24"/>
            <w:lang w:val="cs-CZ"/>
          </w:rPr>
          <w:t>http://data.europa.eu/eli/reg/2022/2065/oj</w:t>
        </w:r>
      </w:hyperlink>
      <w:r w:rsidRPr="006C4351">
        <w:rPr>
          <w:sz w:val="24"/>
          <w:lang w:val="cs-CZ"/>
        </w:rPr>
        <w:t>.</w:t>
      </w:r>
    </w:p>
  </w:footnote>
  <w:footnote w:id="6">
    <w:p w14:paraId="4AE8AFEC" w14:textId="7079C198" w:rsidR="0045223C" w:rsidRPr="006C4351" w:rsidRDefault="0045223C" w:rsidP="006C4351">
      <w:pPr>
        <w:pStyle w:val="FootnoteText"/>
        <w:ind w:left="567" w:hanging="567"/>
        <w:rPr>
          <w:sz w:val="24"/>
          <w:lang w:val="cs-CZ"/>
        </w:rPr>
      </w:pPr>
      <w:r w:rsidRPr="006C4351">
        <w:rPr>
          <w:rStyle w:val="FootnoteReference"/>
          <w:sz w:val="24"/>
          <w:lang w:val="cs-CZ"/>
        </w:rPr>
        <w:footnoteRef/>
      </w:r>
      <w:r w:rsidR="006C4351" w:rsidRPr="006C4351">
        <w:rPr>
          <w:sz w:val="24"/>
          <w:lang w:val="cs-CZ"/>
        </w:rPr>
        <w:t xml:space="preserve"> </w:t>
      </w:r>
      <w:r w:rsidR="006C4351" w:rsidRPr="006C4351">
        <w:rPr>
          <w:sz w:val="24"/>
          <w:lang w:val="cs-CZ"/>
        </w:rPr>
        <w:tab/>
      </w:r>
      <w:proofErr w:type="spellStart"/>
      <w:r w:rsidRPr="006C4351">
        <w:rPr>
          <w:sz w:val="24"/>
          <w:lang w:val="cs-CZ"/>
        </w:rPr>
        <w:t>Úř</w:t>
      </w:r>
      <w:proofErr w:type="spellEnd"/>
      <w:r w:rsidRPr="006C4351">
        <w:rPr>
          <w:sz w:val="24"/>
          <w:lang w:val="cs-CZ"/>
        </w:rPr>
        <w:t xml:space="preserve">. </w:t>
      </w:r>
      <w:proofErr w:type="spellStart"/>
      <w:r w:rsidRPr="006C4351">
        <w:rPr>
          <w:sz w:val="24"/>
          <w:lang w:val="cs-CZ"/>
        </w:rPr>
        <w:t>věst</w:t>
      </w:r>
      <w:proofErr w:type="spellEnd"/>
      <w:r w:rsidRPr="006C4351">
        <w:rPr>
          <w:sz w:val="24"/>
          <w:lang w:val="cs-CZ"/>
        </w:rPr>
        <w:t>. L 265, 12.10.2022, s. 1, ELI: </w:t>
      </w:r>
      <w:hyperlink r:id="rId7" w:tooltip="Umožňuje přístup k tomuto dokumentu prostřednictvím jeho identifikátoru URI používaného v rámci ELI." w:history="1">
        <w:r w:rsidRPr="006C4351">
          <w:rPr>
            <w:rStyle w:val="Hyperlink"/>
            <w:sz w:val="24"/>
            <w:lang w:val="cs-CZ"/>
          </w:rPr>
          <w:t>http://data.europa.eu/eli/reg/2022/1925/oj</w:t>
        </w:r>
      </w:hyperlink>
      <w:r w:rsidRPr="006C4351">
        <w:rPr>
          <w:sz w:val="24"/>
          <w:lang w:val="cs-CZ"/>
        </w:rPr>
        <w:t>.</w:t>
      </w:r>
    </w:p>
  </w:footnote>
  <w:footnote w:id="7">
    <w:p w14:paraId="5BB1DD9B" w14:textId="770128E5" w:rsidR="0045223C" w:rsidRPr="006C4351" w:rsidRDefault="0045223C" w:rsidP="006C4351">
      <w:pPr>
        <w:pStyle w:val="FootnoteText"/>
        <w:ind w:left="567" w:hanging="567"/>
        <w:rPr>
          <w:sz w:val="24"/>
          <w:lang w:val="cs-CZ"/>
        </w:rPr>
      </w:pPr>
      <w:r w:rsidRPr="006C4351">
        <w:rPr>
          <w:rStyle w:val="FootnoteReference"/>
          <w:sz w:val="24"/>
          <w:lang w:val="cs-CZ"/>
        </w:rPr>
        <w:footnoteRef/>
      </w:r>
      <w:r w:rsidR="006C4351" w:rsidRPr="006C4351">
        <w:rPr>
          <w:sz w:val="24"/>
          <w:lang w:val="cs-CZ"/>
        </w:rPr>
        <w:t xml:space="preserve"> </w:t>
      </w:r>
      <w:r w:rsidR="006C4351" w:rsidRPr="006C4351">
        <w:rPr>
          <w:sz w:val="24"/>
          <w:lang w:val="cs-CZ"/>
        </w:rPr>
        <w:tab/>
      </w:r>
      <w:proofErr w:type="spellStart"/>
      <w:r w:rsidRPr="006C4351">
        <w:rPr>
          <w:sz w:val="24"/>
          <w:lang w:val="cs-CZ"/>
        </w:rPr>
        <w:t>Úř</w:t>
      </w:r>
      <w:proofErr w:type="spellEnd"/>
      <w:r w:rsidRPr="006C4351">
        <w:rPr>
          <w:sz w:val="24"/>
          <w:lang w:val="cs-CZ"/>
        </w:rPr>
        <w:t xml:space="preserve">. </w:t>
      </w:r>
      <w:proofErr w:type="spellStart"/>
      <w:r w:rsidRPr="006C4351">
        <w:rPr>
          <w:sz w:val="24"/>
          <w:lang w:val="cs-CZ"/>
        </w:rPr>
        <w:t>věst</w:t>
      </w:r>
      <w:proofErr w:type="spellEnd"/>
      <w:r w:rsidRPr="006C4351">
        <w:rPr>
          <w:sz w:val="24"/>
          <w:lang w:val="cs-CZ"/>
        </w:rPr>
        <w:t>. L 135, 23.5.2023, s. 1, ELI: </w:t>
      </w:r>
      <w:hyperlink r:id="rId8" w:tooltip="Umožňuje přístup k tomuto dokumentu prostřednictvím jeho identifikátoru URI používaného v rámci ELI." w:history="1">
        <w:r w:rsidRPr="006C4351">
          <w:rPr>
            <w:rStyle w:val="Hyperlink"/>
            <w:sz w:val="24"/>
            <w:lang w:val="cs-CZ"/>
          </w:rPr>
          <w:t>http://data.europa.eu/eli/reg/2023/988/oj</w:t>
        </w:r>
      </w:hyperlink>
      <w:r w:rsidRPr="006C4351">
        <w:rPr>
          <w:sz w:val="24"/>
          <w:lang w:val="cs-CZ"/>
        </w:rPr>
        <w:t>.</w:t>
      </w:r>
    </w:p>
  </w:footnote>
  <w:footnote w:id="8">
    <w:p w14:paraId="518F5A3A" w14:textId="221C3C60" w:rsidR="0045223C" w:rsidRPr="006C4351" w:rsidRDefault="0045223C" w:rsidP="006C4351">
      <w:pPr>
        <w:pStyle w:val="FootnoteText"/>
        <w:ind w:left="567" w:hanging="567"/>
        <w:rPr>
          <w:sz w:val="24"/>
          <w:lang w:val="cs-CZ"/>
        </w:rPr>
      </w:pPr>
      <w:r w:rsidRPr="006C4351">
        <w:rPr>
          <w:rStyle w:val="FootnoteReference"/>
          <w:sz w:val="24"/>
          <w:lang w:val="cs-CZ"/>
        </w:rPr>
        <w:footnoteRef/>
      </w:r>
      <w:r w:rsidR="006C4351" w:rsidRPr="006C4351">
        <w:rPr>
          <w:sz w:val="24"/>
          <w:lang w:val="cs-CZ"/>
        </w:rPr>
        <w:t xml:space="preserve"> </w:t>
      </w:r>
      <w:r w:rsidR="006C4351" w:rsidRPr="006C4351">
        <w:rPr>
          <w:sz w:val="24"/>
          <w:lang w:val="cs-CZ"/>
        </w:rPr>
        <w:tab/>
      </w:r>
      <w:proofErr w:type="spellStart"/>
      <w:r w:rsidRPr="006C4351">
        <w:rPr>
          <w:sz w:val="24"/>
          <w:lang w:val="cs-CZ"/>
        </w:rPr>
        <w:t>Úř</w:t>
      </w:r>
      <w:proofErr w:type="spellEnd"/>
      <w:r w:rsidRPr="006C4351">
        <w:rPr>
          <w:sz w:val="24"/>
          <w:lang w:val="cs-CZ"/>
        </w:rPr>
        <w:t xml:space="preserve">. </w:t>
      </w:r>
      <w:proofErr w:type="spellStart"/>
      <w:r w:rsidRPr="006C4351">
        <w:rPr>
          <w:sz w:val="24"/>
          <w:lang w:val="cs-CZ"/>
        </w:rPr>
        <w:t>věst</w:t>
      </w:r>
      <w:proofErr w:type="spellEnd"/>
      <w:r w:rsidRPr="006C4351">
        <w:rPr>
          <w:sz w:val="24"/>
          <w:lang w:val="cs-CZ"/>
        </w:rPr>
        <w:t>. L 169, 25.6.2019, s. 1, ELI: </w:t>
      </w:r>
      <w:hyperlink r:id="rId9" w:tooltip="Umožňuje přístup k tomuto dokumentu prostřednictvím jeho identifikátoru URI používaného v rámci ELI." w:history="1">
        <w:r w:rsidRPr="006C4351">
          <w:rPr>
            <w:rStyle w:val="Hyperlink"/>
            <w:sz w:val="24"/>
            <w:lang w:val="cs-CZ"/>
          </w:rPr>
          <w:t>http://data.europa.eu/eli/reg/2019/1020/oj</w:t>
        </w:r>
      </w:hyperlink>
      <w:r w:rsidRPr="006C4351">
        <w:rPr>
          <w:sz w:val="24"/>
          <w:lang w:val="cs-CZ"/>
        </w:rPr>
        <w:t>.</w:t>
      </w:r>
    </w:p>
  </w:footnote>
  <w:footnote w:id="9">
    <w:p w14:paraId="03853186" w14:textId="7E1A5F76" w:rsidR="0045223C" w:rsidRPr="006C4351" w:rsidRDefault="0045223C" w:rsidP="006C4351">
      <w:pPr>
        <w:pStyle w:val="FootnoteText"/>
        <w:ind w:left="567" w:hanging="567"/>
        <w:rPr>
          <w:sz w:val="24"/>
          <w:lang w:val="cs-CZ"/>
        </w:rPr>
      </w:pPr>
      <w:r w:rsidRPr="006C4351">
        <w:rPr>
          <w:rStyle w:val="FootnoteReference"/>
          <w:sz w:val="24"/>
          <w:lang w:val="cs-CZ"/>
        </w:rPr>
        <w:footnoteRef/>
      </w:r>
      <w:r w:rsidR="006C4351" w:rsidRPr="006C4351">
        <w:rPr>
          <w:sz w:val="24"/>
          <w:lang w:val="cs-CZ"/>
        </w:rPr>
        <w:t xml:space="preserve"> </w:t>
      </w:r>
      <w:r w:rsidR="006C4351" w:rsidRPr="006C4351">
        <w:rPr>
          <w:sz w:val="24"/>
          <w:lang w:val="cs-CZ"/>
        </w:rPr>
        <w:tab/>
      </w:r>
      <w:proofErr w:type="spellStart"/>
      <w:r w:rsidRPr="006C4351">
        <w:rPr>
          <w:sz w:val="24"/>
          <w:lang w:val="cs-CZ"/>
        </w:rPr>
        <w:t>Úř</w:t>
      </w:r>
      <w:proofErr w:type="spellEnd"/>
      <w:r w:rsidRPr="006C4351">
        <w:rPr>
          <w:sz w:val="24"/>
          <w:lang w:val="cs-CZ"/>
        </w:rPr>
        <w:t xml:space="preserve">. </w:t>
      </w:r>
      <w:proofErr w:type="spellStart"/>
      <w:r w:rsidRPr="006C4351">
        <w:rPr>
          <w:sz w:val="24"/>
          <w:lang w:val="cs-CZ"/>
        </w:rPr>
        <w:t>věst</w:t>
      </w:r>
      <w:proofErr w:type="spellEnd"/>
      <w:r w:rsidRPr="006C4351">
        <w:rPr>
          <w:sz w:val="24"/>
          <w:lang w:val="cs-CZ"/>
        </w:rPr>
        <w:t>. L, 2024/2853, 18.11.2024, ELI: </w:t>
      </w:r>
      <w:hyperlink r:id="rId10" w:history="1">
        <w:r w:rsidR="00C32EE8" w:rsidRPr="00C32EE8">
          <w:rPr>
            <w:rStyle w:val="Hyperlink"/>
            <w:sz w:val="24"/>
            <w:lang w:val="cs-CZ"/>
          </w:rPr>
          <w:t>http://data.europa.eu/</w:t>
        </w:r>
        <w:proofErr w:type="spellStart"/>
        <w:r w:rsidR="00C32EE8" w:rsidRPr="00C32EE8">
          <w:rPr>
            <w:rStyle w:val="Hyperlink"/>
            <w:sz w:val="24"/>
            <w:lang w:val="cs-CZ"/>
          </w:rPr>
          <w:t>eli</w:t>
        </w:r>
        <w:proofErr w:type="spellEnd"/>
        <w:r w:rsidR="00C32EE8" w:rsidRPr="00C32EE8">
          <w:rPr>
            <w:rStyle w:val="Hyperlink"/>
            <w:sz w:val="24"/>
            <w:lang w:val="cs-CZ"/>
          </w:rPr>
          <w:t>/</w:t>
        </w:r>
        <w:proofErr w:type="spellStart"/>
        <w:r w:rsidR="00C32EE8" w:rsidRPr="00C32EE8">
          <w:rPr>
            <w:rStyle w:val="Hyperlink"/>
            <w:sz w:val="24"/>
            <w:lang w:val="cs-CZ"/>
          </w:rPr>
          <w:t>dir</w:t>
        </w:r>
        <w:proofErr w:type="spellEnd"/>
        <w:r w:rsidR="00C32EE8" w:rsidRPr="00C32EE8">
          <w:rPr>
            <w:rStyle w:val="Hyperlink"/>
            <w:sz w:val="24"/>
            <w:lang w:val="cs-CZ"/>
          </w:rPr>
          <w:t>/2024/2853/o</w:t>
        </w:r>
        <w:r w:rsidRPr="00C32EE8">
          <w:rPr>
            <w:rStyle w:val="Hyperlink"/>
            <w:sz w:val="24"/>
            <w:lang w:val="cs-CZ"/>
          </w:rPr>
          <w:t>j</w:t>
        </w:r>
      </w:hyperlink>
      <w:r w:rsidRPr="006C4351">
        <w:rPr>
          <w:sz w:val="24"/>
          <w:lang w:val="cs-CZ"/>
        </w:rPr>
        <w:t>.</w:t>
      </w:r>
    </w:p>
  </w:footnote>
  <w:footnote w:id="10">
    <w:p w14:paraId="27C99BFA" w14:textId="42EBF4B2" w:rsidR="0045223C" w:rsidRPr="006C4351" w:rsidRDefault="0045223C" w:rsidP="006C4351">
      <w:pPr>
        <w:pStyle w:val="FootnoteText"/>
        <w:ind w:left="567" w:hanging="567"/>
        <w:rPr>
          <w:sz w:val="24"/>
          <w:lang w:val="cs-CZ"/>
        </w:rPr>
      </w:pPr>
      <w:r w:rsidRPr="006C4351">
        <w:rPr>
          <w:rStyle w:val="FootnoteReference"/>
          <w:sz w:val="24"/>
          <w:lang w:val="cs-CZ"/>
        </w:rPr>
        <w:footnoteRef/>
      </w:r>
      <w:r w:rsidR="006C4351" w:rsidRPr="006C4351">
        <w:rPr>
          <w:sz w:val="24"/>
          <w:lang w:val="cs-CZ"/>
        </w:rPr>
        <w:t xml:space="preserve"> </w:t>
      </w:r>
      <w:r w:rsidR="006C4351" w:rsidRPr="006C4351">
        <w:rPr>
          <w:sz w:val="24"/>
          <w:lang w:val="cs-CZ"/>
        </w:rPr>
        <w:tab/>
      </w:r>
      <w:r w:rsidRPr="006C4351">
        <w:rPr>
          <w:sz w:val="24"/>
          <w:lang w:val="cs-CZ"/>
        </w:rPr>
        <w:t>Nařízení Evropského parlamentu a Rady (EU) 2017/2394 ze dne 12. prosince 2017 o spolupráci mezi vnitrostátními orgány příslušnými pro vymáhání dodržování právních předpisů na ochranu zájmů spotřebitelů a o zrušení nařízení (ES) č. 2006/2004 (</w:t>
      </w:r>
      <w:proofErr w:type="spellStart"/>
      <w:r w:rsidRPr="006C4351">
        <w:rPr>
          <w:sz w:val="24"/>
          <w:lang w:val="cs-CZ"/>
        </w:rPr>
        <w:t>Úř</w:t>
      </w:r>
      <w:proofErr w:type="spellEnd"/>
      <w:r w:rsidRPr="006C4351">
        <w:rPr>
          <w:sz w:val="24"/>
          <w:lang w:val="cs-CZ"/>
        </w:rPr>
        <w:t xml:space="preserve">. </w:t>
      </w:r>
      <w:proofErr w:type="spellStart"/>
      <w:r w:rsidRPr="006C4351">
        <w:rPr>
          <w:sz w:val="24"/>
          <w:lang w:val="cs-CZ"/>
        </w:rPr>
        <w:t>věst</w:t>
      </w:r>
      <w:proofErr w:type="spellEnd"/>
      <w:r w:rsidRPr="006C4351">
        <w:rPr>
          <w:sz w:val="24"/>
          <w:lang w:val="cs-CZ"/>
        </w:rPr>
        <w:t>. L 345, 27.12.2017, s. 1, ELI: </w:t>
      </w:r>
      <w:hyperlink r:id="rId11" w:tooltip="Umožňuje přístup k tomuto dokumentu prostřednictvím jeho identifikátoru URI používaného v rámci ELI." w:history="1">
        <w:r w:rsidRPr="006C4351">
          <w:rPr>
            <w:rStyle w:val="Hyperlink"/>
            <w:sz w:val="24"/>
            <w:lang w:val="cs-CZ"/>
          </w:rPr>
          <w:t>http://data.europa.eu/</w:t>
        </w:r>
        <w:proofErr w:type="spellStart"/>
        <w:r w:rsidRPr="006C4351">
          <w:rPr>
            <w:rStyle w:val="Hyperlink"/>
            <w:sz w:val="24"/>
            <w:lang w:val="cs-CZ"/>
          </w:rPr>
          <w:t>eli</w:t>
        </w:r>
        <w:proofErr w:type="spellEnd"/>
        <w:r w:rsidRPr="006C4351">
          <w:rPr>
            <w:rStyle w:val="Hyperlink"/>
            <w:sz w:val="24"/>
            <w:lang w:val="cs-CZ"/>
          </w:rPr>
          <w:t>/</w:t>
        </w:r>
        <w:proofErr w:type="spellStart"/>
        <w:r w:rsidRPr="006C4351">
          <w:rPr>
            <w:rStyle w:val="Hyperlink"/>
            <w:sz w:val="24"/>
            <w:lang w:val="cs-CZ"/>
          </w:rPr>
          <w:t>reg</w:t>
        </w:r>
        <w:proofErr w:type="spellEnd"/>
        <w:r w:rsidRPr="006C4351">
          <w:rPr>
            <w:rStyle w:val="Hyperlink"/>
            <w:sz w:val="24"/>
            <w:lang w:val="cs-CZ"/>
          </w:rPr>
          <w:t>/2017/2394/oj</w:t>
        </w:r>
      </w:hyperlink>
      <w:r w:rsidRPr="006C4351">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4AD9E" w14:textId="77777777" w:rsidR="00064002" w:rsidRPr="006C435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F4D1" w14:textId="77777777" w:rsidR="00064002" w:rsidRPr="006C435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1EFDB" w14:textId="77777777" w:rsidR="00064002" w:rsidRPr="006C43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0834285">
    <w:abstractNumId w:val="9"/>
  </w:num>
  <w:num w:numId="2" w16cid:durableId="1234512236">
    <w:abstractNumId w:val="9"/>
  </w:num>
  <w:num w:numId="3" w16cid:durableId="1708140739">
    <w:abstractNumId w:val="7"/>
  </w:num>
  <w:num w:numId="4" w16cid:durableId="2142534736">
    <w:abstractNumId w:val="7"/>
  </w:num>
  <w:num w:numId="5" w16cid:durableId="1877113746">
    <w:abstractNumId w:val="6"/>
  </w:num>
  <w:num w:numId="6" w16cid:durableId="1453673802">
    <w:abstractNumId w:val="6"/>
  </w:num>
  <w:num w:numId="7" w16cid:durableId="1044713290">
    <w:abstractNumId w:val="5"/>
  </w:num>
  <w:num w:numId="8" w16cid:durableId="2110346735">
    <w:abstractNumId w:val="5"/>
  </w:num>
  <w:num w:numId="9" w16cid:durableId="221524444">
    <w:abstractNumId w:val="4"/>
  </w:num>
  <w:num w:numId="10" w16cid:durableId="1327901189">
    <w:abstractNumId w:val="4"/>
  </w:num>
  <w:num w:numId="11" w16cid:durableId="370037102">
    <w:abstractNumId w:val="8"/>
  </w:num>
  <w:num w:numId="12" w16cid:durableId="1559391037">
    <w:abstractNumId w:val="8"/>
  </w:num>
  <w:num w:numId="13" w16cid:durableId="1394542668">
    <w:abstractNumId w:val="3"/>
  </w:num>
  <w:num w:numId="14" w16cid:durableId="2026786013">
    <w:abstractNumId w:val="3"/>
  </w:num>
  <w:num w:numId="15" w16cid:durableId="650790752">
    <w:abstractNumId w:val="2"/>
  </w:num>
  <w:num w:numId="16" w16cid:durableId="1148133925">
    <w:abstractNumId w:val="2"/>
  </w:num>
  <w:num w:numId="17" w16cid:durableId="1131364962">
    <w:abstractNumId w:val="1"/>
  </w:num>
  <w:num w:numId="18" w16cid:durableId="1388454173">
    <w:abstractNumId w:val="1"/>
  </w:num>
  <w:num w:numId="19" w16cid:durableId="31422373">
    <w:abstractNumId w:val="0"/>
  </w:num>
  <w:num w:numId="20" w16cid:durableId="494804612">
    <w:abstractNumId w:val="0"/>
  </w:num>
  <w:num w:numId="21" w16cid:durableId="361785988">
    <w:abstractNumId w:val="9"/>
  </w:num>
  <w:num w:numId="22" w16cid:durableId="1709724702">
    <w:abstractNumId w:val="7"/>
  </w:num>
  <w:num w:numId="23" w16cid:durableId="1860267673">
    <w:abstractNumId w:val="6"/>
  </w:num>
  <w:num w:numId="24" w16cid:durableId="852303749">
    <w:abstractNumId w:val="5"/>
  </w:num>
  <w:num w:numId="25" w16cid:durableId="1855074996">
    <w:abstractNumId w:val="4"/>
  </w:num>
  <w:num w:numId="26" w16cid:durableId="706182071">
    <w:abstractNumId w:val="8"/>
  </w:num>
  <w:num w:numId="27" w16cid:durableId="1276520511">
    <w:abstractNumId w:val="3"/>
  </w:num>
  <w:num w:numId="28" w16cid:durableId="12152848">
    <w:abstractNumId w:val="2"/>
  </w:num>
  <w:num w:numId="29" w16cid:durableId="210001099">
    <w:abstractNumId w:val="1"/>
  </w:num>
  <w:num w:numId="30" w16cid:durableId="1147013355">
    <w:abstractNumId w:val="0"/>
  </w:num>
  <w:num w:numId="31" w16cid:durableId="17509688">
    <w:abstractNumId w:val="9"/>
  </w:num>
  <w:num w:numId="32" w16cid:durableId="800153214">
    <w:abstractNumId w:val="7"/>
  </w:num>
  <w:num w:numId="33" w16cid:durableId="510877892">
    <w:abstractNumId w:val="6"/>
  </w:num>
  <w:num w:numId="34" w16cid:durableId="1210072764">
    <w:abstractNumId w:val="5"/>
  </w:num>
  <w:num w:numId="35" w16cid:durableId="7560859">
    <w:abstractNumId w:val="4"/>
  </w:num>
  <w:num w:numId="36" w16cid:durableId="413623570">
    <w:abstractNumId w:val="8"/>
  </w:num>
  <w:num w:numId="37" w16cid:durableId="1399354471">
    <w:abstractNumId w:val="3"/>
  </w:num>
  <w:num w:numId="38" w16cid:durableId="340551333">
    <w:abstractNumId w:val="2"/>
  </w:num>
  <w:num w:numId="39" w16cid:durableId="135219741">
    <w:abstractNumId w:val="1"/>
  </w:num>
  <w:num w:numId="40" w16cid:durableId="73936376">
    <w:abstractNumId w:val="0"/>
  </w:num>
  <w:num w:numId="41" w16cid:durableId="866213101">
    <w:abstractNumId w:val="10"/>
  </w:num>
  <w:num w:numId="42" w16cid:durableId="1393311025">
    <w:abstractNumId w:val="10"/>
  </w:num>
  <w:num w:numId="43" w16cid:durableId="164828156">
    <w:abstractNumId w:val="10"/>
  </w:num>
  <w:num w:numId="44" w16cid:durableId="13716860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CS"/>
    <w:docVar w:name="dvnumam" w:val="0"/>
    <w:docVar w:name="dvpe" w:val="778.971"/>
    <w:docVar w:name="dvtitre" w:val="Usnesení Evropského parlamentu ze dne 26. listopadu 2025 o ochraně spotřebitelů v EU před praktikami některých platforem elektronického obchodu: případ sexuálních panenek připomínajících děti, zbraní a dalších nelegálních výrobků a materiálů(2025/2971(RSP))"/>
  </w:docVars>
  <w:rsids>
    <w:rsidRoot w:val="00FC1279"/>
    <w:rsid w:val="00002272"/>
    <w:rsid w:val="00064002"/>
    <w:rsid w:val="000677B9"/>
    <w:rsid w:val="000831BA"/>
    <w:rsid w:val="000A42CC"/>
    <w:rsid w:val="000B5CAC"/>
    <w:rsid w:val="000E7DD9"/>
    <w:rsid w:val="0010095E"/>
    <w:rsid w:val="00125B37"/>
    <w:rsid w:val="00175670"/>
    <w:rsid w:val="00187494"/>
    <w:rsid w:val="001E6731"/>
    <w:rsid w:val="001F32AE"/>
    <w:rsid w:val="002767FF"/>
    <w:rsid w:val="002B18FE"/>
    <w:rsid w:val="002B5493"/>
    <w:rsid w:val="00343214"/>
    <w:rsid w:val="00361C00"/>
    <w:rsid w:val="00370853"/>
    <w:rsid w:val="00395FA1"/>
    <w:rsid w:val="003E15D4"/>
    <w:rsid w:val="00411CCE"/>
    <w:rsid w:val="0041666E"/>
    <w:rsid w:val="00421060"/>
    <w:rsid w:val="0045223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4351"/>
    <w:rsid w:val="006F74FA"/>
    <w:rsid w:val="00731ADD"/>
    <w:rsid w:val="00734777"/>
    <w:rsid w:val="00747932"/>
    <w:rsid w:val="00751A4A"/>
    <w:rsid w:val="00756632"/>
    <w:rsid w:val="00762C74"/>
    <w:rsid w:val="00786EC0"/>
    <w:rsid w:val="007D1690"/>
    <w:rsid w:val="007D1E1E"/>
    <w:rsid w:val="007E0FBC"/>
    <w:rsid w:val="007E22AD"/>
    <w:rsid w:val="007E666A"/>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195E"/>
    <w:rsid w:val="00AB441E"/>
    <w:rsid w:val="00AB6293"/>
    <w:rsid w:val="00AE0928"/>
    <w:rsid w:val="00AF3B82"/>
    <w:rsid w:val="00B12E95"/>
    <w:rsid w:val="00B22876"/>
    <w:rsid w:val="00B558F0"/>
    <w:rsid w:val="00BD48FE"/>
    <w:rsid w:val="00BD7BD8"/>
    <w:rsid w:val="00BE6ADC"/>
    <w:rsid w:val="00C05BFE"/>
    <w:rsid w:val="00C23CD4"/>
    <w:rsid w:val="00C32EE8"/>
    <w:rsid w:val="00C61C0C"/>
    <w:rsid w:val="00C941CB"/>
    <w:rsid w:val="00CC2357"/>
    <w:rsid w:val="00CF071A"/>
    <w:rsid w:val="00D058B8"/>
    <w:rsid w:val="00D56C11"/>
    <w:rsid w:val="00D834A0"/>
    <w:rsid w:val="00D872DF"/>
    <w:rsid w:val="00D91E21"/>
    <w:rsid w:val="00DA7FCD"/>
    <w:rsid w:val="00DC2F42"/>
    <w:rsid w:val="00E365E1"/>
    <w:rsid w:val="00E820A4"/>
    <w:rsid w:val="00EB006A"/>
    <w:rsid w:val="00EB4772"/>
    <w:rsid w:val="00ED169E"/>
    <w:rsid w:val="00ED4235"/>
    <w:rsid w:val="00F04346"/>
    <w:rsid w:val="00F075DC"/>
    <w:rsid w:val="00F149E9"/>
    <w:rsid w:val="00F5134D"/>
    <w:rsid w:val="00F74202"/>
    <w:rsid w:val="00F87713"/>
    <w:rsid w:val="00F96C80"/>
    <w:rsid w:val="00FB4360"/>
    <w:rsid w:val="00FC127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FAB3F9"/>
  <w15:chartTrackingRefBased/>
  <w15:docId w15:val="{E5710441-C767-461A-AEEA-C8FC98E7A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5223C"/>
    <w:pPr>
      <w:spacing w:before="480" w:after="240"/>
    </w:pPr>
  </w:style>
  <w:style w:type="paragraph" w:customStyle="1" w:styleId="NormalHanging12a">
    <w:name w:val="NormalHanging12a"/>
    <w:basedOn w:val="Normal"/>
    <w:link w:val="NormalHanging12aChar"/>
    <w:rsid w:val="0045223C"/>
    <w:pPr>
      <w:spacing w:after="240"/>
      <w:ind w:left="567" w:hanging="567"/>
    </w:pPr>
  </w:style>
  <w:style w:type="character" w:styleId="Hyperlink">
    <w:name w:val="Hyperlink"/>
    <w:basedOn w:val="DefaultParagraphFont"/>
    <w:unhideWhenUsed/>
    <w:rsid w:val="0045223C"/>
    <w:rPr>
      <w:color w:val="0563C1" w:themeColor="hyperlink"/>
      <w:u w:val="single"/>
    </w:rPr>
  </w:style>
  <w:style w:type="character" w:customStyle="1" w:styleId="NormalHanging12aChar">
    <w:name w:val="NormalHanging12a Char"/>
    <w:basedOn w:val="DefaultParagraphFont"/>
    <w:link w:val="NormalHanging12a"/>
    <w:rsid w:val="0045223C"/>
    <w:rPr>
      <w:sz w:val="24"/>
      <w:lang w:val="cs-CZ"/>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45223C"/>
    <w:pPr>
      <w:widowControl/>
      <w:spacing w:after="160" w:line="240" w:lineRule="exact"/>
    </w:pPr>
    <w:rPr>
      <w:sz w:val="20"/>
      <w:vertAlign w:val="superscript"/>
      <w:lang w:val="en-GB"/>
    </w:rPr>
  </w:style>
  <w:style w:type="paragraph" w:styleId="Revision">
    <w:name w:val="Revision"/>
    <w:hidden/>
    <w:uiPriority w:val="99"/>
    <w:semiHidden/>
    <w:rsid w:val="000B5CAC"/>
    <w:rPr>
      <w:sz w:val="24"/>
      <w:lang w:val="cs-CZ"/>
    </w:rPr>
  </w:style>
  <w:style w:type="character" w:styleId="UnresolvedMention">
    <w:name w:val="Unresolved Mention"/>
    <w:basedOn w:val="DefaultParagraphFont"/>
    <w:uiPriority w:val="99"/>
    <w:semiHidden/>
    <w:unhideWhenUsed/>
    <w:rsid w:val="00C32E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418071">
      <w:bodyDiv w:val="1"/>
      <w:marLeft w:val="0"/>
      <w:marRight w:val="0"/>
      <w:marTop w:val="0"/>
      <w:marBottom w:val="0"/>
      <w:divBdr>
        <w:top w:val="none" w:sz="0" w:space="0" w:color="auto"/>
        <w:left w:val="none" w:sz="0" w:space="0" w:color="auto"/>
        <w:bottom w:val="none" w:sz="0" w:space="0" w:color="auto"/>
        <w:right w:val="none" w:sz="0" w:space="0" w:color="auto"/>
      </w:divBdr>
    </w:div>
    <w:div w:id="138359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988/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22/1925/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reg/2017/2394/oj" TargetMode="External"/><Relationship Id="rId5" Type="http://schemas.openxmlformats.org/officeDocument/2006/relationships/hyperlink" Target="https://www.consilium.europa.eu/media/ny3j24sm/much-more-than-a-market-report-by-enrico-letta.pdf" TargetMode="External"/><Relationship Id="rId10" Type="http://schemas.openxmlformats.org/officeDocument/2006/relationships/hyperlink" Target="http://data.europa.eu/eli/dir/2024/2853/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9/10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3567</Words>
  <Characters>21553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KONOPKOVA Jindra</cp:lastModifiedBy>
  <cp:revision>2</cp:revision>
  <cp:lastPrinted>2004-11-19T15:42:00Z</cp:lastPrinted>
  <dcterms:created xsi:type="dcterms:W3CDTF">2025-11-26T13:33:00Z</dcterms:created>
  <dcterms:modified xsi:type="dcterms:W3CDTF">2025-11-26T13:33:00Z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B10-0500/2025</vt:lpwstr>
  </property>
  <property fmtid="{D5CDD505-2E9C-101B-9397-08002B2CF9AE}" pid="4" name="&lt;Type&gt;">
    <vt:lpwstr>RR</vt:lpwstr>
  </property>
</Properties>
</file>