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5AD9" w14:paraId="52D198FB" w14:textId="77777777" w:rsidTr="0010095E">
        <w:trPr>
          <w:trHeight w:hRule="exact" w:val="1418"/>
        </w:trPr>
        <w:tc>
          <w:tcPr>
            <w:tcW w:w="6804" w:type="dxa"/>
            <w:shd w:val="clear" w:color="auto" w:fill="auto"/>
            <w:vAlign w:val="center"/>
          </w:tcPr>
          <w:p w14:paraId="7FE54713" w14:textId="77777777" w:rsidR="00751A4A" w:rsidRPr="002B5AD9" w:rsidRDefault="00E04593" w:rsidP="0010095E">
            <w:pPr>
              <w:pStyle w:val="EPName"/>
            </w:pPr>
            <w:r w:rsidRPr="002B5AD9">
              <w:t>Europski parlament</w:t>
            </w:r>
          </w:p>
          <w:p w14:paraId="19E4AF0C" w14:textId="77777777" w:rsidR="00751A4A" w:rsidRPr="002B5AD9" w:rsidRDefault="005F1B17" w:rsidP="005F1B17">
            <w:pPr>
              <w:pStyle w:val="EPTerm"/>
              <w:rPr>
                <w:rStyle w:val="HideTWBExt"/>
                <w:noProof w:val="0"/>
                <w:vanish w:val="0"/>
                <w:color w:val="auto"/>
              </w:rPr>
            </w:pPr>
            <w:r w:rsidRPr="002B5AD9">
              <w:t>2024</w:t>
            </w:r>
            <w:r w:rsidR="00817416" w:rsidRPr="002B5AD9">
              <w:t>-202</w:t>
            </w:r>
            <w:r w:rsidRPr="002B5AD9">
              <w:t>9</w:t>
            </w:r>
          </w:p>
        </w:tc>
        <w:tc>
          <w:tcPr>
            <w:tcW w:w="2268" w:type="dxa"/>
            <w:shd w:val="clear" w:color="auto" w:fill="auto"/>
          </w:tcPr>
          <w:p w14:paraId="751C1EAC" w14:textId="77777777" w:rsidR="00751A4A" w:rsidRPr="002B5AD9" w:rsidRDefault="00187494" w:rsidP="0010095E">
            <w:pPr>
              <w:pStyle w:val="EPLogo"/>
            </w:pPr>
            <w:r w:rsidRPr="002B5AD9">
              <w:rPr>
                <w:noProof/>
                <w:lang w:eastAsia="ja-JP"/>
              </w:rPr>
              <w:drawing>
                <wp:inline distT="0" distB="0" distL="0" distR="0" wp14:anchorId="64AF0143" wp14:editId="28D043C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DE6AF9F" w14:textId="77777777" w:rsidR="00D058B8" w:rsidRPr="002B5AD9" w:rsidRDefault="00D058B8" w:rsidP="004C5D52">
      <w:pPr>
        <w:pStyle w:val="LineTop"/>
      </w:pPr>
    </w:p>
    <w:p w14:paraId="25EC49D2" w14:textId="77777777" w:rsidR="00680577" w:rsidRPr="002B5AD9" w:rsidRDefault="00E04593" w:rsidP="00680577">
      <w:pPr>
        <w:pStyle w:val="EPBodyTA1"/>
      </w:pPr>
      <w:r w:rsidRPr="002B5AD9">
        <w:t>USVOJENI TEKSTOVI</w:t>
      </w:r>
    </w:p>
    <w:p w14:paraId="74D8B5B5" w14:textId="77777777" w:rsidR="00D058B8" w:rsidRPr="002B5AD9" w:rsidRDefault="00D058B8" w:rsidP="00D058B8">
      <w:pPr>
        <w:pStyle w:val="LineBottom"/>
      </w:pPr>
    </w:p>
    <w:p w14:paraId="38BFD857" w14:textId="77D8F26A" w:rsidR="00E04593" w:rsidRPr="002B5AD9" w:rsidRDefault="00E04593" w:rsidP="00E04593">
      <w:pPr>
        <w:pStyle w:val="ATHeading1"/>
      </w:pPr>
      <w:bookmarkStart w:id="0" w:name="TANumber"/>
      <w:r w:rsidRPr="002B5AD9">
        <w:t>P10_TA(2025)0</w:t>
      </w:r>
      <w:r w:rsidR="00554B1A">
        <w:t>301</w:t>
      </w:r>
      <w:bookmarkEnd w:id="0"/>
    </w:p>
    <w:p w14:paraId="32DB578D" w14:textId="77777777" w:rsidR="00E04593" w:rsidRPr="002B5AD9" w:rsidRDefault="00E04593" w:rsidP="00E04593">
      <w:pPr>
        <w:pStyle w:val="ATHeading2"/>
      </w:pPr>
      <w:bookmarkStart w:id="1" w:name="title"/>
      <w:r w:rsidRPr="002B5AD9">
        <w:t>Zaštita potrošača u EU-u od praksi određenih platformi za e-trgovinu: slučaj seksualnih lutaka nalik djeci, oružja i drugih nezakonitih proizvoda i materijala</w:t>
      </w:r>
      <w:bookmarkEnd w:id="1"/>
    </w:p>
    <w:p w14:paraId="23BA7CD0" w14:textId="77777777" w:rsidR="00E04593" w:rsidRPr="002B5AD9" w:rsidRDefault="00E04593" w:rsidP="00E04593">
      <w:pPr>
        <w:rPr>
          <w:i/>
          <w:vanish/>
        </w:rPr>
      </w:pPr>
      <w:r w:rsidRPr="002B5AD9">
        <w:rPr>
          <w:i/>
        </w:rPr>
        <w:fldChar w:fldCharType="begin"/>
      </w:r>
      <w:r w:rsidRPr="002B5AD9">
        <w:rPr>
          <w:i/>
        </w:rPr>
        <w:instrText xml:space="preserve"> TC"(</w:instrText>
      </w:r>
      <w:bookmarkStart w:id="2" w:name="DocNumber"/>
      <w:r w:rsidRPr="002B5AD9">
        <w:rPr>
          <w:i/>
        </w:rPr>
        <w:instrText>B10-0500/2025</w:instrText>
      </w:r>
      <w:bookmarkEnd w:id="2"/>
      <w:r w:rsidRPr="002B5AD9">
        <w:rPr>
          <w:i/>
        </w:rPr>
        <w:instrText xml:space="preserve">)"\l3 \n&gt; \* MERGEFORMAT </w:instrText>
      </w:r>
      <w:r w:rsidRPr="002B5AD9">
        <w:rPr>
          <w:i/>
        </w:rPr>
        <w:fldChar w:fldCharType="end"/>
      </w:r>
    </w:p>
    <w:p w14:paraId="44530111" w14:textId="77777777" w:rsidR="00E04593" w:rsidRPr="002B5AD9" w:rsidRDefault="00E04593" w:rsidP="00E04593">
      <w:pPr>
        <w:rPr>
          <w:vanish/>
        </w:rPr>
      </w:pPr>
      <w:bookmarkStart w:id="3" w:name="PE"/>
      <w:r w:rsidRPr="002B5AD9">
        <w:rPr>
          <w:vanish/>
        </w:rPr>
        <w:t>PE778.971</w:t>
      </w:r>
      <w:bookmarkEnd w:id="3"/>
    </w:p>
    <w:p w14:paraId="3F5CCA49" w14:textId="585035F2" w:rsidR="00E04593" w:rsidRPr="002B5AD9" w:rsidRDefault="00E04593" w:rsidP="00E04593">
      <w:pPr>
        <w:pStyle w:val="ATHeading3"/>
      </w:pPr>
      <w:bookmarkStart w:id="4" w:name="Sujet"/>
      <w:r w:rsidRPr="002B5AD9">
        <w:t xml:space="preserve">Rezolucija Europskog parlamenta od </w:t>
      </w:r>
      <w:r w:rsidR="002B5AD9">
        <w:t>26</w:t>
      </w:r>
      <w:r w:rsidRPr="002B5AD9">
        <w:t xml:space="preserve">. </w:t>
      </w:r>
      <w:r w:rsidR="002B5AD9">
        <w:t xml:space="preserve">studenoga </w:t>
      </w:r>
      <w:r w:rsidRPr="002B5AD9">
        <w:t>2025. o zaštiti potrošača u EU-u od praksi određenih platformi za e-trgovinu: slučaj seksualnih lutaka nalik djeci, oružja i drugih nezakonitih proizvoda i materijala</w:t>
      </w:r>
      <w:bookmarkEnd w:id="4"/>
      <w:r w:rsidRPr="002B5AD9">
        <w:t xml:space="preserve"> </w:t>
      </w:r>
      <w:bookmarkStart w:id="5" w:name="References"/>
      <w:r w:rsidRPr="002B5AD9">
        <w:t>(2025/2971(RSP))</w:t>
      </w:r>
      <w:bookmarkEnd w:id="5"/>
    </w:p>
    <w:p w14:paraId="6ACB5794" w14:textId="77777777" w:rsidR="00FB350E" w:rsidRPr="002B5AD9" w:rsidRDefault="00FB350E" w:rsidP="00FB350E">
      <w:pPr>
        <w:pStyle w:val="EPComma"/>
      </w:pPr>
      <w:bookmarkStart w:id="6" w:name="TextBodyBegin"/>
      <w:bookmarkEnd w:id="6"/>
      <w:r w:rsidRPr="002B5AD9">
        <w:rPr>
          <w:i/>
        </w:rPr>
        <w:t>Europski parlament,</w:t>
      </w:r>
    </w:p>
    <w:p w14:paraId="15EBA694" w14:textId="77777777" w:rsidR="00FB350E" w:rsidRPr="002B5AD9" w:rsidRDefault="00FB350E" w:rsidP="00FB350E">
      <w:pPr>
        <w:pStyle w:val="NormalHanging12a"/>
      </w:pPr>
      <w:r w:rsidRPr="002B5AD9">
        <w:t>–</w:t>
      </w:r>
      <w:r w:rsidRPr="002B5AD9">
        <w:tab/>
        <w:t>uzimajući u obzir izvješće Skupine stručnjaka za reformu carinske unije EU-a od 31. ožujka 2022. naslovljeno „</w:t>
      </w:r>
      <w:proofErr w:type="spellStart"/>
      <w:r w:rsidRPr="002B5AD9">
        <w:t>Putting</w:t>
      </w:r>
      <w:proofErr w:type="spellEnd"/>
      <w:r w:rsidRPr="002B5AD9">
        <w:t xml:space="preserve"> More Union </w:t>
      </w:r>
      <w:proofErr w:type="spellStart"/>
      <w:r w:rsidRPr="002B5AD9">
        <w:t>in</w:t>
      </w:r>
      <w:proofErr w:type="spellEnd"/>
      <w:r w:rsidRPr="002B5AD9">
        <w:t xml:space="preserve"> </w:t>
      </w:r>
      <w:proofErr w:type="spellStart"/>
      <w:r w:rsidRPr="002B5AD9">
        <w:t>the</w:t>
      </w:r>
      <w:proofErr w:type="spellEnd"/>
      <w:r w:rsidRPr="002B5AD9">
        <w:t xml:space="preserve"> European </w:t>
      </w:r>
      <w:proofErr w:type="spellStart"/>
      <w:r w:rsidRPr="002B5AD9">
        <w:t>Customs</w:t>
      </w:r>
      <w:proofErr w:type="spellEnd"/>
      <w:r w:rsidRPr="002B5AD9">
        <w:t xml:space="preserve">: Ten </w:t>
      </w:r>
      <w:proofErr w:type="spellStart"/>
      <w:r w:rsidRPr="002B5AD9">
        <w:t>proposals</w:t>
      </w:r>
      <w:proofErr w:type="spellEnd"/>
      <w:r w:rsidRPr="002B5AD9">
        <w:t xml:space="preserve"> to make </w:t>
      </w:r>
      <w:proofErr w:type="spellStart"/>
      <w:r w:rsidRPr="002B5AD9">
        <w:t>the</w:t>
      </w:r>
      <w:proofErr w:type="spellEnd"/>
      <w:r w:rsidRPr="002B5AD9">
        <w:t xml:space="preserve"> EU </w:t>
      </w:r>
      <w:proofErr w:type="spellStart"/>
      <w:r w:rsidRPr="002B5AD9">
        <w:t>Customs</w:t>
      </w:r>
      <w:proofErr w:type="spellEnd"/>
      <w:r w:rsidRPr="002B5AD9">
        <w:t xml:space="preserve"> Union fit for a </w:t>
      </w:r>
      <w:proofErr w:type="spellStart"/>
      <w:r w:rsidRPr="002B5AD9">
        <w:t>Geopolitical</w:t>
      </w:r>
      <w:proofErr w:type="spellEnd"/>
      <w:r w:rsidRPr="002B5AD9">
        <w:t xml:space="preserve"> Europe” (</w:t>
      </w:r>
      <w:proofErr w:type="spellStart"/>
      <w:r w:rsidRPr="002B5AD9">
        <w:t>Ujedinjeniji</w:t>
      </w:r>
      <w:proofErr w:type="spellEnd"/>
      <w:r w:rsidRPr="002B5AD9">
        <w:t xml:space="preserve"> europski carinski sektor: deset prijedloga za prilagodbu carinske unije EU-a geopolitičkoj Europi),</w:t>
      </w:r>
    </w:p>
    <w:p w14:paraId="0C623F21" w14:textId="77777777" w:rsidR="00FB350E" w:rsidRPr="002B5AD9" w:rsidRDefault="00FB350E" w:rsidP="00FB350E">
      <w:pPr>
        <w:pStyle w:val="NormalHanging12a"/>
      </w:pPr>
      <w:r w:rsidRPr="002B5AD9">
        <w:t>–</w:t>
      </w:r>
      <w:r w:rsidRPr="002B5AD9">
        <w:tab/>
        <w:t>uzimajući u obzir svoje stajalište od 13. ožujka 2024. o Prijedlogu uredbe Europskog parlamenta i Vijeća o uspostavi Carinskog zakonika Unije i Carinskog tijela Europske unije i stavljanju izvan snage Uredbe (EU) br. 952/2013</w:t>
      </w:r>
      <w:r w:rsidRPr="002B5AD9">
        <w:rPr>
          <w:rStyle w:val="FootnoteReference"/>
        </w:rPr>
        <w:footnoteReference w:id="1"/>
      </w:r>
      <w:r w:rsidRPr="002B5AD9">
        <w:t>,</w:t>
      </w:r>
    </w:p>
    <w:p w14:paraId="301C93C8" w14:textId="77777777" w:rsidR="00FB350E" w:rsidRPr="002B5AD9" w:rsidRDefault="00FB350E" w:rsidP="00FB350E">
      <w:pPr>
        <w:pStyle w:val="NormalHanging12a"/>
      </w:pPr>
      <w:r w:rsidRPr="002B5AD9">
        <w:t>–</w:t>
      </w:r>
      <w:r w:rsidRPr="002B5AD9">
        <w:tab/>
        <w:t>uzimajući u obzir komunikaciju Komisije od 5. veljače 2025. naslovljenu „Sveobuhvatan paket instrumenata EU-a za sigurnu i održivu e-trgovinu” (COM(2025)0037),</w:t>
      </w:r>
    </w:p>
    <w:p w14:paraId="535E1B60" w14:textId="77777777" w:rsidR="00FB350E" w:rsidRPr="002B5AD9" w:rsidRDefault="00FB350E" w:rsidP="00FB350E">
      <w:pPr>
        <w:pStyle w:val="NormalHanging12a"/>
      </w:pPr>
      <w:r w:rsidRPr="002B5AD9">
        <w:t>–</w:t>
      </w:r>
      <w:r w:rsidRPr="002B5AD9">
        <w:tab/>
        <w:t>uzimajući u obzir Uredbu (EU) 2024/3015 Europskog parlamenta i Vijeća od 27. studenoga 2024. o zabrani proizvoda nastalih prisilnim radom na tržištu Unije i izmjeni Direktive (EU) 2019/1937</w:t>
      </w:r>
      <w:r w:rsidRPr="002B5AD9">
        <w:rPr>
          <w:rStyle w:val="FootnoteReference"/>
        </w:rPr>
        <w:footnoteReference w:id="2"/>
      </w:r>
      <w:r w:rsidRPr="002B5AD9">
        <w:t>,</w:t>
      </w:r>
    </w:p>
    <w:p w14:paraId="5C4D02CC" w14:textId="77777777" w:rsidR="00FB350E" w:rsidRPr="002B5AD9" w:rsidRDefault="00FB350E" w:rsidP="00FB350E">
      <w:pPr>
        <w:pStyle w:val="NormalHanging12a"/>
      </w:pPr>
      <w:r w:rsidRPr="002B5AD9">
        <w:t>–</w:t>
      </w:r>
      <w:r w:rsidRPr="002B5AD9">
        <w:tab/>
        <w:t>uzimajući u obzir Direktivu (EU) 2024/1760 Europskog parlamenta i Vijeća od 13. lipnja 2024. o dužnoj pažnji za održivo poslovanje i izmjeni Direktive (EU) 2019/1937 te Uredbe (EU) 2023/2859</w:t>
      </w:r>
      <w:r w:rsidRPr="002B5AD9">
        <w:rPr>
          <w:rStyle w:val="FootnoteReference"/>
        </w:rPr>
        <w:footnoteReference w:id="3"/>
      </w:r>
      <w:r w:rsidRPr="002B5AD9">
        <w:t>,</w:t>
      </w:r>
    </w:p>
    <w:p w14:paraId="11712C8C" w14:textId="77777777" w:rsidR="00FB350E" w:rsidRPr="002B5AD9" w:rsidRDefault="00FB350E" w:rsidP="00FB350E">
      <w:pPr>
        <w:pStyle w:val="NormalHanging12a"/>
      </w:pPr>
      <w:r w:rsidRPr="002B5AD9">
        <w:t>–</w:t>
      </w:r>
      <w:r w:rsidRPr="002B5AD9">
        <w:tab/>
        <w:t xml:space="preserve">uzimajući u obzir izvješće Enrica </w:t>
      </w:r>
      <w:proofErr w:type="spellStart"/>
      <w:r w:rsidRPr="002B5AD9">
        <w:t>Lette</w:t>
      </w:r>
      <w:proofErr w:type="spellEnd"/>
      <w:r w:rsidRPr="002B5AD9">
        <w:t xml:space="preserve"> iz travnja 2024. naslovljeno „</w:t>
      </w:r>
      <w:proofErr w:type="spellStart"/>
      <w:r w:rsidRPr="002B5AD9">
        <w:t>Much</w:t>
      </w:r>
      <w:proofErr w:type="spellEnd"/>
      <w:r w:rsidRPr="002B5AD9">
        <w:t xml:space="preserve"> more </w:t>
      </w:r>
      <w:proofErr w:type="spellStart"/>
      <w:r w:rsidRPr="002B5AD9">
        <w:t>than</w:t>
      </w:r>
      <w:proofErr w:type="spellEnd"/>
      <w:r w:rsidRPr="002B5AD9">
        <w:t xml:space="preserve"> a </w:t>
      </w:r>
      <w:r w:rsidRPr="002B5AD9">
        <w:lastRenderedPageBreak/>
        <w:t xml:space="preserve">market: </w:t>
      </w:r>
      <w:proofErr w:type="spellStart"/>
      <w:r w:rsidRPr="002B5AD9">
        <w:t>Speed</w:t>
      </w:r>
      <w:proofErr w:type="spellEnd"/>
      <w:r w:rsidRPr="002B5AD9">
        <w:t xml:space="preserve">, </w:t>
      </w:r>
      <w:proofErr w:type="spellStart"/>
      <w:r w:rsidRPr="002B5AD9">
        <w:t>security</w:t>
      </w:r>
      <w:proofErr w:type="spellEnd"/>
      <w:r w:rsidRPr="002B5AD9">
        <w:t xml:space="preserve">, </w:t>
      </w:r>
      <w:proofErr w:type="spellStart"/>
      <w:r w:rsidRPr="002B5AD9">
        <w:t>solidarity</w:t>
      </w:r>
      <w:proofErr w:type="spellEnd"/>
      <w:r w:rsidRPr="002B5AD9">
        <w:t> – </w:t>
      </w:r>
      <w:proofErr w:type="spellStart"/>
      <w:r w:rsidRPr="002B5AD9">
        <w:t>Empowering</w:t>
      </w:r>
      <w:proofErr w:type="spellEnd"/>
      <w:r w:rsidRPr="002B5AD9">
        <w:t xml:space="preserve"> </w:t>
      </w:r>
      <w:proofErr w:type="spellStart"/>
      <w:r w:rsidRPr="002B5AD9">
        <w:t>the</w:t>
      </w:r>
      <w:proofErr w:type="spellEnd"/>
      <w:r w:rsidRPr="002B5AD9">
        <w:t xml:space="preserve"> Single Market to </w:t>
      </w:r>
      <w:proofErr w:type="spellStart"/>
      <w:r w:rsidRPr="002B5AD9">
        <w:t>deliver</w:t>
      </w:r>
      <w:proofErr w:type="spellEnd"/>
      <w:r w:rsidRPr="002B5AD9">
        <w:t xml:space="preserve"> a </w:t>
      </w:r>
      <w:proofErr w:type="spellStart"/>
      <w:r w:rsidRPr="002B5AD9">
        <w:t>sustainable</w:t>
      </w:r>
      <w:proofErr w:type="spellEnd"/>
      <w:r w:rsidRPr="002B5AD9">
        <w:t xml:space="preserve"> future </w:t>
      </w:r>
      <w:proofErr w:type="spellStart"/>
      <w:r w:rsidRPr="002B5AD9">
        <w:t>and</w:t>
      </w:r>
      <w:proofErr w:type="spellEnd"/>
      <w:r w:rsidRPr="002B5AD9">
        <w:t xml:space="preserve"> </w:t>
      </w:r>
      <w:proofErr w:type="spellStart"/>
      <w:r w:rsidRPr="002B5AD9">
        <w:t>prosperity</w:t>
      </w:r>
      <w:proofErr w:type="spellEnd"/>
      <w:r w:rsidRPr="002B5AD9">
        <w:t xml:space="preserve"> for </w:t>
      </w:r>
      <w:proofErr w:type="spellStart"/>
      <w:r w:rsidRPr="002B5AD9">
        <w:t>all</w:t>
      </w:r>
      <w:proofErr w:type="spellEnd"/>
      <w:r w:rsidRPr="002B5AD9">
        <w:t xml:space="preserve"> EU </w:t>
      </w:r>
      <w:proofErr w:type="spellStart"/>
      <w:r w:rsidRPr="002B5AD9">
        <w:t>citizens</w:t>
      </w:r>
      <w:proofErr w:type="spellEnd"/>
      <w:r w:rsidRPr="002B5AD9">
        <w:t>”</w:t>
      </w:r>
      <w:r w:rsidRPr="002B5AD9">
        <w:rPr>
          <w:rStyle w:val="FootnoteReference"/>
        </w:rPr>
        <w:footnoteReference w:id="4"/>
      </w:r>
      <w:r w:rsidRPr="002B5AD9">
        <w:t xml:space="preserve"> (Više od tržišta: brzina, sigurnost, solidarnost, osnaživanje jedinstvenog tržišta za ostvarivanje održive budućnosti i blagostanja za sve građane EU-a),</w:t>
      </w:r>
    </w:p>
    <w:p w14:paraId="3DC6A192" w14:textId="77777777" w:rsidR="00FB350E" w:rsidRPr="002B5AD9" w:rsidRDefault="00FB350E" w:rsidP="00FB350E">
      <w:pPr>
        <w:pStyle w:val="NormalHanging12a"/>
      </w:pPr>
      <w:r w:rsidRPr="002B5AD9">
        <w:t>–</w:t>
      </w:r>
      <w:r w:rsidRPr="002B5AD9">
        <w:tab/>
        <w:t>uzimajući u obzir Uredbu (EU) 2022/2065 o jedinstvenom tržištu digitalnih usluga i izmjeni Direktive 2000/31/EZ (Akt o digitalnim uslugama)</w:t>
      </w:r>
      <w:r w:rsidRPr="002B5AD9">
        <w:rPr>
          <w:rStyle w:val="FootnoteReference"/>
        </w:rPr>
        <w:footnoteReference w:id="5"/>
      </w:r>
      <w:r w:rsidRPr="002B5AD9">
        <w:t>,</w:t>
      </w:r>
    </w:p>
    <w:p w14:paraId="0831260D" w14:textId="77777777" w:rsidR="00FB350E" w:rsidRPr="002B5AD9" w:rsidRDefault="00FB350E" w:rsidP="00FB350E">
      <w:pPr>
        <w:pStyle w:val="NormalHanging12a"/>
        <w:rPr>
          <w:szCs w:val="24"/>
        </w:rPr>
      </w:pPr>
      <w:r w:rsidRPr="002B5AD9">
        <w:t>–</w:t>
      </w:r>
      <w:r w:rsidRPr="002B5AD9">
        <w:tab/>
        <w:t>uzimajući u obzir Uredbu (EU) 2022/1925 Europskog parlamenta i Vijeća od 14. rujna 2022. o pravednim tržištima s mogućnošću neograničenog tržišnog natjecanja u digitalnom sektoru i izmjeni direktiva (EU) 2019/1937 i (EU) 2020/1828 (Akt o digitalnim tržištima)</w:t>
      </w:r>
      <w:r w:rsidRPr="002B5AD9">
        <w:rPr>
          <w:rStyle w:val="FootnoteReference"/>
          <w:szCs w:val="24"/>
        </w:rPr>
        <w:footnoteReference w:id="6"/>
      </w:r>
      <w:r w:rsidRPr="002B5AD9">
        <w:t>,</w:t>
      </w:r>
    </w:p>
    <w:p w14:paraId="608D6330" w14:textId="77777777" w:rsidR="00FB350E" w:rsidRPr="002B5AD9" w:rsidRDefault="00FB350E" w:rsidP="00FB350E">
      <w:pPr>
        <w:pStyle w:val="NormalHanging12a"/>
      </w:pPr>
      <w:r w:rsidRPr="002B5AD9">
        <w:t>–</w:t>
      </w:r>
      <w:r w:rsidRPr="002B5AD9">
        <w:tab/>
        <w:t>uzimajući u obzir Uredbu (EU) 2023/988 Europskog parlamenta i Vijeća od 10. svibnja 2023. o općoj sigurnosti proizvoda, izmjeni Uredbe (EU) br. 1025/2012 Europskog parlamenta i Vijeća i Direktive (EU) 2020/1828 Europskog parlamenta i Vijeća te o stavljanju izvan snage Direktive 2001/95/EZ Europskog parlamenta i Vijeća i Direktive Vijeća 87/357/EEZ</w:t>
      </w:r>
      <w:r w:rsidRPr="002B5AD9">
        <w:rPr>
          <w:rStyle w:val="FootnoteReference"/>
        </w:rPr>
        <w:footnoteReference w:id="7"/>
      </w:r>
      <w:r w:rsidRPr="002B5AD9">
        <w:t>,</w:t>
      </w:r>
    </w:p>
    <w:p w14:paraId="2B23178F" w14:textId="77777777" w:rsidR="00FB350E" w:rsidRPr="002B5AD9" w:rsidRDefault="00FB350E" w:rsidP="00FB350E">
      <w:pPr>
        <w:pStyle w:val="NormalHanging12a"/>
      </w:pPr>
      <w:r w:rsidRPr="002B5AD9">
        <w:t>–</w:t>
      </w:r>
      <w:r w:rsidRPr="002B5AD9">
        <w:tab/>
        <w:t>uzimajući u obzir Uredbu (EU) 2019/1020 Europskog parlamenta i Vijeća od 20. lipnja 2019. o nadzoru tržišta i sukladnosti proizvoda i o izmjeni Direktive 2004/42/EZ i uredbi (EZ) br. 765/2008 i (EU) br. 305/2011</w:t>
      </w:r>
      <w:r w:rsidRPr="002B5AD9">
        <w:rPr>
          <w:rStyle w:val="FootnoteReference"/>
        </w:rPr>
        <w:footnoteReference w:id="8"/>
      </w:r>
      <w:r w:rsidRPr="002B5AD9">
        <w:t>,</w:t>
      </w:r>
    </w:p>
    <w:p w14:paraId="7C4B8ABC" w14:textId="77777777" w:rsidR="00FB350E" w:rsidRPr="002B5AD9" w:rsidRDefault="00FB350E" w:rsidP="00FB350E">
      <w:pPr>
        <w:pStyle w:val="NormalHanging12a"/>
      </w:pPr>
      <w:r w:rsidRPr="002B5AD9">
        <w:t>–</w:t>
      </w:r>
      <w:r w:rsidRPr="002B5AD9">
        <w:tab/>
        <w:t>uzimajući u obzir Direktivu (EU) 2024/2853 Europskog parlamenta i Vijeća od 23. listopada 2024. o odgovornosti za neispravne proizvode i stavljanju izvan snage Direktive Vijeća 85/374/EEZ</w:t>
      </w:r>
      <w:r w:rsidRPr="002B5AD9">
        <w:rPr>
          <w:rStyle w:val="FootnoteReference"/>
        </w:rPr>
        <w:footnoteReference w:id="9"/>
      </w:r>
      <w:r w:rsidRPr="002B5AD9">
        <w:t>,</w:t>
      </w:r>
    </w:p>
    <w:p w14:paraId="79163A91" w14:textId="77777777" w:rsidR="00FB350E" w:rsidRPr="002B5AD9" w:rsidRDefault="00FB350E" w:rsidP="00FB350E">
      <w:pPr>
        <w:pStyle w:val="NormalHanging12a"/>
      </w:pPr>
      <w:r w:rsidRPr="002B5AD9">
        <w:t>–</w:t>
      </w:r>
      <w:r w:rsidRPr="002B5AD9">
        <w:tab/>
        <w:t>uzimajući u obzir članak 136. stavak 2. Poslovnika,</w:t>
      </w:r>
    </w:p>
    <w:p w14:paraId="64D1B8A5" w14:textId="77777777" w:rsidR="00FB350E" w:rsidRPr="002B5AD9" w:rsidRDefault="00FB350E" w:rsidP="00FB350E">
      <w:pPr>
        <w:pStyle w:val="NormalHanging12a"/>
      </w:pPr>
      <w:r w:rsidRPr="002B5AD9">
        <w:t>–</w:t>
      </w:r>
      <w:r w:rsidRPr="002B5AD9">
        <w:tab/>
        <w:t>uzimajući u obzir mišljenje Odbora za međunarodnu trgovinu,</w:t>
      </w:r>
    </w:p>
    <w:p w14:paraId="5CA58867" w14:textId="77777777" w:rsidR="00FB350E" w:rsidRPr="002B5AD9" w:rsidRDefault="00FB350E" w:rsidP="00FB350E">
      <w:pPr>
        <w:pStyle w:val="NormalHanging12a"/>
      </w:pPr>
      <w:r w:rsidRPr="002B5AD9">
        <w:t>–</w:t>
      </w:r>
      <w:r w:rsidRPr="002B5AD9">
        <w:tab/>
        <w:t>uzimajući u obzir izvješće Odbora za unutarnje tržište i zaštitu potrošača (A10-0133/2025),</w:t>
      </w:r>
    </w:p>
    <w:p w14:paraId="556EB7ED" w14:textId="77777777" w:rsidR="00FB350E" w:rsidRPr="002B5AD9" w:rsidRDefault="00FB350E" w:rsidP="00FB350E">
      <w:pPr>
        <w:pStyle w:val="NormalHanging12a"/>
      </w:pPr>
      <w:r w:rsidRPr="002B5AD9">
        <w:t>A.</w:t>
      </w:r>
      <w:r w:rsidRPr="002B5AD9">
        <w:tab/>
        <w:t xml:space="preserve">budući da je 31. listopada 2025. u Francuskoj odjeknula velika kontroverza, koja se brzo proširila diljem Europe, u vezi s prodajom seksualnih lutaka sličnih djeci i drugih nezakonitih proizvoda, uključujući oružje, na kineskoj platformi za e-trgovinu SHEIN; budući da je francusko nadzorno tijelo za zaštitu potrošača Uredu javnog tužitelja u Parizu proslijedilo izvješća o „prodaji seksualnih predmeta koji nalikuju djeci”, koji je slijedom toga 3. studenoga 2025. pokrenuo istragu o platformi za e-trgovinu SHEIN i još trima internetskim tržištima izvan EU-a, odnosno platformama Temu, </w:t>
      </w:r>
      <w:proofErr w:type="spellStart"/>
      <w:r w:rsidRPr="002B5AD9">
        <w:t>AliExpress</w:t>
      </w:r>
      <w:proofErr w:type="spellEnd"/>
      <w:r w:rsidRPr="002B5AD9">
        <w:t xml:space="preserve"> i </w:t>
      </w:r>
      <w:r w:rsidRPr="002B5AD9">
        <w:lastRenderedPageBreak/>
        <w:t>Wish;</w:t>
      </w:r>
    </w:p>
    <w:p w14:paraId="1392D724" w14:textId="77777777" w:rsidR="00FB350E" w:rsidRDefault="00FB350E" w:rsidP="00FB350E">
      <w:pPr>
        <w:pStyle w:val="NormalHanging12a"/>
      </w:pPr>
      <w:r w:rsidRPr="002B5AD9">
        <w:t>B.</w:t>
      </w:r>
      <w:r w:rsidRPr="002B5AD9">
        <w:tab/>
        <w:t>budući da je nakon početnih provedbenih mjera francuskih vlasti SHEIN tvrdio da je povukao sve povezane oglase i vizualne materijale te da je privremeno iz ponude uklonio kategoriju „proizvoda za odrasle”; budući da i dalje postoje znatne sumnje u pogledu sposobnosti ili spremnosti SHEIN-a da poduzme učinkovite i odlučne mjere protiv nezakonitog sadržaja te da zajamči da se na njegovoj platformi stavljaju na raspolaganje samo sukladni proizvodi; budući da su te sumnje potkrijepljene dokazima da su sporni proizvodi ostali dostupni u drugim državama članicama, među ostalim putem pristupa virtualnoj privatnoj mreži (VPN), dva dana nakon navodne obustave njihove prodaje u Francuskoj;</w:t>
      </w:r>
    </w:p>
    <w:p w14:paraId="05E0C143" w14:textId="57DDACD0" w:rsidR="00C47818" w:rsidRPr="00C47818" w:rsidRDefault="00C47818" w:rsidP="00FB350E">
      <w:pPr>
        <w:pStyle w:val="NormalHanging12a"/>
      </w:pPr>
      <w:r>
        <w:t>C</w:t>
      </w:r>
      <w:r w:rsidRPr="002B5AD9">
        <w:t>.</w:t>
      </w:r>
      <w:r w:rsidRPr="002B5AD9">
        <w:tab/>
      </w:r>
      <w:r w:rsidR="00FE2A49">
        <w:t>u</w:t>
      </w:r>
      <w:r>
        <w:t xml:space="preserve">zimajući u obzir da su 26. studenoga 2025. </w:t>
      </w:r>
      <w:r w:rsidR="00FE2A49">
        <w:t xml:space="preserve">francuske vlasti </w:t>
      </w:r>
      <w:r>
        <w:t>objavil</w:t>
      </w:r>
      <w:r w:rsidR="00FE2A49">
        <w:t>e</w:t>
      </w:r>
      <w:r>
        <w:t xml:space="preserve"> da će podnijeti pri</w:t>
      </w:r>
      <w:r w:rsidR="00BE5A5F">
        <w:t>tužbu</w:t>
      </w:r>
      <w:r>
        <w:t xml:space="preserve"> protiv </w:t>
      </w:r>
      <w:proofErr w:type="spellStart"/>
      <w:r>
        <w:t>AliExpressa</w:t>
      </w:r>
      <w:proofErr w:type="spellEnd"/>
      <w:r>
        <w:t xml:space="preserve"> i </w:t>
      </w:r>
      <w:proofErr w:type="spellStart"/>
      <w:r>
        <w:t>Jooma</w:t>
      </w:r>
      <w:proofErr w:type="spellEnd"/>
      <w:r w:rsidR="00BE5A5F">
        <w:t>,</w:t>
      </w:r>
      <w:r w:rsidR="00FE2A49">
        <w:t xml:space="preserve"> </w:t>
      </w:r>
      <w:r>
        <w:t xml:space="preserve">koji također </w:t>
      </w:r>
      <w:r w:rsidR="00FE2A49">
        <w:t>sudjeluju</w:t>
      </w:r>
      <w:r>
        <w:t xml:space="preserve"> u prodaj</w:t>
      </w:r>
      <w:r w:rsidR="00FE2A49">
        <w:t>i</w:t>
      </w:r>
      <w:r>
        <w:t xml:space="preserve"> </w:t>
      </w:r>
      <w:r w:rsidR="00FE2A49">
        <w:t>lutaka za dječju pornografiju</w:t>
      </w:r>
      <w:r w:rsidRPr="0000719E">
        <w:t xml:space="preserve">, </w:t>
      </w:r>
      <w:r w:rsidR="00FE2A49">
        <w:t>što ukazuje na razmjere i ozbiljnost te pojave</w:t>
      </w:r>
      <w:r>
        <w:t>;</w:t>
      </w:r>
    </w:p>
    <w:p w14:paraId="035443F8" w14:textId="600D30F5" w:rsidR="00FB350E" w:rsidRPr="002B5AD9" w:rsidRDefault="00C47818" w:rsidP="00FB350E">
      <w:pPr>
        <w:pStyle w:val="NormalHanging12a"/>
      </w:pPr>
      <w:r>
        <w:t>D</w:t>
      </w:r>
      <w:r w:rsidR="00FB350E" w:rsidRPr="002B5AD9">
        <w:t>.</w:t>
      </w:r>
      <w:r w:rsidR="00FB350E" w:rsidRPr="002B5AD9">
        <w:tab/>
        <w:t>budući da je u svjetlu tih otkrića francuska vlada javno upozorila da će zbog opetovanih kršenja zatražiti da se onemogući pristup platformi SHEIN na francuskom tržištu; budući da se čini da je SHEIN odgovorio uklonivši sve seksualne lutke nalik djeci sa svojih globalnih platformi te najavio globalnu zabranu svih seksualnih lutaka, uklonio relevantne predmete iz ponude i pokrenuo unutarnju istragu o tome kako su se takvi proizvodi mogli pojaviti na njegovim internetskim tržištima;</w:t>
      </w:r>
    </w:p>
    <w:p w14:paraId="52C023EF" w14:textId="751C142C" w:rsidR="00FB350E" w:rsidRPr="002B5AD9" w:rsidRDefault="00C47818" w:rsidP="00FB350E">
      <w:pPr>
        <w:pStyle w:val="NormalHanging12a"/>
      </w:pPr>
      <w:r>
        <w:t>E</w:t>
      </w:r>
      <w:r w:rsidR="00FB350E" w:rsidRPr="002B5AD9">
        <w:t>.</w:t>
      </w:r>
      <w:r w:rsidR="00FB350E" w:rsidRPr="002B5AD9">
        <w:tab/>
        <w:t>budući da je značajna reakcija javnosti u Francuskoj povezana s ranijim kontroverzama koje su uključivale SHEIN, uključujući nalaze iz srpnja 2025. da je poduzeće sudjelovalo u obmanjujućim praksama pružanja popusta i da je iznijelo neopravdane tvrdnje u vezi s prihvatljivosti za okoliš; budući da te nepoštene prakse ukazuju na poslovne modele tih internetskih platformi i otvaraju pitanja o obrascima potrošnje;</w:t>
      </w:r>
    </w:p>
    <w:p w14:paraId="302F736D" w14:textId="513ECEC6" w:rsidR="00FB350E" w:rsidRPr="002B5AD9" w:rsidRDefault="00C47818" w:rsidP="00FB350E">
      <w:pPr>
        <w:pStyle w:val="NormalHanging12a"/>
      </w:pPr>
      <w:r>
        <w:t>F</w:t>
      </w:r>
      <w:r w:rsidR="00FB350E" w:rsidRPr="002B5AD9">
        <w:t>.</w:t>
      </w:r>
      <w:r w:rsidR="00FB350E" w:rsidRPr="002B5AD9">
        <w:tab/>
        <w:t>budući da je francuski slučaj ponovno skrenuo veliku pozornost na širi problem nesigurnih i nezakonitih proizvoda koji kruže internetskim tržištima diljem EU-a te potaknuo širu raspravu o obrascima potrošnje, nepoštenom tržišnom natjecanju internetskih platformi izvan EU-a, regulaciji internetskih tržišta i pravima potrošača;</w:t>
      </w:r>
    </w:p>
    <w:p w14:paraId="276BE0C9" w14:textId="77777777" w:rsidR="00FB350E" w:rsidRPr="002B5AD9" w:rsidRDefault="00FB350E" w:rsidP="00FB350E">
      <w:pPr>
        <w:pStyle w:val="NormalHanging12a"/>
        <w:rPr>
          <w:b/>
          <w:i/>
          <w:iCs/>
        </w:rPr>
      </w:pPr>
      <w:r w:rsidRPr="002B5AD9">
        <w:rPr>
          <w:b/>
          <w:i/>
        </w:rPr>
        <w:t>Uvodne napomene</w:t>
      </w:r>
    </w:p>
    <w:p w14:paraId="709B3DBB" w14:textId="77777777" w:rsidR="00FB350E" w:rsidRPr="002B5AD9" w:rsidRDefault="00FB350E" w:rsidP="00FB350E">
      <w:pPr>
        <w:pStyle w:val="NormalHanging12a"/>
      </w:pPr>
      <w:r w:rsidRPr="002B5AD9">
        <w:t>1.</w:t>
      </w:r>
      <w:r w:rsidRPr="002B5AD9">
        <w:tab/>
        <w:t xml:space="preserve">osuđuje nedavne događaje u Francuskoj u vezi s dostupnošću </w:t>
      </w:r>
      <w:proofErr w:type="spellStart"/>
      <w:r w:rsidRPr="002B5AD9">
        <w:t>seksualiziranih</w:t>
      </w:r>
      <w:proofErr w:type="spellEnd"/>
      <w:r w:rsidRPr="002B5AD9">
        <w:t xml:space="preserve"> predmeta nalik djeci i druge nezakonite ili opasne robe, kao što je oružje, na platformi SHEIN, koji su bili dostupni diljem EU-a; naglašava da te prakse predstavljaju ozbiljno kršenje prava EU-a i izravnu prijetnju sigurnosti potrošača i zaštiti maloljetnika;</w:t>
      </w:r>
    </w:p>
    <w:p w14:paraId="0E9C306A" w14:textId="77777777" w:rsidR="00FB350E" w:rsidRPr="002B5AD9" w:rsidRDefault="00FB350E" w:rsidP="00FB350E">
      <w:pPr>
        <w:pStyle w:val="NormalHanging12a"/>
      </w:pPr>
      <w:r w:rsidRPr="002B5AD9">
        <w:t>2.</w:t>
      </w:r>
      <w:r w:rsidRPr="002B5AD9">
        <w:tab/>
        <w:t>ističe da slučaj u vezi s platformom SHEIN nije izoliran, nego da ukazuje na sustavni obrazac neodgovarajućeg nadzora i nedostatnih preventivnih mehanizama; ističe nedavne nalaze organizacija potrošača koji upućuju na to da znatan udio proizvoda koje nude velike platforme za e-trgovinu izvan EU-a ne ispunjava sigurnosne zahtjeve EU-a te da predstavlja ozbiljan rizik za potrošače;</w:t>
      </w:r>
    </w:p>
    <w:p w14:paraId="18FA0131" w14:textId="77777777" w:rsidR="00FB350E" w:rsidRPr="002B5AD9" w:rsidRDefault="00FB350E" w:rsidP="00FB350E">
      <w:pPr>
        <w:pStyle w:val="NormalHanging12a"/>
      </w:pPr>
      <w:r w:rsidRPr="002B5AD9">
        <w:t>3.</w:t>
      </w:r>
      <w:r w:rsidRPr="002B5AD9">
        <w:tab/>
        <w:t>prima na znanje tekuće istrage koje je Komisija pokrenula o praksama vrlo velikih internetskih platformi, uključujući nedavne zahtjeve za informacije upućene platformi SHEIN, no poziva Komisiju da prijeđe s dijaloga na odlučnu provedbu;</w:t>
      </w:r>
    </w:p>
    <w:p w14:paraId="4A0C6E7F" w14:textId="77777777" w:rsidR="00FB350E" w:rsidRPr="002B5AD9" w:rsidRDefault="00FB350E" w:rsidP="00FB350E">
      <w:pPr>
        <w:pStyle w:val="NormalHanging12a"/>
      </w:pPr>
      <w:r w:rsidRPr="002B5AD9">
        <w:t>4.</w:t>
      </w:r>
      <w:r w:rsidRPr="002B5AD9">
        <w:tab/>
        <w:t xml:space="preserve">naglašava da se većina nesigurnih i nezakonitih proizvoda otprema u EU u velikim </w:t>
      </w:r>
      <w:r w:rsidRPr="002B5AD9">
        <w:lastRenderedPageBreak/>
        <w:t>količinama pojedinačnih i često malih paketa koji se potrošačima u EU-u prodaju putem internetskih platformi iz trećih zemalja, posebno iz Kine; upozorava da eksponencijalno povećanje malih pošiljaka, zajedno s ograničenim kontrolnim kapacitetima, dovodi do neodgovarajućeg presretanja opasne robe; naglašava da ta situacija ugrožava potrošače i narušava tržišno natjecanje;</w:t>
      </w:r>
    </w:p>
    <w:p w14:paraId="59F7D2BB" w14:textId="77777777" w:rsidR="00FB350E" w:rsidRPr="002B5AD9" w:rsidRDefault="00FB350E" w:rsidP="00FB350E">
      <w:pPr>
        <w:pStyle w:val="NormalHanging12a"/>
      </w:pPr>
      <w:r w:rsidRPr="002B5AD9">
        <w:t>5.</w:t>
      </w:r>
      <w:r w:rsidRPr="002B5AD9">
        <w:tab/>
        <w:t>izražava duboku zabrinutost zbog toga što dokumentiranu i sve veću neusklađenost platforme SHEIN i drugih internetskih platformi izvan EU-a pogoršava poslovni model koji se temelji na brzini, maksimalnom povećanju dobiti i prekomjernoj potrošnji, nauštrb ljudskih prava, zaštite okoliša, sigurnosti potrošača i temeljnih vrijednosti; žali zbog činjenice da se iza umjetno niskih cijena kriju zabrinjavajuća pitanja kao što su nedovoljno plaćena radna snaga, nezakonite imitacije dizajnerskih uradaka, stavljanje na tržište nesigurnih i nesukladnih proizvoda te akumulacija tekstilnog otpada;</w:t>
      </w:r>
    </w:p>
    <w:p w14:paraId="135C2C8C" w14:textId="77777777" w:rsidR="00FB350E" w:rsidRPr="002B5AD9" w:rsidRDefault="00FB350E" w:rsidP="00FB350E">
      <w:pPr>
        <w:pStyle w:val="NormalHanging12a"/>
        <w:rPr>
          <w:b/>
          <w:i/>
          <w:iCs/>
        </w:rPr>
      </w:pPr>
      <w:r w:rsidRPr="002B5AD9">
        <w:rPr>
          <w:b/>
          <w:i/>
        </w:rPr>
        <w:t>Izazovi u pogledu sukladnosti</w:t>
      </w:r>
    </w:p>
    <w:p w14:paraId="5225BDD1" w14:textId="77777777" w:rsidR="00FB350E" w:rsidRPr="002B5AD9" w:rsidRDefault="00FB350E" w:rsidP="00FB350E">
      <w:pPr>
        <w:pStyle w:val="NormalHanging12a"/>
      </w:pPr>
      <w:r w:rsidRPr="002B5AD9">
        <w:t>6.</w:t>
      </w:r>
      <w:r w:rsidRPr="002B5AD9">
        <w:tab/>
        <w:t>svjestan je da je EU uspostavio čvrst okvir za usklađenost, uključujući Akt o digitalnim uslugama, Akt o digitalnim tržištima, Uredbu o nadzoru tržišta i sukladnosti proizvoda, Uredbu o općoj sigurnosti proizvoda, pravila o zaštiti potrošača i razne zakone o proizvodima i okolišu, koji se primjenjuju i na proizvode koji se prodaju na internetu; uviđa, međutim, da su i dalje potrebni veći napori za potpunu i koordiniranu provedbu okvira za usklađenost;</w:t>
      </w:r>
    </w:p>
    <w:p w14:paraId="0CEFD54B" w14:textId="0DEDA007" w:rsidR="00FB350E" w:rsidRPr="002B5AD9" w:rsidRDefault="00FB350E" w:rsidP="00FB350E">
      <w:pPr>
        <w:pStyle w:val="NormalHanging12a"/>
      </w:pPr>
      <w:r w:rsidRPr="002B5AD9">
        <w:t>7.</w:t>
      </w:r>
      <w:r w:rsidRPr="002B5AD9">
        <w:tab/>
        <w:t>smatra da je stroga, dosljedna i pravodobna provedba regulatorne pravne stečevine EU-a neophodna za sprečavanje ulaska nesigurnih, nesukladnih i krivotvorenih proizvoda na unutarnje tržište i za održavanje visoke razine zaštite potrošača; poziva sva relevantna tijela u državama članicama da iskoriste sve provedbene alate koji su im na raspolaganju kako bi pravodobno i učinkovito reagirala;</w:t>
      </w:r>
    </w:p>
    <w:p w14:paraId="67D653F8" w14:textId="77777777" w:rsidR="00FB350E" w:rsidRPr="002B5AD9" w:rsidRDefault="00FB350E" w:rsidP="00FB350E">
      <w:pPr>
        <w:pStyle w:val="NormalHanging12a"/>
      </w:pPr>
      <w:r w:rsidRPr="002B5AD9">
        <w:t>8.</w:t>
      </w:r>
      <w:r w:rsidRPr="002B5AD9">
        <w:tab/>
        <w:t xml:space="preserve">podsjeća da Akt o digitalnim uslugama pruža jasne pravne osnove za intervenciju, uključujući ovlast za izricanje novčanih kazni u skladu s člankom 74. i ovlast za </w:t>
      </w:r>
      <w:proofErr w:type="spellStart"/>
      <w:r w:rsidRPr="002B5AD9">
        <w:t>nalaganje</w:t>
      </w:r>
      <w:proofErr w:type="spellEnd"/>
      <w:r w:rsidRPr="002B5AD9">
        <w:t xml:space="preserve"> uklanjanja nezakonitih proizvoda u skladu s člankom 9.; potiče Komisiju da u potpunosti i pravodobno iskoristi te instrumente kako bi osigurala da platforme ispunjavaju svoje obveze; naglašava da građani moraju vidjeti da je EU sposoban zajamčiti njihovu sigurnost na internetu i očekuje koordiniranu i strogu provedbu na cijelom unutarnjem tržištu;</w:t>
      </w:r>
    </w:p>
    <w:p w14:paraId="24603400" w14:textId="77777777" w:rsidR="00FB350E" w:rsidRPr="002B5AD9" w:rsidRDefault="00FB350E" w:rsidP="00FB350E">
      <w:pPr>
        <w:pStyle w:val="NormalHanging12a"/>
      </w:pPr>
      <w:r w:rsidRPr="002B5AD9">
        <w:t>9.</w:t>
      </w:r>
      <w:r w:rsidRPr="002B5AD9">
        <w:tab/>
        <w:t xml:space="preserve">upozorava na i dalje velike nedostatke u provedbi prouzročene kroničnim manjkom resursa i nedostatnim digitalnim kapacitetima carinskih tijela i tijela za nadzor tržišta, manjkom specijaliziranog osoblja i nedostatkom usklađenih i </w:t>
      </w:r>
      <w:proofErr w:type="spellStart"/>
      <w:r w:rsidRPr="002B5AD9">
        <w:t>interoperabilnih</w:t>
      </w:r>
      <w:proofErr w:type="spellEnd"/>
      <w:r w:rsidRPr="002B5AD9">
        <w:t xml:space="preserve"> tehnoloških alata u državama članicama, što je pogoršano ograničenom razmjenom podataka i slabom operativnom koordinacijom carinskih tijela, tijela za nadzor tržišta i tijela za zaštitu potrošača;</w:t>
      </w:r>
    </w:p>
    <w:p w14:paraId="19B7B4DA" w14:textId="77777777" w:rsidR="00FB350E" w:rsidRPr="002B5AD9" w:rsidRDefault="00FB350E" w:rsidP="00FB350E">
      <w:pPr>
        <w:pStyle w:val="NormalHanging12a"/>
      </w:pPr>
      <w:r w:rsidRPr="002B5AD9">
        <w:t>10.</w:t>
      </w:r>
      <w:r w:rsidRPr="002B5AD9">
        <w:tab/>
        <w:t xml:space="preserve">ističe da zbog same količine pošiljaka u okviru e-trgovine koje ulaze u EU fizičke kontrole same po sebi nisu dovoljne; poziva na hitne mjere, uključujući uvođenje, na razini EU-a, usklađene naknade za obradu u skladu s pravilima WTO-a kako bi se pokrili povećani troškovi nadzora carinskih tijela, te jasno definiranje odgovornosti platformi i prodavatelja s poslovnim </w:t>
      </w:r>
      <w:proofErr w:type="spellStart"/>
      <w:r w:rsidRPr="002B5AD9">
        <w:t>nastanom</w:t>
      </w:r>
      <w:proofErr w:type="spellEnd"/>
      <w:r w:rsidRPr="002B5AD9">
        <w:t xml:space="preserve"> u trećim zemljama za sigurnost i usklađenost proizvoda namijenjenih potrošačima u EU-u, što bi trebalo biti popraćeno ukidanjem izuzeća od PDV-a i carina za pošiljke male vrijednosti koje je nedavno </w:t>
      </w:r>
      <w:r w:rsidRPr="002B5AD9">
        <w:lastRenderedPageBreak/>
        <w:t>dogovoreno u Vijeću; potiče Komisiju da znatno poveća financijsku i operativnu potporu carinskim tijelima i tijelima za nadzor tržišta, među ostalim povećanjem dodijeljenih sredstava u okviru predstojećeg višegodišnjeg financijskog okvira, kako bi se osigurala dostatna sredstva i odgovarajuće osoblje;</w:t>
      </w:r>
    </w:p>
    <w:p w14:paraId="37A1C24C" w14:textId="77777777" w:rsidR="00FB350E" w:rsidRPr="002B5AD9" w:rsidRDefault="00FB350E" w:rsidP="00FB350E">
      <w:pPr>
        <w:pStyle w:val="NormalHanging12a"/>
        <w:rPr>
          <w:b/>
          <w:i/>
          <w:iCs/>
        </w:rPr>
      </w:pPr>
      <w:r w:rsidRPr="002B5AD9">
        <w:rPr>
          <w:b/>
          <w:i/>
        </w:rPr>
        <w:t>Istrage internetskih platformi i daljnje mjere</w:t>
      </w:r>
    </w:p>
    <w:p w14:paraId="53A7B2CD" w14:textId="77777777" w:rsidR="00FB350E" w:rsidRPr="002B5AD9" w:rsidRDefault="00FB350E" w:rsidP="00FB350E">
      <w:pPr>
        <w:pStyle w:val="NormalHanging12a"/>
      </w:pPr>
      <w:r w:rsidRPr="002B5AD9">
        <w:t>11.</w:t>
      </w:r>
      <w:r w:rsidRPr="002B5AD9">
        <w:tab/>
        <w:t>žali zbog sporog napretka istraga koje su pokrenuli Komisija i Mreža za suradnju u području zaštite potrošača u vezi s internetskim platformama izvan EU-a zbog navodnih kršenja zakona EU-a o sigurnosti proizvoda i zaštiti potrošača te u vezi s vrlo velikim platformama, posebno u skladu s Aktom o digitalnim uslugama; žali zbog toga što istražni postupci često traju više mjeseci ili čak godina, čime se narušava povjerenje građana i ograničava sposobnost zakonodavaca da odgovore na brzorastuće internetske rizike; ističe hitnost zaključivanja tih istraga i otklanjanja strukturnih razloga te štetne sporosti; ističe da je u praksi obustava rada platformi, kao što se trenutačno traži u Francuskoj, i dalje u velikoj mjeri nedostižna, čak i u slučajevima očite i opetovane neusklađenosti; naglašava da je potrebno djelovanje na razini EU-a kako bi se osigurala dosljedna provedba zakonodavstva i spriječilo bilo kakvo narušavanje unutarnjeg tržišta;</w:t>
      </w:r>
    </w:p>
    <w:p w14:paraId="63835077" w14:textId="77777777" w:rsidR="00FB350E" w:rsidRPr="002B5AD9" w:rsidRDefault="00FB350E" w:rsidP="00FB350E">
      <w:pPr>
        <w:pStyle w:val="NormalHanging12a"/>
      </w:pPr>
      <w:r w:rsidRPr="002B5AD9">
        <w:t>12.</w:t>
      </w:r>
      <w:r w:rsidRPr="002B5AD9">
        <w:tab/>
        <w:t>stoga poziva na snažnije, brže i operativnije provedbene instrumente kako bi se osigurala učinkovita primjena pravila EU-a u digitalnom okruženju; ustraje u tome da bi stalno trebalo sustavno kontrolirati provedbu obveza koje su preuzele internetske platforme;</w:t>
      </w:r>
    </w:p>
    <w:p w14:paraId="3FB2D7F2" w14:textId="77777777" w:rsidR="00FB350E" w:rsidRPr="002B5AD9" w:rsidRDefault="00FB350E" w:rsidP="00FB350E">
      <w:pPr>
        <w:pStyle w:val="NormalHanging12a"/>
      </w:pPr>
      <w:r w:rsidRPr="002B5AD9">
        <w:t>13.</w:t>
      </w:r>
      <w:r w:rsidRPr="002B5AD9">
        <w:tab/>
        <w:t>ističe da nedavni nalazi u vezi s platformom SHEIN ukazuju na sustavne propuste, a ne izolirane incidente te da se ne mogu ispraviti pukim povlačenjem proizvoda ili javnim isprikama;</w:t>
      </w:r>
    </w:p>
    <w:p w14:paraId="4B133C46" w14:textId="77777777" w:rsidR="00FB350E" w:rsidRPr="002B5AD9" w:rsidRDefault="00FB350E" w:rsidP="00FB350E">
      <w:pPr>
        <w:pStyle w:val="NormalHanging12a"/>
      </w:pPr>
      <w:r w:rsidRPr="002B5AD9">
        <w:t>14.</w:t>
      </w:r>
      <w:r w:rsidRPr="002B5AD9">
        <w:tab/>
        <w:t>poziva na bržu i lakšu aktivaciju privremenih mjera u okviru Akta o digitalnim uslugama i drugih mjera u okviru Uredbe o općoj sigurnosti proizvoda i Uredbe o nadzoru tržišta i sukladnosti proizvoda, uključujući privremenu obustavu rada internetskih tržišta u slučajevima opetovanih, ozbiljnih ili sustavnih kršenja prava EU-a, kao što je slučaj s platformom SHEIN u Francuskoj, kako bi se osiguralo da platforme koje ne poštuju propise ne izbjegnu posljedice; naglašava da se obustava rada internetskih tržišta više ne bi trebala smatrati izvanrednom mjerom koja se provodi u krajnjoj nuždi;</w:t>
      </w:r>
    </w:p>
    <w:p w14:paraId="3BFC2FB5" w14:textId="77777777" w:rsidR="00FB350E" w:rsidRPr="002B5AD9" w:rsidRDefault="00FB350E" w:rsidP="00FB350E">
      <w:pPr>
        <w:pStyle w:val="NormalHanging12a"/>
      </w:pPr>
      <w:r w:rsidRPr="002B5AD9">
        <w:t>15.</w:t>
      </w:r>
      <w:r w:rsidRPr="002B5AD9">
        <w:tab/>
        <w:t xml:space="preserve">ističe potrebu za pravodobnom primjenom učinkovitijih sankcija, uz potpuno iskorištavanje svih instrumenata predviđenih zakonodavstvom EU-a; naglašava da te sankcije moraju biti dovoljno </w:t>
      </w:r>
      <w:proofErr w:type="spellStart"/>
      <w:r w:rsidRPr="002B5AD9">
        <w:t>odvraćajuće</w:t>
      </w:r>
      <w:proofErr w:type="spellEnd"/>
      <w:r w:rsidRPr="002B5AD9">
        <w:t xml:space="preserve"> kako bi se osiguralo da platforme koje ne poštuju propise u potpunosti poštuju pravo EU-a;</w:t>
      </w:r>
    </w:p>
    <w:p w14:paraId="54BF0A45" w14:textId="77777777" w:rsidR="00FB350E" w:rsidRPr="002B5AD9" w:rsidRDefault="00FB350E" w:rsidP="00FB350E">
      <w:pPr>
        <w:pStyle w:val="NormalHanging12a"/>
      </w:pPr>
      <w:r w:rsidRPr="002B5AD9">
        <w:t>16.</w:t>
      </w:r>
      <w:r w:rsidRPr="002B5AD9">
        <w:tab/>
        <w:t xml:space="preserve">napominje da je postojeći sustav više reaktivan nego preventivan jer vlasti interveniraju tek nakon što su opasni proizvodi već prodani potrošačima, umjesto da sprečavaju njihovu distribuciju; podsjeća da u skladu s Uredbom o općoj sigurnosti proizvoda internetska tržišta moraju ukloniti ponudu opasnog proizvoda u roku od dva dana ako su svjesna da je proizvod opasan ili ako moraju poduzeti daljnje mjere u vezi s nalogom za uklanjanje koji je izdalo državno tijelo ili u roku od tri dana ako moraju poduzeti daljnje mjere kako je zatražila priznata treća strana; međutim ističe da se pružatelje internetskih tržišta potiče da provjere proizvode na portalu </w:t>
      </w:r>
      <w:proofErr w:type="spellStart"/>
      <w:r w:rsidRPr="002B5AD9">
        <w:t>Safety</w:t>
      </w:r>
      <w:proofErr w:type="spellEnd"/>
      <w:r w:rsidRPr="002B5AD9">
        <w:t xml:space="preserve"> Gate prije nego što ih objave na </w:t>
      </w:r>
      <w:r w:rsidRPr="002B5AD9">
        <w:lastRenderedPageBreak/>
        <w:t>svojim sučeljima; naglašava da nasumično uzorkovanje i testiranje mogu poslužiti kao učinkovito sredstvo odvraćanja samo ako se provode sustavno i dovoljno često;</w:t>
      </w:r>
    </w:p>
    <w:p w14:paraId="3FF9D8E6" w14:textId="77777777" w:rsidR="00FB350E" w:rsidRPr="002B5AD9" w:rsidRDefault="00FB350E" w:rsidP="00FB350E">
      <w:pPr>
        <w:pStyle w:val="NormalHanging12a"/>
      </w:pPr>
      <w:r w:rsidRPr="002B5AD9">
        <w:t>17.</w:t>
      </w:r>
      <w:r w:rsidRPr="002B5AD9">
        <w:tab/>
        <w:t xml:space="preserve">poziva Komisiju i nacionalna nadležna tijela da odlučno provode Akt o digitalnim uslugama kada je riječ o odgovornosti internetskih tržišta, a posebno njihovim obvezama u pogledu sustava za preporučivanje, dizajna sučelja, prava na informacije, pravila o integriranoj usklađenosti radi povećanja opće </w:t>
      </w:r>
      <w:proofErr w:type="spellStart"/>
      <w:r w:rsidRPr="002B5AD9">
        <w:t>sljedivosti</w:t>
      </w:r>
      <w:proofErr w:type="spellEnd"/>
      <w:r w:rsidRPr="002B5AD9">
        <w:t xml:space="preserve"> i obvezi poznavanja poslovnog klijenta; naglašava da je potrebna mreža pouzdanih prijavitelja nezakonitih proizvoda i e-trgovine u skladu s Aktom o digitalnim uslugama kako bi se osiguralo da platforme uredno ispunjavaju svoje obveze; podsjeća da su SHEIN i druge internetske platforme, kao što su Temu i </w:t>
      </w:r>
      <w:proofErr w:type="spellStart"/>
      <w:r w:rsidRPr="002B5AD9">
        <w:t>AliExpress</w:t>
      </w:r>
      <w:proofErr w:type="spellEnd"/>
      <w:r w:rsidRPr="002B5AD9">
        <w:t>, svrstane u kategoriju vrlo velikih internetskih platformi i da podliježu pojačanim obvezama;</w:t>
      </w:r>
    </w:p>
    <w:p w14:paraId="6F02D59B" w14:textId="77777777" w:rsidR="00FB350E" w:rsidRPr="002B5AD9" w:rsidRDefault="00FB350E" w:rsidP="00FB350E">
      <w:pPr>
        <w:pStyle w:val="NormalHanging12a"/>
      </w:pPr>
      <w:r w:rsidRPr="002B5AD9">
        <w:t>18.</w:t>
      </w:r>
      <w:r w:rsidRPr="002B5AD9">
        <w:tab/>
        <w:t xml:space="preserve">napominje da Komisija provodi istrage rada određenih internetskih tržišta izvan EU-a zbog njihove primjene manipulativnih praksi, uključujući tamne obrasce, značajke dizajna koje stvaraju ovisnost, obmanjujući </w:t>
      </w:r>
      <w:proofErr w:type="spellStart"/>
      <w:r w:rsidRPr="002B5AD9">
        <w:t>influencerski</w:t>
      </w:r>
      <w:proofErr w:type="spellEnd"/>
      <w:r w:rsidRPr="002B5AD9">
        <w:t xml:space="preserve"> marketing i širenje lažnih ili zavaravajućih internetskih recenzija; podsjeća da se u okviru provjere primjerenosti digitalne pravednosti gubici potrošača procjenjuju na gotovo 8 milijardi EUR godišnje zbog nepoštenih poslovnih praksi te naglašava da takve izrabljivačke metode, koje posebno utječu na ranjive korisnike i maloljetnike, potiču impulzivno ponašanje pri kupnji i potiču neodrživu potrošnju; potiče Komisiju da osigura da se predstojećim Aktom o digitalnoj pravednosti te prakse riješe uklanjanjem regulatornih nedostataka u postojećem zakonodavstvu; </w:t>
      </w:r>
    </w:p>
    <w:p w14:paraId="5AC98448" w14:textId="77777777" w:rsidR="00FB350E" w:rsidRPr="002B5AD9" w:rsidRDefault="00FB350E" w:rsidP="00FB350E">
      <w:pPr>
        <w:pStyle w:val="NormalHanging12a"/>
      </w:pPr>
      <w:r w:rsidRPr="002B5AD9">
        <w:t>19.</w:t>
      </w:r>
      <w:r w:rsidRPr="002B5AD9">
        <w:tab/>
        <w:t>poziva na to da se od svih prodavatelja koji posluju na internetskim tržištima zahtijeva da dostave provjerljivu adresu za povrat i kontaktnu točku unutar EU-a, čime bi se osiguralo da potrošači mogu učinkovito ostvariti svoja prava u skladu s pravom EU-a o zaštiti potrošača, kao što je pravo na odustajanje od kupnje pri kupnji na internetu te pravo na povrat nesukladne robe bez dodatnih opterećenja, i da nadležna tijela mogu učinkovito provoditi inspekcije; smatra da bi internetska tržišta trebala biti odgovorna za provjeru tih zahtjeva i odgovarati za njihovu provedbu;</w:t>
      </w:r>
    </w:p>
    <w:p w14:paraId="7FE4AA6D" w14:textId="77777777" w:rsidR="00FB350E" w:rsidRPr="002B5AD9" w:rsidRDefault="00FB350E" w:rsidP="00FB350E">
      <w:pPr>
        <w:pStyle w:val="NormalHanging12a"/>
        <w:rPr>
          <w:b/>
          <w:i/>
          <w:iCs/>
        </w:rPr>
      </w:pPr>
      <w:r w:rsidRPr="002B5AD9">
        <w:rPr>
          <w:b/>
          <w:i/>
        </w:rPr>
        <w:t>Potreba za regulatornim reformama</w:t>
      </w:r>
    </w:p>
    <w:p w14:paraId="026B0380" w14:textId="77777777" w:rsidR="00FB350E" w:rsidRPr="002B5AD9" w:rsidRDefault="00FB350E" w:rsidP="00FB350E">
      <w:pPr>
        <w:pStyle w:val="NormalHanging12a"/>
        <w:rPr>
          <w:bCs/>
        </w:rPr>
      </w:pPr>
      <w:r w:rsidRPr="002B5AD9">
        <w:t>20.</w:t>
      </w:r>
      <w:r w:rsidRPr="002B5AD9">
        <w:tab/>
        <w:t>potiče Komisiju da bez odgode poduzme učinkovite mjere protiv nesigurnih i nezakonitih proizvoda na internetskim platformama, uključujući zakonodavne mjere u kojima su jasno utvrđene rupe u zakonu, kako bi se osigurala pravna sigurnost i jednaki uvjeti poslovanja za europska poduzeća, s posebnim naglaskom na mala i srednja poduzeća; ističe potrebu za provedbom aktualnog okvira za usklađenost i evaluacijom tih mjera prilikom razmatranja novog zakonodavstva, uključujući nove obveze za internetska tržišta;</w:t>
      </w:r>
    </w:p>
    <w:p w14:paraId="5E71E831" w14:textId="77777777" w:rsidR="00FB350E" w:rsidRPr="002B5AD9" w:rsidRDefault="00FB350E" w:rsidP="00FB350E">
      <w:pPr>
        <w:pStyle w:val="NormalHanging12a"/>
      </w:pPr>
      <w:r w:rsidRPr="002B5AD9">
        <w:t>21.</w:t>
      </w:r>
      <w:r w:rsidRPr="002B5AD9">
        <w:tab/>
        <w:t xml:space="preserve">ističe činjenicu da su u okviru Uredbe o općoj sigurnosti proizvoda informacije o odgovornom gospodarskom subjektu u EU-u, koji djeluje u ime trgovca ili platforme izvan EU-a, često pogrešne ili ih nema; međutim, naglašava da, ako prodavatelji imaju sjedište izvan EU-a ili nisu </w:t>
      </w:r>
      <w:proofErr w:type="spellStart"/>
      <w:r w:rsidRPr="002B5AD9">
        <w:t>sljedivi</w:t>
      </w:r>
      <w:proofErr w:type="spellEnd"/>
      <w:r w:rsidRPr="002B5AD9">
        <w:t xml:space="preserve"> i ako se za odgovorne osobe upotrebljavaju lažne adrese, ne postoji odgovoran pravni subjekt i tijela za nadzor tržišta ne mogu poduzeti provedbene mjere ili potrošači ne mogu pristupiti naknadi ili pravnim lijekovima; napominje da čak i kada su te informacije dostupne, odgovorna osoba u EU-u možda neće biti odgovorna;</w:t>
      </w:r>
    </w:p>
    <w:p w14:paraId="52E57D76" w14:textId="77777777" w:rsidR="00FB350E" w:rsidRPr="002B5AD9" w:rsidRDefault="00FB350E" w:rsidP="00FB350E">
      <w:pPr>
        <w:pStyle w:val="NormalHanging12a"/>
      </w:pPr>
      <w:r w:rsidRPr="002B5AD9">
        <w:lastRenderedPageBreak/>
        <w:t>22.</w:t>
      </w:r>
      <w:r w:rsidRPr="002B5AD9">
        <w:tab/>
        <w:t xml:space="preserve">smatra da se u svim slučajevima mora zajamčiti pravna zaštita potrošača; u tom pogledu ističe da, ako proizvođač ima poslovni </w:t>
      </w:r>
      <w:proofErr w:type="spellStart"/>
      <w:r w:rsidRPr="002B5AD9">
        <w:t>nastan</w:t>
      </w:r>
      <w:proofErr w:type="spellEnd"/>
      <w:r w:rsidRPr="002B5AD9">
        <w:t xml:space="preserve"> izvan EU-a i ako se ne može utvrditi nijedan uvoznik, ovlašteni zastupnik ili pružatelj usluga provođenja narudžbi, internetska tržišta trebala bi pružiti odgovarajuće i razmjerne pravne lijekove potrošačima ako ne poštuju Akt o digitalnim uslugama, posebno njegove članke 30. i 31., ili članak 22. Uredbe o općoj sigurnosti proizvoda;</w:t>
      </w:r>
    </w:p>
    <w:p w14:paraId="490B0AA8" w14:textId="77777777" w:rsidR="00FB350E" w:rsidRPr="002B5AD9" w:rsidRDefault="00FB350E" w:rsidP="00FB350E">
      <w:pPr>
        <w:pStyle w:val="NormalHanging12a"/>
      </w:pPr>
      <w:r w:rsidRPr="002B5AD9">
        <w:t>23.</w:t>
      </w:r>
      <w:r w:rsidRPr="002B5AD9">
        <w:tab/>
        <w:t>prima na znanje namjeru Komisije da revidira Uredbu o nadzoru tržišta i sukladnosti proizvoda i naglašava da se tim procesom mora omogućiti brza i temeljita procjena postojećih pravila o „odgovornoj osobi za proizvode koji se stavljaju na tržište Unije”, posebno za trgovce izvan EU-a, na temelju rezultata evaluacijskog izvješća o provedbi članka 4. Uredbe o nadzoru tržišta i sukladnosti proizvoda; poziva Komisiju da ubrza procjenu uvođenja obveznog zahtjeva za trgovce izvan EU-a u pogledu imenovanja odgovorne osobe u EU-u s povećanom pravnom i financijskom odgovornošću;</w:t>
      </w:r>
    </w:p>
    <w:p w14:paraId="47A4B35C" w14:textId="77777777" w:rsidR="00FB350E" w:rsidRPr="002B5AD9" w:rsidRDefault="00FB350E" w:rsidP="00FB350E">
      <w:pPr>
        <w:pStyle w:val="NormalHanging12a"/>
      </w:pPr>
      <w:r w:rsidRPr="002B5AD9">
        <w:t>24.</w:t>
      </w:r>
      <w:r w:rsidRPr="002B5AD9">
        <w:tab/>
        <w:t>smatra da je revizija Uredbe o nadzoru tržišta i sukladnosti proizvoda ključna prilika za jačanje regulatornog okvira EU-a jasnijim razlikovanjem odgovornosti platformi koje stavljaju proizvode na tržište od onih čije su aktivnosti ograničene na usluge smještanja sadržaja koji nije proizvod, kao što su videozapisi, slike ili članci; podsjeća da je ta razlika već sadržana u Uredbi o općoj sigurnosti proizvoda, Uredbi o nadzoru tržišta i sukladnosti proizvoda i Carinskom zakoniku Unije, kojima se utvrđuju posebne odredbe za internetska tržišta koja prodaju proizvode; smatra, međutim, da je potrebno zajamčiti veću odgovornost internetskih tržišta koja prodaju proizvode kako bi se dodatno zaštitili potrošači;</w:t>
      </w:r>
    </w:p>
    <w:p w14:paraId="1481B295" w14:textId="77777777" w:rsidR="00FB350E" w:rsidRPr="002B5AD9" w:rsidRDefault="00FB350E" w:rsidP="00FB350E">
      <w:pPr>
        <w:pStyle w:val="NormalHanging12a"/>
      </w:pPr>
      <w:r w:rsidRPr="002B5AD9">
        <w:t>25.</w:t>
      </w:r>
      <w:r w:rsidRPr="002B5AD9">
        <w:tab/>
        <w:t>potiče Komisiju da bez odgode nastavi sa sveobuhvatnom revizijom Uredbe o suradnji u području zaštite potrošača</w:t>
      </w:r>
      <w:r w:rsidRPr="002B5AD9">
        <w:rPr>
          <w:rStyle w:val="FootnoteReference"/>
        </w:rPr>
        <w:footnoteReference w:id="10"/>
      </w:r>
      <w:r w:rsidRPr="002B5AD9">
        <w:t xml:space="preserve"> jer je to preduvjet za postizanje snažne prekogranične provedbe pravila EU-a o zaštiti potrošača i ograničavanje prometa nesigurne robe; ustraje u tome da se revizijom moraju uvesti konkretne odredbe kojima se jačaju provedbeni kapaciteti u pogledu trgovaca i platformi izvan EU-a, uz istodobno osiguravanje bolje koordinacije i strukturirane razmjene informacija između tijela EU-a i nacionalnih tijela te, prema potrebi, nadležnih tijela u zemljama izvan EU-a; naglašava da je potrebno Komisiji dodijeliti izravne istražne ovlasti i ovlasti sankcioniranja za teška kršenja prava o zaštiti potrošača s velikim učinkom kako bi se osigurala dosljedna, istodobna i </w:t>
      </w:r>
      <w:proofErr w:type="spellStart"/>
      <w:r w:rsidRPr="002B5AD9">
        <w:t>odvraćajuća</w:t>
      </w:r>
      <w:proofErr w:type="spellEnd"/>
      <w:r w:rsidRPr="002B5AD9">
        <w:t xml:space="preserve"> provedba diljem EU-a;</w:t>
      </w:r>
    </w:p>
    <w:p w14:paraId="4EACAFA8" w14:textId="77777777" w:rsidR="00FB350E" w:rsidRPr="002B5AD9" w:rsidRDefault="00FB350E" w:rsidP="00FB350E">
      <w:pPr>
        <w:pStyle w:val="NormalHanging12a"/>
      </w:pPr>
      <w:r w:rsidRPr="002B5AD9">
        <w:t>26.</w:t>
      </w:r>
      <w:r w:rsidRPr="002B5AD9">
        <w:tab/>
        <w:t xml:space="preserve">smatra da su operacije tajnog kupovanja koje provode tijela za nadzor tržišta, kako je navedeno u Komunikaciji Komisije o e-trgovini, ključno sredstvo za procjenu zakonitosti i sigurnosti proizvoda koji se nude putem internetskih platformi; poziva na drastično proširenje tih provjera i njihovu redovitiju provedbu kako bi se osigurala smislena provedba, zajedno s drugim koordiniranim provedbenim mjerama kao što su opsežne provjere i </w:t>
      </w:r>
      <w:proofErr w:type="spellStart"/>
      <w:r w:rsidRPr="002B5AD9">
        <w:t>istorazinske</w:t>
      </w:r>
      <w:proofErr w:type="spellEnd"/>
      <w:r w:rsidRPr="002B5AD9">
        <w:t xml:space="preserve"> ocjene; podsjeća da bi se korektivne mjere, koje se odnose na opetovanu ili prethodno dokumentiranu nesukladnost u odnosu na usporedive proizvode, predviđene Uredbom o općoj sigurnosti proizvoda trebale sustavnije upotrebljavati;</w:t>
      </w:r>
    </w:p>
    <w:p w14:paraId="51DB9C58" w14:textId="77777777" w:rsidR="00FB350E" w:rsidRPr="002B5AD9" w:rsidRDefault="00FB350E" w:rsidP="00FB350E">
      <w:pPr>
        <w:pStyle w:val="NormalHanging12a"/>
      </w:pPr>
      <w:r w:rsidRPr="002B5AD9">
        <w:lastRenderedPageBreak/>
        <w:t>27.</w:t>
      </w:r>
      <w:r w:rsidRPr="002B5AD9">
        <w:tab/>
        <w:t>poziva Komisiju da procijeni izvedivost uvođenja jasnih i usklađenih definicija „brze mode” i „</w:t>
      </w:r>
      <w:proofErr w:type="spellStart"/>
      <w:r w:rsidRPr="002B5AD9">
        <w:t>ultrabrze</w:t>
      </w:r>
      <w:proofErr w:type="spellEnd"/>
      <w:r w:rsidRPr="002B5AD9">
        <w:t xml:space="preserve"> mode” kako bi se uklonili specifični rizici povezani s tim poslovnim modelima, osigurali jednaki uvjeti za sve sudionike na tržištu i spriječila regulatorna fragmentacija unutarnjeg tržišta; nadalje, poziva Komisiju da ocijeni odredbe kojima bi se osigurala dostupnost u potpunosti učinkovitih alata za reagiranje na izazove koje podrazumijeva širenje „</w:t>
      </w:r>
      <w:proofErr w:type="spellStart"/>
      <w:r w:rsidRPr="002B5AD9">
        <w:t>ultrabrzih</w:t>
      </w:r>
      <w:proofErr w:type="spellEnd"/>
      <w:r w:rsidRPr="002B5AD9">
        <w:t>” proizvoda i proizvoda niske kvalitete, uključujući strože postupke ocjenjivanja sukladnosti i unaprjeđene alate za provedbu, te tako stvorilo unutarnje tržište koje jamči najvišu razinu zaštite potrošača i istodobno omogućuje razvoj inovativnih proizvoda i ideja te smanjuje svako nepotrebno administrativno opterećenje odgovornih poduzeća i sukladnih proizvoda;</w:t>
      </w:r>
    </w:p>
    <w:p w14:paraId="7109AD6A" w14:textId="77777777" w:rsidR="00FB350E" w:rsidRPr="002B5AD9" w:rsidRDefault="00FB350E" w:rsidP="00FB350E">
      <w:pPr>
        <w:pStyle w:val="NormalHanging12a"/>
      </w:pPr>
      <w:r w:rsidRPr="002B5AD9">
        <w:t>28.</w:t>
      </w:r>
      <w:r w:rsidRPr="002B5AD9">
        <w:tab/>
        <w:t xml:space="preserve">nadalje, potiče države članice da znatno ubrzaju digitalizaciju uvoznih postupaka u carinskim upravama, uz potporu centra EU-a za carinske podatke, kako bi se osigurala učinkovita primjena postojećeg zakonodavstva i ubrzalo carinjenje, posebno s obzirom na eksponencijalni rast broja paketa; poziva države članice na veću upotrebu automatiziranih postupaka, kao što su automatizirano skeniranje oznaka pri obradi paketa na carini; naglašava da bi široka upotreba digitalne putovnice za proizvode omogućila ex </w:t>
      </w:r>
      <w:proofErr w:type="spellStart"/>
      <w:r w:rsidRPr="002B5AD9">
        <w:t>ante</w:t>
      </w:r>
      <w:proofErr w:type="spellEnd"/>
      <w:r w:rsidRPr="002B5AD9">
        <w:t xml:space="preserve"> provjeru usklađenosti svih proizvoda uvezenih putem e-trgovine, koja bi sadržavala detaljne informacije o kvaliteti i usklađenosti i koja bi se izravno slala u centar EU-a za carinske podatke; poziva Komisiju da za svu fizičku robu stavljenu na tržište EU-a što prije izda digitalnu putovnicu za proizvode;</w:t>
      </w:r>
    </w:p>
    <w:p w14:paraId="1B4EA65C" w14:textId="77777777" w:rsidR="00FB350E" w:rsidRPr="002B5AD9" w:rsidRDefault="00FB350E" w:rsidP="00FB350E">
      <w:pPr>
        <w:pStyle w:val="NormalHanging12a"/>
      </w:pPr>
      <w:r w:rsidRPr="002B5AD9">
        <w:t>29.</w:t>
      </w:r>
      <w:r w:rsidRPr="002B5AD9">
        <w:tab/>
        <w:t>potiče države članice da znatno pojačaju carinske provjere i povećaju kapacitete za analizu rizika, pri čemu bi im potporu trebali pružiti Komisija i Carinsko tijelo EU-a koji bi provodili zadaće upravljanja rizikom koje će se uvesti reformom Carinskog zakonika Unije, kako bi se nesukladna roba brzo otkrila i presrela te na taj način ograničila šteta za potrošače u EU-u i zaštitili gospodarski interesi poduzeća iz EU-a; naglašava potrebu za jačanjem kapaciteta carinskih centara kako bi mogli učinkovito upravljati vrlo velikom količinom malih paketa koji ne podliježu tradicionalnim metodama kontrole, među ostalim uvođenjem naprednih tehnologija za pregled kojima se mogu identificirati sumnjive pošiljke na ulaznim točkama; poziva na strože provjere usklađenosti u području prijevoza velike tonaže, dopunjene nasumičnim inspekcijama;</w:t>
      </w:r>
    </w:p>
    <w:p w14:paraId="3350CBCC" w14:textId="77777777" w:rsidR="00FB350E" w:rsidRPr="002B5AD9" w:rsidRDefault="00FB350E" w:rsidP="00FB350E">
      <w:pPr>
        <w:pStyle w:val="NormalHanging12a"/>
      </w:pPr>
      <w:r w:rsidRPr="002B5AD9">
        <w:t>30.</w:t>
      </w:r>
      <w:r w:rsidRPr="002B5AD9">
        <w:tab/>
        <w:t>naglašava da bi, s obzirom na hitnu potrebu za jačanjem carinskih provjera, trebalo ubrzati provedbu temeljnih obveza u skladu s revizijom Carinskog zakonika Unije, posebno kad je riječ o osnivanju centra EU-a za carinske podatke; potiče Komisiju da bez odgode pokrene sve pripremne korake potrebne za njegovu uspostavu, osiguravajući da funkcionalnosti e-trgovine centra budu u potpunosti operativne prije roka 2026. godine; pozdravlja politički dogovor postignut u Vijeću o ukidanju praga od 150 EUR za oslobođenje od carina jer je to ključna mjera za suzbijanje sustavne zlouporabe u pošiljkama male vrijednosti;</w:t>
      </w:r>
    </w:p>
    <w:p w14:paraId="3DA729AD" w14:textId="77777777" w:rsidR="00FB350E" w:rsidRPr="002B5AD9" w:rsidRDefault="00FB350E" w:rsidP="00FB350E">
      <w:pPr>
        <w:pStyle w:val="NormalHanging12a"/>
      </w:pPr>
      <w:r w:rsidRPr="002B5AD9">
        <w:t>31.</w:t>
      </w:r>
      <w:r w:rsidRPr="002B5AD9">
        <w:tab/>
        <w:t>napominje da u nekim slučajevima trgovci i platforme izvan EU-a na tržište EU-a unose nesukladnu i ponekad opasnu robu bez suočavanja s posljedicama; napominje da bi reforma Carinskog zakonika Unije trebala doprinijeti rješavanju problema rupa u zakonu u pogledu odgovornosti za nesukladne proizvode koji ulaze na carinsko područje EU-a;</w:t>
      </w:r>
    </w:p>
    <w:p w14:paraId="50F6A026" w14:textId="77777777" w:rsidR="00FB350E" w:rsidRPr="002B5AD9" w:rsidRDefault="00FB350E" w:rsidP="00FB350E">
      <w:pPr>
        <w:pStyle w:val="NormalHanging12a"/>
      </w:pPr>
      <w:r w:rsidRPr="002B5AD9">
        <w:t>32.</w:t>
      </w:r>
      <w:r w:rsidRPr="002B5AD9">
        <w:tab/>
        <w:t xml:space="preserve">poziva tijela za zaštitu potrošača, organizacije, industrijska tijela i gospodarske komore da pojačaju zajedničke napore u pogledu informiranja kako bi potrošači dobili jasne i dostupne smjernice o svojim pravima i rizicima povezanima s kupnjom na internetu, </w:t>
      </w:r>
      <w:r w:rsidRPr="002B5AD9">
        <w:lastRenderedPageBreak/>
        <w:t>posebno na platformama izvan EU-a; snažno poziva na to da se u takvim inicijativama jasno istakne pitanje dostupnost načina pravne zaštite, uključujući kolektivnu pravnu zaštitu, kako bi se osiguralo da potrošači mogu učinkovito iskoristiti pravne lijekove u slučaju nesigurnih ili nezakonitih proizvoda;</w:t>
      </w:r>
    </w:p>
    <w:p w14:paraId="206AA487" w14:textId="77777777" w:rsidR="00FB350E" w:rsidRPr="002B5AD9" w:rsidRDefault="00FB350E" w:rsidP="00FB350E">
      <w:pPr>
        <w:pStyle w:val="NormalHanging12a"/>
      </w:pPr>
    </w:p>
    <w:p w14:paraId="363696E6" w14:textId="77777777" w:rsidR="00FB350E" w:rsidRPr="002B5AD9" w:rsidRDefault="00FB350E" w:rsidP="00FB350E">
      <w:pPr>
        <w:pStyle w:val="NormalHanging12a"/>
        <w:jc w:val="center"/>
      </w:pPr>
      <w:r w:rsidRPr="002B5AD9">
        <w:t>°</w:t>
      </w:r>
    </w:p>
    <w:p w14:paraId="6747D6CF" w14:textId="77777777" w:rsidR="00FB350E" w:rsidRPr="002B5AD9" w:rsidRDefault="00FB350E" w:rsidP="00FB350E">
      <w:pPr>
        <w:pStyle w:val="NormalHanging12a"/>
        <w:jc w:val="center"/>
      </w:pPr>
      <w:r w:rsidRPr="002B5AD9">
        <w:t>°</w:t>
      </w:r>
      <w:r w:rsidRPr="002B5AD9">
        <w:tab/>
        <w:t>°</w:t>
      </w:r>
    </w:p>
    <w:p w14:paraId="378E8E59" w14:textId="56FA5F20" w:rsidR="00E365E1" w:rsidRPr="002B5AD9" w:rsidRDefault="00FB350E" w:rsidP="002B5AD9">
      <w:pPr>
        <w:ind w:left="567" w:hanging="567"/>
      </w:pPr>
      <w:r w:rsidRPr="002B5AD9">
        <w:t>33.</w:t>
      </w:r>
      <w:r w:rsidR="002B5AD9">
        <w:tab/>
      </w:r>
      <w:r w:rsidRPr="002B5AD9">
        <w:t>nalaže svojoj predsjednici da ovu Rezoluciju proslijedi Vijeću i Komisiji.</w:t>
      </w:r>
    </w:p>
    <w:sectPr w:rsidR="00E365E1" w:rsidRPr="002B5AD9" w:rsidSect="00A56AE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DB0B25" w14:textId="77777777" w:rsidR="00E04593" w:rsidRPr="00A56AEE" w:rsidRDefault="00E04593">
      <w:r w:rsidRPr="00A56AEE">
        <w:separator/>
      </w:r>
    </w:p>
  </w:endnote>
  <w:endnote w:type="continuationSeparator" w:id="0">
    <w:p w14:paraId="5FB3FD47" w14:textId="77777777" w:rsidR="00E04593" w:rsidRPr="00A56AEE" w:rsidRDefault="00E04593">
      <w:r w:rsidRPr="00A56A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F5F4F" w14:textId="77777777" w:rsidR="00064002" w:rsidRPr="00A56AE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1FA77" w14:textId="77777777" w:rsidR="00064002" w:rsidRPr="00A56AE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2F227" w14:textId="77777777" w:rsidR="00064002" w:rsidRPr="00A56AE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692A2A" w14:textId="77777777" w:rsidR="00E04593" w:rsidRPr="00A56AEE" w:rsidRDefault="00E04593">
      <w:r w:rsidRPr="00A56AEE">
        <w:separator/>
      </w:r>
    </w:p>
  </w:footnote>
  <w:footnote w:type="continuationSeparator" w:id="0">
    <w:p w14:paraId="3150792B" w14:textId="77777777" w:rsidR="00E04593" w:rsidRPr="00A56AEE" w:rsidRDefault="00E04593">
      <w:r w:rsidRPr="00A56AEE">
        <w:continuationSeparator/>
      </w:r>
    </w:p>
  </w:footnote>
  <w:footnote w:id="1">
    <w:p w14:paraId="675D34A5" w14:textId="38D5681B" w:rsidR="00FB350E" w:rsidRPr="00A56AEE" w:rsidRDefault="00FB350E" w:rsidP="00A56AEE">
      <w:pPr>
        <w:pStyle w:val="FootnoteText"/>
        <w:ind w:left="567" w:hanging="567"/>
        <w:rPr>
          <w:sz w:val="24"/>
          <w:lang w:val="hr-HR"/>
        </w:rPr>
      </w:pPr>
      <w:r w:rsidRPr="00A56AEE">
        <w:rPr>
          <w:rStyle w:val="FootnoteReference"/>
          <w:sz w:val="24"/>
          <w:lang w:val="hr-HR"/>
        </w:rPr>
        <w:footnoteRef/>
      </w:r>
      <w:r w:rsidR="00A56AEE" w:rsidRPr="00A56AEE">
        <w:rPr>
          <w:sz w:val="24"/>
          <w:lang w:val="hr-HR"/>
        </w:rPr>
        <w:t xml:space="preserve"> </w:t>
      </w:r>
      <w:r w:rsidR="00A56AEE" w:rsidRPr="00A56AEE">
        <w:rPr>
          <w:sz w:val="24"/>
          <w:lang w:val="hr-HR"/>
        </w:rPr>
        <w:tab/>
      </w:r>
      <w:r w:rsidRPr="00A56AEE">
        <w:rPr>
          <w:sz w:val="24"/>
          <w:lang w:val="hr-HR"/>
        </w:rPr>
        <w:t>SL C, C/2025/1035, 2</w:t>
      </w:r>
      <w:r w:rsidR="00D62D89">
        <w:rPr>
          <w:sz w:val="24"/>
          <w:lang w:val="hr-HR"/>
        </w:rPr>
        <w:t>7</w:t>
      </w:r>
      <w:r w:rsidRPr="00A56AEE">
        <w:rPr>
          <w:sz w:val="24"/>
          <w:lang w:val="hr-HR"/>
        </w:rPr>
        <w:t>.</w:t>
      </w:r>
      <w:r w:rsidR="00D62D89">
        <w:rPr>
          <w:sz w:val="24"/>
          <w:lang w:val="hr-HR"/>
        </w:rPr>
        <w:t>2</w:t>
      </w:r>
      <w:r w:rsidRPr="00A56AEE">
        <w:rPr>
          <w:sz w:val="24"/>
          <w:lang w:val="hr-HR"/>
        </w:rPr>
        <w:t xml:space="preserve">.2025., ELI: </w:t>
      </w:r>
      <w:hyperlink r:id="rId1" w:history="1">
        <w:r w:rsidRPr="00A56AEE">
          <w:rPr>
            <w:rStyle w:val="Hyperlink"/>
            <w:sz w:val="24"/>
            <w:lang w:val="hr-HR"/>
          </w:rPr>
          <w:t>http://</w:t>
        </w:r>
        <w:r w:rsidRPr="00A56AEE">
          <w:rPr>
            <w:rStyle w:val="Hyperlink"/>
            <w:sz w:val="24"/>
            <w:lang w:val="hr-HR"/>
          </w:rPr>
          <w:t>d</w:t>
        </w:r>
        <w:r w:rsidRPr="00A56AEE">
          <w:rPr>
            <w:rStyle w:val="Hyperlink"/>
            <w:sz w:val="24"/>
            <w:lang w:val="hr-HR"/>
          </w:rPr>
          <w:t>ata.europa.eu/eli/C/2025/1035/oj</w:t>
        </w:r>
      </w:hyperlink>
      <w:r w:rsidRPr="00A56AEE">
        <w:rPr>
          <w:sz w:val="24"/>
          <w:lang w:val="hr-HR"/>
        </w:rPr>
        <w:t>.</w:t>
      </w:r>
    </w:p>
  </w:footnote>
  <w:footnote w:id="2">
    <w:p w14:paraId="7DB98CAF" w14:textId="3BEDDD14" w:rsidR="00FB350E" w:rsidRPr="00A56AEE" w:rsidRDefault="00FB350E" w:rsidP="00A56AEE">
      <w:pPr>
        <w:pStyle w:val="FootnoteText"/>
        <w:ind w:left="567" w:hanging="567"/>
        <w:rPr>
          <w:sz w:val="24"/>
          <w:lang w:val="hr-HR"/>
        </w:rPr>
      </w:pPr>
      <w:r w:rsidRPr="00A56AEE">
        <w:rPr>
          <w:rStyle w:val="FootnoteReference"/>
          <w:sz w:val="24"/>
          <w:lang w:val="hr-HR"/>
        </w:rPr>
        <w:footnoteRef/>
      </w:r>
      <w:r w:rsidR="00A56AEE" w:rsidRPr="00A56AEE">
        <w:rPr>
          <w:sz w:val="24"/>
          <w:lang w:val="hr-HR"/>
        </w:rPr>
        <w:t xml:space="preserve"> </w:t>
      </w:r>
      <w:r w:rsidR="00A56AEE" w:rsidRPr="00A56AEE">
        <w:rPr>
          <w:sz w:val="24"/>
          <w:lang w:val="hr-HR"/>
        </w:rPr>
        <w:tab/>
      </w:r>
      <w:r w:rsidRPr="00A56AEE">
        <w:rPr>
          <w:sz w:val="24"/>
          <w:lang w:val="hr-HR"/>
        </w:rPr>
        <w:t xml:space="preserve">SL L, 2024/3015, 12.12.2024., ELI: </w:t>
      </w:r>
      <w:hyperlink r:id="rId2" w:history="1">
        <w:r w:rsidRPr="00A56AEE">
          <w:rPr>
            <w:rStyle w:val="Hyperlink"/>
            <w:sz w:val="24"/>
            <w:lang w:val="hr-HR"/>
          </w:rPr>
          <w:t>http://data.europa.eu/eli/reg/2024/3015/oj</w:t>
        </w:r>
      </w:hyperlink>
      <w:r w:rsidRPr="00A56AEE">
        <w:rPr>
          <w:sz w:val="24"/>
          <w:lang w:val="hr-HR"/>
        </w:rPr>
        <w:t>.</w:t>
      </w:r>
    </w:p>
  </w:footnote>
  <w:footnote w:id="3">
    <w:p w14:paraId="5257013F" w14:textId="573374A2" w:rsidR="00FB350E" w:rsidRPr="00A56AEE" w:rsidRDefault="00FB350E" w:rsidP="00A56AEE">
      <w:pPr>
        <w:pStyle w:val="FootnoteText"/>
        <w:ind w:left="567" w:hanging="567"/>
        <w:rPr>
          <w:sz w:val="24"/>
          <w:lang w:val="hr-HR"/>
        </w:rPr>
      </w:pPr>
      <w:r w:rsidRPr="00A56AEE">
        <w:rPr>
          <w:rStyle w:val="FootnoteReference"/>
          <w:sz w:val="24"/>
          <w:lang w:val="hr-HR"/>
        </w:rPr>
        <w:footnoteRef/>
      </w:r>
      <w:r w:rsidR="00A56AEE" w:rsidRPr="00A56AEE">
        <w:rPr>
          <w:sz w:val="24"/>
          <w:lang w:val="hr-HR"/>
        </w:rPr>
        <w:t xml:space="preserve"> </w:t>
      </w:r>
      <w:r w:rsidR="00A56AEE" w:rsidRPr="00A56AEE">
        <w:rPr>
          <w:sz w:val="24"/>
          <w:lang w:val="hr-HR"/>
        </w:rPr>
        <w:tab/>
      </w:r>
      <w:r w:rsidRPr="00A56AEE">
        <w:rPr>
          <w:sz w:val="24"/>
          <w:lang w:val="hr-HR"/>
        </w:rPr>
        <w:t xml:space="preserve">SL L, 2024/1760, 5.7.2024., ELI: </w:t>
      </w:r>
      <w:hyperlink r:id="rId3" w:history="1">
        <w:r w:rsidRPr="00A56AEE">
          <w:rPr>
            <w:rStyle w:val="Hyperlink"/>
            <w:sz w:val="24"/>
            <w:lang w:val="hr-HR"/>
          </w:rPr>
          <w:t>http://data.europa.eu/eli/dir/2024/1760/oj</w:t>
        </w:r>
      </w:hyperlink>
      <w:r w:rsidRPr="00A56AEE">
        <w:rPr>
          <w:sz w:val="24"/>
          <w:lang w:val="hr-HR"/>
        </w:rPr>
        <w:t>.</w:t>
      </w:r>
    </w:p>
  </w:footnote>
  <w:footnote w:id="4">
    <w:p w14:paraId="6ED7A879" w14:textId="7E05E296" w:rsidR="00FB350E" w:rsidRPr="00A56AEE" w:rsidRDefault="00FB350E" w:rsidP="00A56AEE">
      <w:pPr>
        <w:pStyle w:val="FootnoteText"/>
        <w:ind w:left="567" w:hanging="567"/>
        <w:rPr>
          <w:sz w:val="24"/>
          <w:lang w:val="hr-HR"/>
        </w:rPr>
      </w:pPr>
      <w:r w:rsidRPr="00A56AEE">
        <w:rPr>
          <w:rStyle w:val="FootnoteReference"/>
          <w:sz w:val="24"/>
          <w:lang w:val="hr-HR"/>
        </w:rPr>
        <w:footnoteRef/>
      </w:r>
      <w:r w:rsidR="00A56AEE" w:rsidRPr="00A56AEE">
        <w:rPr>
          <w:sz w:val="24"/>
          <w:lang w:val="hr-HR"/>
        </w:rPr>
        <w:t xml:space="preserve"> </w:t>
      </w:r>
      <w:r w:rsidR="00A56AEE" w:rsidRPr="00A56AEE">
        <w:rPr>
          <w:sz w:val="24"/>
          <w:lang w:val="hr-HR"/>
        </w:rPr>
        <w:tab/>
      </w:r>
      <w:proofErr w:type="spellStart"/>
      <w:r w:rsidRPr="00A56AEE">
        <w:rPr>
          <w:sz w:val="24"/>
          <w:lang w:val="hr-HR"/>
        </w:rPr>
        <w:t>Letta</w:t>
      </w:r>
      <w:proofErr w:type="spellEnd"/>
      <w:r w:rsidRPr="00A56AEE">
        <w:rPr>
          <w:sz w:val="24"/>
          <w:lang w:val="hr-HR"/>
        </w:rPr>
        <w:t>, E., „</w:t>
      </w:r>
      <w:proofErr w:type="spellStart"/>
      <w:r w:rsidRPr="00A56AEE">
        <w:fldChar w:fldCharType="begin"/>
      </w:r>
      <w:r w:rsidRPr="00A56AEE">
        <w:rPr>
          <w:sz w:val="24"/>
          <w:lang w:val="hr-HR"/>
        </w:rPr>
        <w:instrText>HYPERLINK "https://www.consilium.europa.eu/media/ny3j24sm/much-more-than-a-market-report-by-enrico-letta.pdf"</w:instrText>
      </w:r>
      <w:r w:rsidRPr="00A56AEE">
        <w:fldChar w:fldCharType="separate"/>
      </w:r>
      <w:r w:rsidRPr="00A56AEE">
        <w:rPr>
          <w:rStyle w:val="Hyperlink"/>
          <w:sz w:val="24"/>
          <w:lang w:val="hr-HR"/>
        </w:rPr>
        <w:t>Much</w:t>
      </w:r>
      <w:proofErr w:type="spellEnd"/>
      <w:r w:rsidRPr="00A56AEE">
        <w:rPr>
          <w:rStyle w:val="Hyperlink"/>
          <w:sz w:val="24"/>
          <w:lang w:val="hr-HR"/>
        </w:rPr>
        <w:t xml:space="preserve"> more </w:t>
      </w:r>
      <w:proofErr w:type="spellStart"/>
      <w:r w:rsidRPr="00A56AEE">
        <w:rPr>
          <w:rStyle w:val="Hyperlink"/>
          <w:sz w:val="24"/>
          <w:lang w:val="hr-HR"/>
        </w:rPr>
        <w:t>than</w:t>
      </w:r>
      <w:proofErr w:type="spellEnd"/>
      <w:r w:rsidRPr="00A56AEE">
        <w:rPr>
          <w:rStyle w:val="Hyperlink"/>
          <w:sz w:val="24"/>
          <w:lang w:val="hr-HR"/>
        </w:rPr>
        <w:t xml:space="preserve"> a market:</w:t>
      </w:r>
      <w:r w:rsidRPr="00A56AEE">
        <w:rPr>
          <w:rStyle w:val="Hyperlink"/>
          <w:sz w:val="24"/>
          <w:lang w:val="hr-HR"/>
        </w:rPr>
        <w:fldChar w:fldCharType="end"/>
      </w:r>
      <w:hyperlink r:id="rId4" w:history="1">
        <w:r w:rsidRPr="00A56AEE">
          <w:rPr>
            <w:rStyle w:val="Hyperlink"/>
            <w:sz w:val="24"/>
            <w:lang w:val="hr-HR"/>
          </w:rPr>
          <w:t xml:space="preserve"> </w:t>
        </w:r>
        <w:proofErr w:type="spellStart"/>
        <w:r w:rsidRPr="00A56AEE">
          <w:rPr>
            <w:rStyle w:val="Hyperlink"/>
            <w:sz w:val="24"/>
            <w:lang w:val="hr-HR"/>
          </w:rPr>
          <w:t>Speed</w:t>
        </w:r>
        <w:proofErr w:type="spellEnd"/>
        <w:r w:rsidRPr="00A56AEE">
          <w:rPr>
            <w:rStyle w:val="Hyperlink"/>
            <w:sz w:val="24"/>
            <w:lang w:val="hr-HR"/>
          </w:rPr>
          <w:t xml:space="preserve">, </w:t>
        </w:r>
        <w:proofErr w:type="spellStart"/>
        <w:r w:rsidRPr="00A56AEE">
          <w:rPr>
            <w:rStyle w:val="Hyperlink"/>
            <w:sz w:val="24"/>
            <w:lang w:val="hr-HR"/>
          </w:rPr>
          <w:t>security</w:t>
        </w:r>
        <w:proofErr w:type="spellEnd"/>
        <w:r w:rsidRPr="00A56AEE">
          <w:rPr>
            <w:rStyle w:val="Hyperlink"/>
            <w:sz w:val="24"/>
            <w:lang w:val="hr-HR"/>
          </w:rPr>
          <w:t xml:space="preserve">, </w:t>
        </w:r>
        <w:proofErr w:type="spellStart"/>
        <w:r w:rsidRPr="00A56AEE">
          <w:rPr>
            <w:rStyle w:val="Hyperlink"/>
            <w:sz w:val="24"/>
            <w:lang w:val="hr-HR"/>
          </w:rPr>
          <w:t>solidarity</w:t>
        </w:r>
        <w:proofErr w:type="spellEnd"/>
        <w:r w:rsidRPr="00A56AEE">
          <w:rPr>
            <w:rStyle w:val="Hyperlink"/>
            <w:sz w:val="24"/>
            <w:lang w:val="hr-HR"/>
          </w:rPr>
          <w:t xml:space="preserve"> – </w:t>
        </w:r>
        <w:proofErr w:type="spellStart"/>
        <w:r w:rsidRPr="00A56AEE">
          <w:rPr>
            <w:rStyle w:val="Hyperlink"/>
            <w:sz w:val="24"/>
            <w:lang w:val="hr-HR"/>
          </w:rPr>
          <w:t>Empowering</w:t>
        </w:r>
        <w:proofErr w:type="spellEnd"/>
        <w:r w:rsidRPr="00A56AEE">
          <w:rPr>
            <w:rStyle w:val="Hyperlink"/>
            <w:sz w:val="24"/>
            <w:lang w:val="hr-HR"/>
          </w:rPr>
          <w:t xml:space="preserve"> </w:t>
        </w:r>
        <w:proofErr w:type="spellStart"/>
        <w:r w:rsidRPr="00A56AEE">
          <w:rPr>
            <w:rStyle w:val="Hyperlink"/>
            <w:sz w:val="24"/>
            <w:lang w:val="hr-HR"/>
          </w:rPr>
          <w:t>the</w:t>
        </w:r>
        <w:proofErr w:type="spellEnd"/>
        <w:r w:rsidRPr="00A56AEE">
          <w:rPr>
            <w:rStyle w:val="Hyperlink"/>
            <w:sz w:val="24"/>
            <w:lang w:val="hr-HR"/>
          </w:rPr>
          <w:t xml:space="preserve"> Single Market to </w:t>
        </w:r>
        <w:proofErr w:type="spellStart"/>
        <w:r w:rsidRPr="00A56AEE">
          <w:rPr>
            <w:rStyle w:val="Hyperlink"/>
            <w:sz w:val="24"/>
            <w:lang w:val="hr-HR"/>
          </w:rPr>
          <w:t>deliver</w:t>
        </w:r>
        <w:proofErr w:type="spellEnd"/>
        <w:r w:rsidRPr="00A56AEE">
          <w:rPr>
            <w:rStyle w:val="Hyperlink"/>
            <w:sz w:val="24"/>
            <w:lang w:val="hr-HR"/>
          </w:rPr>
          <w:t xml:space="preserve"> a </w:t>
        </w:r>
        <w:proofErr w:type="spellStart"/>
        <w:r w:rsidRPr="00A56AEE">
          <w:rPr>
            <w:rStyle w:val="Hyperlink"/>
            <w:sz w:val="24"/>
            <w:lang w:val="hr-HR"/>
          </w:rPr>
          <w:t>sustainable</w:t>
        </w:r>
        <w:proofErr w:type="spellEnd"/>
        <w:r w:rsidRPr="00A56AEE">
          <w:rPr>
            <w:rStyle w:val="Hyperlink"/>
            <w:sz w:val="24"/>
            <w:lang w:val="hr-HR"/>
          </w:rPr>
          <w:t xml:space="preserve"> future </w:t>
        </w:r>
        <w:proofErr w:type="spellStart"/>
        <w:r w:rsidRPr="00A56AEE">
          <w:rPr>
            <w:rStyle w:val="Hyperlink"/>
            <w:sz w:val="24"/>
            <w:lang w:val="hr-HR"/>
          </w:rPr>
          <w:t>and</w:t>
        </w:r>
        <w:proofErr w:type="spellEnd"/>
        <w:r w:rsidRPr="00A56AEE">
          <w:rPr>
            <w:rStyle w:val="Hyperlink"/>
            <w:sz w:val="24"/>
            <w:lang w:val="hr-HR"/>
          </w:rPr>
          <w:t xml:space="preserve"> </w:t>
        </w:r>
        <w:proofErr w:type="spellStart"/>
        <w:r w:rsidRPr="00A56AEE">
          <w:rPr>
            <w:rStyle w:val="Hyperlink"/>
            <w:sz w:val="24"/>
            <w:lang w:val="hr-HR"/>
          </w:rPr>
          <w:t>prosperity</w:t>
        </w:r>
        <w:proofErr w:type="spellEnd"/>
        <w:r w:rsidRPr="00A56AEE">
          <w:rPr>
            <w:rStyle w:val="Hyperlink"/>
            <w:sz w:val="24"/>
            <w:lang w:val="hr-HR"/>
          </w:rPr>
          <w:t xml:space="preserve"> for </w:t>
        </w:r>
        <w:proofErr w:type="spellStart"/>
        <w:r w:rsidRPr="00A56AEE">
          <w:rPr>
            <w:rStyle w:val="Hyperlink"/>
            <w:sz w:val="24"/>
            <w:lang w:val="hr-HR"/>
          </w:rPr>
          <w:t>all</w:t>
        </w:r>
        <w:proofErr w:type="spellEnd"/>
        <w:r w:rsidRPr="00A56AEE">
          <w:rPr>
            <w:rStyle w:val="Hyperlink"/>
            <w:sz w:val="24"/>
            <w:lang w:val="hr-HR"/>
          </w:rPr>
          <w:t xml:space="preserve"> EU </w:t>
        </w:r>
        <w:proofErr w:type="spellStart"/>
        <w:r w:rsidRPr="00A56AEE">
          <w:rPr>
            <w:rStyle w:val="Hyperlink"/>
            <w:sz w:val="24"/>
            <w:lang w:val="hr-HR"/>
          </w:rPr>
          <w:t>citizens</w:t>
        </w:r>
        <w:proofErr w:type="spellEnd"/>
      </w:hyperlink>
      <w:r w:rsidRPr="00A56AEE">
        <w:rPr>
          <w:sz w:val="24"/>
          <w:lang w:val="hr-HR"/>
        </w:rPr>
        <w:t>” (Više od tržišta: brzina, sigurnost, solidarnost, osnaživanje jedinstvenog tržišta za ostvarivanje održive budućnosti i blagostanja za sve građane EU-a), travanj 2024.</w:t>
      </w:r>
    </w:p>
  </w:footnote>
  <w:footnote w:id="5">
    <w:p w14:paraId="62671AF2" w14:textId="216BDBC3" w:rsidR="00FB350E" w:rsidRPr="00A56AEE" w:rsidRDefault="00FB350E" w:rsidP="00A56AEE">
      <w:pPr>
        <w:pStyle w:val="FootnoteText"/>
        <w:ind w:left="567" w:hanging="567"/>
        <w:rPr>
          <w:sz w:val="24"/>
          <w:lang w:val="hr-HR"/>
        </w:rPr>
      </w:pPr>
      <w:r w:rsidRPr="00A56AEE">
        <w:rPr>
          <w:rStyle w:val="FootnoteReference"/>
          <w:sz w:val="24"/>
          <w:lang w:val="hr-HR"/>
        </w:rPr>
        <w:footnoteRef/>
      </w:r>
      <w:r w:rsidR="00A56AEE" w:rsidRPr="00A56AEE">
        <w:rPr>
          <w:sz w:val="24"/>
          <w:lang w:val="hr-HR"/>
        </w:rPr>
        <w:t xml:space="preserve"> </w:t>
      </w:r>
      <w:r w:rsidR="00A56AEE" w:rsidRPr="00A56AEE">
        <w:rPr>
          <w:sz w:val="24"/>
          <w:lang w:val="hr-HR"/>
        </w:rPr>
        <w:tab/>
      </w:r>
      <w:r w:rsidRPr="00A56AEE">
        <w:rPr>
          <w:sz w:val="24"/>
          <w:lang w:val="hr-HR"/>
        </w:rPr>
        <w:t>SL L 277, 27.10.2022., str. 1, ELI: </w:t>
      </w:r>
      <w:hyperlink r:id="rId5" w:tooltip="Omogućuje pristup tom dokumentu preko identifikatora ELI URI." w:history="1">
        <w:r w:rsidRPr="00A56AEE">
          <w:rPr>
            <w:rStyle w:val="Hyperlink"/>
            <w:sz w:val="24"/>
            <w:lang w:val="hr-HR"/>
          </w:rPr>
          <w:t>http://data.europa.eu/eli/reg/2022/2065/oj</w:t>
        </w:r>
      </w:hyperlink>
      <w:r w:rsidRPr="00A56AEE">
        <w:rPr>
          <w:sz w:val="24"/>
          <w:lang w:val="hr-HR"/>
        </w:rPr>
        <w:t>.</w:t>
      </w:r>
    </w:p>
  </w:footnote>
  <w:footnote w:id="6">
    <w:p w14:paraId="2881B2D2" w14:textId="77043539" w:rsidR="00FB350E" w:rsidRPr="00A56AEE" w:rsidRDefault="00FB350E" w:rsidP="00A56AEE">
      <w:pPr>
        <w:pStyle w:val="FootnoteText"/>
        <w:ind w:left="567" w:hanging="567"/>
        <w:rPr>
          <w:sz w:val="24"/>
          <w:lang w:val="hr-HR"/>
        </w:rPr>
      </w:pPr>
      <w:r w:rsidRPr="00A56AEE">
        <w:rPr>
          <w:rStyle w:val="FootnoteReference"/>
          <w:sz w:val="24"/>
          <w:lang w:val="hr-HR"/>
        </w:rPr>
        <w:footnoteRef/>
      </w:r>
      <w:r w:rsidR="00A56AEE" w:rsidRPr="00A56AEE">
        <w:rPr>
          <w:sz w:val="24"/>
          <w:lang w:val="hr-HR"/>
        </w:rPr>
        <w:t xml:space="preserve"> </w:t>
      </w:r>
      <w:r w:rsidR="00A56AEE" w:rsidRPr="00A56AEE">
        <w:rPr>
          <w:sz w:val="24"/>
          <w:lang w:val="hr-HR"/>
        </w:rPr>
        <w:tab/>
      </w:r>
      <w:r w:rsidRPr="00A56AEE">
        <w:rPr>
          <w:sz w:val="24"/>
          <w:lang w:val="hr-HR"/>
        </w:rPr>
        <w:t>SL L 265, 12.10.2022., str. 1., ELI: </w:t>
      </w:r>
      <w:hyperlink r:id="rId6" w:tooltip="Omogućuje pristup tom dokumentu preko identifikatora ELI URI." w:history="1">
        <w:r w:rsidRPr="00A56AEE">
          <w:rPr>
            <w:rStyle w:val="Hyperlink"/>
            <w:sz w:val="24"/>
            <w:lang w:val="hr-HR"/>
          </w:rPr>
          <w:t>http://data.europa.eu/eli/reg/2022/1925/oj</w:t>
        </w:r>
      </w:hyperlink>
      <w:r w:rsidRPr="00A56AEE">
        <w:rPr>
          <w:sz w:val="24"/>
          <w:lang w:val="hr-HR"/>
        </w:rPr>
        <w:t>.</w:t>
      </w:r>
    </w:p>
  </w:footnote>
  <w:footnote w:id="7">
    <w:p w14:paraId="12B5F444" w14:textId="18325C35" w:rsidR="00FB350E" w:rsidRPr="00A56AEE" w:rsidRDefault="00FB350E" w:rsidP="00A56AEE">
      <w:pPr>
        <w:pStyle w:val="FootnoteText"/>
        <w:ind w:left="567" w:hanging="567"/>
        <w:rPr>
          <w:sz w:val="24"/>
          <w:lang w:val="hr-HR"/>
        </w:rPr>
      </w:pPr>
      <w:r w:rsidRPr="00A56AEE">
        <w:rPr>
          <w:rStyle w:val="FootnoteReference"/>
          <w:sz w:val="24"/>
          <w:lang w:val="hr-HR"/>
        </w:rPr>
        <w:footnoteRef/>
      </w:r>
      <w:r w:rsidR="00A56AEE" w:rsidRPr="00A56AEE">
        <w:rPr>
          <w:sz w:val="24"/>
          <w:lang w:val="hr-HR"/>
        </w:rPr>
        <w:t xml:space="preserve"> </w:t>
      </w:r>
      <w:r w:rsidR="00A56AEE" w:rsidRPr="00A56AEE">
        <w:rPr>
          <w:sz w:val="24"/>
          <w:lang w:val="hr-HR"/>
        </w:rPr>
        <w:tab/>
      </w:r>
      <w:r w:rsidRPr="00A56AEE">
        <w:rPr>
          <w:sz w:val="24"/>
          <w:lang w:val="hr-HR"/>
        </w:rPr>
        <w:t>SL L 135, 23.5.2023</w:t>
      </w:r>
      <w:r w:rsidR="002B5AD9">
        <w:rPr>
          <w:sz w:val="24"/>
          <w:lang w:val="hr-HR"/>
        </w:rPr>
        <w:t>.</w:t>
      </w:r>
      <w:r w:rsidRPr="00A56AEE">
        <w:rPr>
          <w:sz w:val="24"/>
          <w:lang w:val="hr-HR"/>
        </w:rPr>
        <w:t>, str. 1., ELI: </w:t>
      </w:r>
      <w:hyperlink r:id="rId7" w:tooltip="Omogućuje pristup tom dokumentu preko identifikatora ELI URI." w:history="1">
        <w:r w:rsidRPr="00A56AEE">
          <w:rPr>
            <w:rStyle w:val="Hyperlink"/>
            <w:sz w:val="24"/>
            <w:lang w:val="hr-HR"/>
          </w:rPr>
          <w:t>http://data.europa.eu/eli/reg/2023/988/oj</w:t>
        </w:r>
      </w:hyperlink>
      <w:r w:rsidRPr="00A56AEE">
        <w:rPr>
          <w:sz w:val="24"/>
          <w:lang w:val="hr-HR"/>
        </w:rPr>
        <w:t>.</w:t>
      </w:r>
    </w:p>
  </w:footnote>
  <w:footnote w:id="8">
    <w:p w14:paraId="69687D3D" w14:textId="2F30891B" w:rsidR="00FB350E" w:rsidRPr="00A56AEE" w:rsidRDefault="00FB350E" w:rsidP="00A56AEE">
      <w:pPr>
        <w:pStyle w:val="FootnoteText"/>
        <w:ind w:left="567" w:hanging="567"/>
        <w:rPr>
          <w:sz w:val="24"/>
          <w:lang w:val="hr-HR"/>
        </w:rPr>
      </w:pPr>
      <w:r w:rsidRPr="00A56AEE">
        <w:rPr>
          <w:rStyle w:val="FootnoteReference"/>
          <w:sz w:val="24"/>
          <w:lang w:val="hr-HR"/>
        </w:rPr>
        <w:footnoteRef/>
      </w:r>
      <w:r w:rsidR="00A56AEE" w:rsidRPr="00A56AEE">
        <w:rPr>
          <w:sz w:val="24"/>
          <w:lang w:val="hr-HR"/>
        </w:rPr>
        <w:t xml:space="preserve"> </w:t>
      </w:r>
      <w:r w:rsidR="00A56AEE" w:rsidRPr="00A56AEE">
        <w:rPr>
          <w:sz w:val="24"/>
          <w:lang w:val="hr-HR"/>
        </w:rPr>
        <w:tab/>
      </w:r>
      <w:r w:rsidRPr="00A56AEE">
        <w:rPr>
          <w:sz w:val="24"/>
          <w:lang w:val="hr-HR"/>
        </w:rPr>
        <w:t>SL L 169, 25.6.2019., str. 1, ELI: </w:t>
      </w:r>
      <w:hyperlink r:id="rId8" w:tooltip="Omogućuje pristup tom dokumentu preko identifikatora ELI URI." w:history="1">
        <w:r w:rsidRPr="00A56AEE">
          <w:rPr>
            <w:rStyle w:val="Hyperlink"/>
            <w:sz w:val="24"/>
            <w:lang w:val="hr-HR"/>
          </w:rPr>
          <w:t>http://data.europa.eu/eli/reg/2019/1020/oj</w:t>
        </w:r>
      </w:hyperlink>
      <w:r w:rsidRPr="00A56AEE">
        <w:rPr>
          <w:sz w:val="24"/>
          <w:lang w:val="hr-HR"/>
        </w:rPr>
        <w:t>.</w:t>
      </w:r>
    </w:p>
  </w:footnote>
  <w:footnote w:id="9">
    <w:p w14:paraId="68997143" w14:textId="13CF2C92" w:rsidR="00FB350E" w:rsidRPr="00A56AEE" w:rsidRDefault="00FB350E" w:rsidP="00A56AEE">
      <w:pPr>
        <w:pStyle w:val="FootnoteText"/>
        <w:ind w:left="567" w:hanging="567"/>
        <w:rPr>
          <w:sz w:val="24"/>
          <w:lang w:val="hr-HR"/>
        </w:rPr>
      </w:pPr>
      <w:r w:rsidRPr="00A56AEE">
        <w:rPr>
          <w:rStyle w:val="FootnoteReference"/>
          <w:sz w:val="24"/>
          <w:lang w:val="hr-HR"/>
        </w:rPr>
        <w:footnoteRef/>
      </w:r>
      <w:r w:rsidR="00A56AEE" w:rsidRPr="00A56AEE">
        <w:rPr>
          <w:sz w:val="24"/>
          <w:lang w:val="hr-HR"/>
        </w:rPr>
        <w:t xml:space="preserve"> </w:t>
      </w:r>
      <w:r w:rsidR="00A56AEE" w:rsidRPr="00A56AEE">
        <w:rPr>
          <w:sz w:val="24"/>
          <w:lang w:val="hr-HR"/>
        </w:rPr>
        <w:tab/>
      </w:r>
      <w:r w:rsidRPr="00A56AEE">
        <w:rPr>
          <w:sz w:val="24"/>
          <w:lang w:val="hr-HR"/>
        </w:rPr>
        <w:t>SL L, 2024/2853, 18.11.2024., ELI: </w:t>
      </w:r>
      <w:hyperlink r:id="rId9" w:history="1">
        <w:r w:rsidRPr="0051351C">
          <w:rPr>
            <w:rStyle w:val="Hyperlink"/>
            <w:sz w:val="24"/>
            <w:lang w:val="hr-HR"/>
          </w:rPr>
          <w:t>http://data.europa.eu/eli/dir/2024/2853/oj</w:t>
        </w:r>
      </w:hyperlink>
      <w:r w:rsidRPr="00A56AEE">
        <w:rPr>
          <w:sz w:val="24"/>
          <w:lang w:val="hr-HR"/>
        </w:rPr>
        <w:t>.</w:t>
      </w:r>
    </w:p>
  </w:footnote>
  <w:footnote w:id="10">
    <w:p w14:paraId="619B0AF4" w14:textId="4C0120F4" w:rsidR="00FB350E" w:rsidRPr="00A56AEE" w:rsidRDefault="00FB350E" w:rsidP="00A56AEE">
      <w:pPr>
        <w:pStyle w:val="FootnoteText"/>
        <w:ind w:left="567" w:hanging="567"/>
        <w:rPr>
          <w:sz w:val="24"/>
          <w:lang w:val="hr-HR"/>
        </w:rPr>
      </w:pPr>
      <w:r w:rsidRPr="00A56AEE">
        <w:rPr>
          <w:rStyle w:val="FootnoteReference"/>
          <w:sz w:val="24"/>
          <w:lang w:val="hr-HR"/>
        </w:rPr>
        <w:footnoteRef/>
      </w:r>
      <w:r w:rsidR="00A56AEE" w:rsidRPr="00A56AEE">
        <w:rPr>
          <w:sz w:val="24"/>
          <w:lang w:val="hr-HR"/>
        </w:rPr>
        <w:t xml:space="preserve"> </w:t>
      </w:r>
      <w:r w:rsidR="00A56AEE" w:rsidRPr="00A56AEE">
        <w:rPr>
          <w:sz w:val="24"/>
          <w:lang w:val="hr-HR"/>
        </w:rPr>
        <w:tab/>
      </w:r>
      <w:r w:rsidRPr="00A56AEE">
        <w:rPr>
          <w:sz w:val="24"/>
          <w:lang w:val="hr-HR"/>
        </w:rPr>
        <w:t>Uredba (EU) 2017/2394 Europskog parlamenta i Vijeća od 12. prosinca 2017. o suradnji između nacionalnih tijela odgovornih za izvršavanje propisâ o zaštiti potrošača i o stavljanju izvan snage Uredbe (EZ) br. 2006/2004 (SL L 345, 27.12.2017., str. 1., ELI: </w:t>
      </w:r>
      <w:hyperlink r:id="rId10" w:tooltip="Omogućuje pristup tom dokumentu preko identifikatora ELI URI." w:history="1">
        <w:r w:rsidRPr="00A56AEE">
          <w:rPr>
            <w:rStyle w:val="Hyperlink"/>
            <w:sz w:val="24"/>
            <w:lang w:val="hr-HR"/>
          </w:rPr>
          <w:t>http://data.europa.eu/eli/reg/2017/2394/oj</w:t>
        </w:r>
      </w:hyperlink>
      <w:r w:rsidRPr="00A56AEE">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1DBEB" w14:textId="77777777" w:rsidR="00064002" w:rsidRPr="00A56AE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D7D65" w14:textId="77777777" w:rsidR="00064002" w:rsidRPr="00A56AE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C8AA7" w14:textId="77777777" w:rsidR="00064002" w:rsidRPr="00A56AE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32978948">
    <w:abstractNumId w:val="9"/>
  </w:num>
  <w:num w:numId="2" w16cid:durableId="951209987">
    <w:abstractNumId w:val="9"/>
  </w:num>
  <w:num w:numId="3" w16cid:durableId="1854803364">
    <w:abstractNumId w:val="7"/>
  </w:num>
  <w:num w:numId="4" w16cid:durableId="1481267787">
    <w:abstractNumId w:val="7"/>
  </w:num>
  <w:num w:numId="5" w16cid:durableId="1099713481">
    <w:abstractNumId w:val="6"/>
  </w:num>
  <w:num w:numId="6" w16cid:durableId="890463500">
    <w:abstractNumId w:val="6"/>
  </w:num>
  <w:num w:numId="7" w16cid:durableId="1958172525">
    <w:abstractNumId w:val="5"/>
  </w:num>
  <w:num w:numId="8" w16cid:durableId="1556086983">
    <w:abstractNumId w:val="5"/>
  </w:num>
  <w:num w:numId="9" w16cid:durableId="214859403">
    <w:abstractNumId w:val="4"/>
  </w:num>
  <w:num w:numId="10" w16cid:durableId="742685269">
    <w:abstractNumId w:val="4"/>
  </w:num>
  <w:num w:numId="11" w16cid:durableId="1547065114">
    <w:abstractNumId w:val="8"/>
  </w:num>
  <w:num w:numId="12" w16cid:durableId="1275332579">
    <w:abstractNumId w:val="8"/>
  </w:num>
  <w:num w:numId="13" w16cid:durableId="1028678712">
    <w:abstractNumId w:val="3"/>
  </w:num>
  <w:num w:numId="14" w16cid:durableId="1209605891">
    <w:abstractNumId w:val="3"/>
  </w:num>
  <w:num w:numId="15" w16cid:durableId="1742093963">
    <w:abstractNumId w:val="2"/>
  </w:num>
  <w:num w:numId="16" w16cid:durableId="1932272930">
    <w:abstractNumId w:val="2"/>
  </w:num>
  <w:num w:numId="17" w16cid:durableId="682978814">
    <w:abstractNumId w:val="1"/>
  </w:num>
  <w:num w:numId="18" w16cid:durableId="385766666">
    <w:abstractNumId w:val="1"/>
  </w:num>
  <w:num w:numId="19" w16cid:durableId="392775557">
    <w:abstractNumId w:val="0"/>
  </w:num>
  <w:num w:numId="20" w16cid:durableId="956256457">
    <w:abstractNumId w:val="0"/>
  </w:num>
  <w:num w:numId="21" w16cid:durableId="1672021071">
    <w:abstractNumId w:val="9"/>
  </w:num>
  <w:num w:numId="22" w16cid:durableId="1916477652">
    <w:abstractNumId w:val="7"/>
  </w:num>
  <w:num w:numId="23" w16cid:durableId="1430349856">
    <w:abstractNumId w:val="6"/>
  </w:num>
  <w:num w:numId="24" w16cid:durableId="2087914182">
    <w:abstractNumId w:val="5"/>
  </w:num>
  <w:num w:numId="25" w16cid:durableId="332683309">
    <w:abstractNumId w:val="4"/>
  </w:num>
  <w:num w:numId="26" w16cid:durableId="1546866915">
    <w:abstractNumId w:val="8"/>
  </w:num>
  <w:num w:numId="27" w16cid:durableId="1973362382">
    <w:abstractNumId w:val="3"/>
  </w:num>
  <w:num w:numId="28" w16cid:durableId="636838030">
    <w:abstractNumId w:val="2"/>
  </w:num>
  <w:num w:numId="29" w16cid:durableId="1931422954">
    <w:abstractNumId w:val="1"/>
  </w:num>
  <w:num w:numId="30" w16cid:durableId="1338995747">
    <w:abstractNumId w:val="0"/>
  </w:num>
  <w:num w:numId="31" w16cid:durableId="55590094">
    <w:abstractNumId w:val="9"/>
  </w:num>
  <w:num w:numId="32" w16cid:durableId="402333361">
    <w:abstractNumId w:val="7"/>
  </w:num>
  <w:num w:numId="33" w16cid:durableId="1694527684">
    <w:abstractNumId w:val="6"/>
  </w:num>
  <w:num w:numId="34" w16cid:durableId="1866095357">
    <w:abstractNumId w:val="5"/>
  </w:num>
  <w:num w:numId="35" w16cid:durableId="1337266447">
    <w:abstractNumId w:val="4"/>
  </w:num>
  <w:num w:numId="36" w16cid:durableId="2040858419">
    <w:abstractNumId w:val="8"/>
  </w:num>
  <w:num w:numId="37" w16cid:durableId="141777360">
    <w:abstractNumId w:val="3"/>
  </w:num>
  <w:num w:numId="38" w16cid:durableId="1530535082">
    <w:abstractNumId w:val="2"/>
  </w:num>
  <w:num w:numId="39" w16cid:durableId="1343554039">
    <w:abstractNumId w:val="1"/>
  </w:num>
  <w:num w:numId="40" w16cid:durableId="2004623916">
    <w:abstractNumId w:val="0"/>
  </w:num>
  <w:num w:numId="41" w16cid:durableId="1654135631">
    <w:abstractNumId w:val="10"/>
  </w:num>
  <w:num w:numId="42" w16cid:durableId="1366177399">
    <w:abstractNumId w:val="10"/>
  </w:num>
  <w:num w:numId="43" w16cid:durableId="1487240867">
    <w:abstractNumId w:val="10"/>
  </w:num>
  <w:num w:numId="44" w16cid:durableId="16637043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00/2025"/>
    <w:docVar w:name="dvlangue" w:val="HR"/>
    <w:docVar w:name="dvnumam" w:val="0"/>
    <w:docVar w:name="dvpe" w:val="778.971"/>
    <w:docVar w:name="dvtitre" w:val="Rezolucija Europskog parlamenta od .... 2025. o zaštiti potrošača u EU-u od praksi određenih platformi za e-trgovinu: slučaj seksualnih lutaka nalik djeci, oružja i drugih nezakonitih proizvoda i materijala(2025/2971(RSP))"/>
  </w:docVars>
  <w:rsids>
    <w:rsidRoot w:val="00E04593"/>
    <w:rsid w:val="00002272"/>
    <w:rsid w:val="000509EB"/>
    <w:rsid w:val="00064002"/>
    <w:rsid w:val="000677B9"/>
    <w:rsid w:val="000831BA"/>
    <w:rsid w:val="000A42CC"/>
    <w:rsid w:val="000E7DD9"/>
    <w:rsid w:val="0010095E"/>
    <w:rsid w:val="00125B37"/>
    <w:rsid w:val="00165128"/>
    <w:rsid w:val="00187494"/>
    <w:rsid w:val="001C0E0D"/>
    <w:rsid w:val="001F32AE"/>
    <w:rsid w:val="002767FF"/>
    <w:rsid w:val="002B18FE"/>
    <w:rsid w:val="002B5493"/>
    <w:rsid w:val="002B5AD9"/>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351C"/>
    <w:rsid w:val="00514517"/>
    <w:rsid w:val="00545827"/>
    <w:rsid w:val="00554B1A"/>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A42"/>
    <w:rsid w:val="00930C23"/>
    <w:rsid w:val="0093193B"/>
    <w:rsid w:val="009509D8"/>
    <w:rsid w:val="00950B64"/>
    <w:rsid w:val="00981893"/>
    <w:rsid w:val="00A1687D"/>
    <w:rsid w:val="00A43E52"/>
    <w:rsid w:val="00A4678D"/>
    <w:rsid w:val="00A56AEE"/>
    <w:rsid w:val="00A778C7"/>
    <w:rsid w:val="00AB441E"/>
    <w:rsid w:val="00AB6293"/>
    <w:rsid w:val="00AE0928"/>
    <w:rsid w:val="00AF3B82"/>
    <w:rsid w:val="00B12E95"/>
    <w:rsid w:val="00B22876"/>
    <w:rsid w:val="00B558F0"/>
    <w:rsid w:val="00BD48FE"/>
    <w:rsid w:val="00BD7BD8"/>
    <w:rsid w:val="00BE5A5F"/>
    <w:rsid w:val="00BE6ADC"/>
    <w:rsid w:val="00C05BFE"/>
    <w:rsid w:val="00C23CD4"/>
    <w:rsid w:val="00C47818"/>
    <w:rsid w:val="00C61C0C"/>
    <w:rsid w:val="00C941CB"/>
    <w:rsid w:val="00CC2357"/>
    <w:rsid w:val="00CF071A"/>
    <w:rsid w:val="00D058B8"/>
    <w:rsid w:val="00D56C11"/>
    <w:rsid w:val="00D62D89"/>
    <w:rsid w:val="00D834A0"/>
    <w:rsid w:val="00D872DF"/>
    <w:rsid w:val="00D91E21"/>
    <w:rsid w:val="00DA7FCD"/>
    <w:rsid w:val="00E04593"/>
    <w:rsid w:val="00E365E1"/>
    <w:rsid w:val="00E820A4"/>
    <w:rsid w:val="00EB006A"/>
    <w:rsid w:val="00EB4772"/>
    <w:rsid w:val="00ED169E"/>
    <w:rsid w:val="00ED4235"/>
    <w:rsid w:val="00F04346"/>
    <w:rsid w:val="00F075DC"/>
    <w:rsid w:val="00F149E9"/>
    <w:rsid w:val="00F5134D"/>
    <w:rsid w:val="00F74202"/>
    <w:rsid w:val="00F87713"/>
    <w:rsid w:val="00FB350E"/>
    <w:rsid w:val="00FB4360"/>
    <w:rsid w:val="00FD0C70"/>
    <w:rsid w:val="00FE2A49"/>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499981"/>
  <w15:chartTrackingRefBased/>
  <w15:docId w15:val="{5B9AF73A-CF0A-4821-BC54-C18162A0C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4_G,Footnote,text,Footnotes refss,Footnote number,Fago Fußnotenzeichen,Footnote Ref,16 Point,Superscript 6 Point,Fago Fu?notenzeichen,Fago Fuﬂnotenzeichen,ftref,a Footnote Reference,FZ,Appel note de bas de page,Ref FNs Char,[0],[,Ref"/>
    <w:link w:val="ENFootnoteReference"/>
    <w:uiPriority w:val="99"/>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B350E"/>
    <w:pPr>
      <w:spacing w:before="480" w:after="240"/>
    </w:pPr>
  </w:style>
  <w:style w:type="paragraph" w:customStyle="1" w:styleId="NormalHanging12a">
    <w:name w:val="NormalHanging12a"/>
    <w:basedOn w:val="Normal"/>
    <w:link w:val="NormalHanging12aChar"/>
    <w:rsid w:val="00FB350E"/>
    <w:pPr>
      <w:spacing w:after="240"/>
      <w:ind w:left="567" w:hanging="567"/>
    </w:pPr>
  </w:style>
  <w:style w:type="character" w:styleId="Hyperlink">
    <w:name w:val="Hyperlink"/>
    <w:basedOn w:val="DefaultParagraphFont"/>
    <w:unhideWhenUsed/>
    <w:rsid w:val="00FB350E"/>
    <w:rPr>
      <w:color w:val="0563C1" w:themeColor="hyperlink"/>
      <w:u w:val="single"/>
    </w:rPr>
  </w:style>
  <w:style w:type="character" w:customStyle="1" w:styleId="NormalHanging12aChar">
    <w:name w:val="NormalHanging12a Char"/>
    <w:basedOn w:val="DefaultParagraphFont"/>
    <w:link w:val="NormalHanging12a"/>
    <w:rsid w:val="00FB350E"/>
    <w:rPr>
      <w:sz w:val="24"/>
      <w:lang w:val="hr-HR"/>
    </w:rPr>
  </w:style>
  <w:style w:type="paragraph" w:customStyle="1" w:styleId="ENFootnoteReference">
    <w:name w:val="EN Footnote Reference"/>
    <w:aliases w:val="-E Fußnotenzeichen,number,SUPERS,BVI fnr תו Char Char Char,BVI fnr Car Car תו Char Char Char,BVI fnr Car תו Char Char Char,BVI fn"/>
    <w:basedOn w:val="Normal"/>
    <w:link w:val="FootnoteReference"/>
    <w:uiPriority w:val="99"/>
    <w:rsid w:val="00FB350E"/>
    <w:pPr>
      <w:widowControl/>
      <w:spacing w:after="160" w:line="240" w:lineRule="exact"/>
    </w:pPr>
    <w:rPr>
      <w:sz w:val="20"/>
      <w:vertAlign w:val="superscript"/>
      <w:lang w:val="en-GB"/>
    </w:rPr>
  </w:style>
  <w:style w:type="character" w:styleId="UnresolvedMention">
    <w:name w:val="Unresolved Mention"/>
    <w:basedOn w:val="DefaultParagraphFont"/>
    <w:uiPriority w:val="99"/>
    <w:semiHidden/>
    <w:unhideWhenUsed/>
    <w:rsid w:val="0051351C"/>
    <w:rPr>
      <w:color w:val="605E5C"/>
      <w:shd w:val="clear" w:color="auto" w:fill="E1DFDD"/>
    </w:rPr>
  </w:style>
  <w:style w:type="paragraph" w:styleId="Revision">
    <w:name w:val="Revision"/>
    <w:hidden/>
    <w:uiPriority w:val="99"/>
    <w:semiHidden/>
    <w:rsid w:val="00C47818"/>
    <w:rPr>
      <w:sz w:val="24"/>
      <w:lang w:val="hr-HR"/>
    </w:rPr>
  </w:style>
  <w:style w:type="character" w:styleId="FollowedHyperlink">
    <w:name w:val="FollowedHyperlink"/>
    <w:basedOn w:val="DefaultParagraphFont"/>
    <w:rsid w:val="00D62D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9/1020/oj" TargetMode="External"/><Relationship Id="rId3" Type="http://schemas.openxmlformats.org/officeDocument/2006/relationships/hyperlink" Target="http://data.europa.eu/eli/dir/2024/1760/oj" TargetMode="External"/><Relationship Id="rId7" Type="http://schemas.openxmlformats.org/officeDocument/2006/relationships/hyperlink" Target="http://data.europa.eu/eli/reg/2023/988/oj" TargetMode="External"/><Relationship Id="rId2" Type="http://schemas.openxmlformats.org/officeDocument/2006/relationships/hyperlink" Target="http://data.europa.eu/eli/reg/2024/3015/oj" TargetMode="External"/><Relationship Id="rId1" Type="http://schemas.openxmlformats.org/officeDocument/2006/relationships/hyperlink" Target="http://data.europa.eu/eli/C/2025/1035/oj" TargetMode="External"/><Relationship Id="rId6" Type="http://schemas.openxmlformats.org/officeDocument/2006/relationships/hyperlink" Target="https://eur-lex.europa.eu/eli/reg/2022/1925/oj" TargetMode="External"/><Relationship Id="rId5" Type="http://schemas.openxmlformats.org/officeDocument/2006/relationships/hyperlink" Target="http://data.europa.eu/eli/reg/2022/2065/oj" TargetMode="External"/><Relationship Id="rId10" Type="http://schemas.openxmlformats.org/officeDocument/2006/relationships/hyperlink" Target="http://data.europa.eu/eli/reg/2017/2394/oj" TargetMode="External"/><Relationship Id="rId4" Type="http://schemas.openxmlformats.org/officeDocument/2006/relationships/hyperlink" Target="https://www.consilium.europa.eu/media/ny3j24sm/much-more-than-a-market-report-by-enrico-letta.pdf" TargetMode="External"/><Relationship Id="rId9" Type="http://schemas.openxmlformats.org/officeDocument/2006/relationships/hyperlink" Target="http://data.europa.eu/eli/dir/2024/285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3542</Words>
  <Characters>21304</Characters>
  <Application>Microsoft Office Word</Application>
  <DocSecurity>0</DocSecurity>
  <Lines>819</Lines>
  <Paragraphs>540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DADIĆ Ivana</cp:lastModifiedBy>
  <cp:revision>2</cp:revision>
  <cp:lastPrinted>2004-11-19T15:42:00Z</cp:lastPrinted>
  <dcterms:created xsi:type="dcterms:W3CDTF">2026-01-20T08:15:00Z</dcterms:created>
  <dcterms:modified xsi:type="dcterms:W3CDTF">2026-01-20T08:15:00Z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B10-0500/2025</vt:lpwstr>
  </property>
  <property fmtid="{D5CDD505-2E9C-101B-9397-08002B2CF9AE}" pid="4" name="&lt;Type&gt;">
    <vt:lpwstr>RR</vt:lpwstr>
  </property>
</Properties>
</file>