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D2D08" w14:paraId="5A97CD6B" w14:textId="77777777" w:rsidTr="0010095E">
        <w:trPr>
          <w:trHeight w:hRule="exact" w:val="1418"/>
        </w:trPr>
        <w:tc>
          <w:tcPr>
            <w:tcW w:w="6804" w:type="dxa"/>
            <w:shd w:val="clear" w:color="auto" w:fill="auto"/>
            <w:vAlign w:val="center"/>
          </w:tcPr>
          <w:p w14:paraId="44759524" w14:textId="77777777" w:rsidR="00751A4A" w:rsidRPr="004D2D08" w:rsidRDefault="005842C9" w:rsidP="0010095E">
            <w:pPr>
              <w:pStyle w:val="EPName"/>
            </w:pPr>
            <w:r w:rsidRPr="004D2D08">
              <w:t>Europos Parlamentas</w:t>
            </w:r>
          </w:p>
          <w:p w14:paraId="6DE76143" w14:textId="77777777" w:rsidR="00751A4A" w:rsidRPr="004D2D08" w:rsidRDefault="005F1B17" w:rsidP="005F1B17">
            <w:pPr>
              <w:pStyle w:val="EPTerm"/>
              <w:rPr>
                <w:rStyle w:val="HideTWBExt"/>
                <w:noProof w:val="0"/>
                <w:vanish w:val="0"/>
                <w:color w:val="auto"/>
              </w:rPr>
            </w:pPr>
            <w:r w:rsidRPr="004D2D08">
              <w:t>2024</w:t>
            </w:r>
            <w:r w:rsidR="00817416" w:rsidRPr="004D2D08">
              <w:t>-202</w:t>
            </w:r>
            <w:r w:rsidRPr="004D2D08">
              <w:t>9</w:t>
            </w:r>
          </w:p>
        </w:tc>
        <w:tc>
          <w:tcPr>
            <w:tcW w:w="2268" w:type="dxa"/>
            <w:shd w:val="clear" w:color="auto" w:fill="auto"/>
          </w:tcPr>
          <w:p w14:paraId="608B49B7" w14:textId="77777777" w:rsidR="00751A4A" w:rsidRPr="004D2D08" w:rsidRDefault="00187494" w:rsidP="0010095E">
            <w:pPr>
              <w:pStyle w:val="EPLogo"/>
            </w:pPr>
            <w:r w:rsidRPr="004D2D08">
              <w:rPr>
                <w:noProof/>
                <w:lang w:eastAsia="ja-JP"/>
              </w:rPr>
              <w:drawing>
                <wp:inline distT="0" distB="0" distL="0" distR="0" wp14:anchorId="6C80EE45" wp14:editId="2941BB96">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CB056D8" w14:textId="77777777" w:rsidR="00D058B8" w:rsidRPr="004D2D08" w:rsidRDefault="00D058B8" w:rsidP="004C5D52">
      <w:pPr>
        <w:pStyle w:val="LineTop"/>
      </w:pPr>
    </w:p>
    <w:p w14:paraId="64004F31" w14:textId="77777777" w:rsidR="00680577" w:rsidRPr="004D2D08" w:rsidRDefault="005842C9" w:rsidP="00680577">
      <w:pPr>
        <w:pStyle w:val="EPBodyTA1"/>
      </w:pPr>
      <w:r w:rsidRPr="004D2D08">
        <w:t>PRIIMTI TEKSTAI</w:t>
      </w:r>
    </w:p>
    <w:p w14:paraId="7AEB09E0" w14:textId="77777777" w:rsidR="00D058B8" w:rsidRPr="004D2D08" w:rsidRDefault="00D058B8" w:rsidP="00D058B8">
      <w:pPr>
        <w:pStyle w:val="LineBottom"/>
      </w:pPr>
    </w:p>
    <w:p w14:paraId="25E6D8FA" w14:textId="133A9796" w:rsidR="005842C9" w:rsidRPr="004D2D08" w:rsidRDefault="005842C9" w:rsidP="005842C9">
      <w:pPr>
        <w:pStyle w:val="ATHeading1"/>
      </w:pPr>
      <w:bookmarkStart w:id="0" w:name="TANumber"/>
      <w:r w:rsidRPr="004D2D08">
        <w:t>P10_TA(2025)0</w:t>
      </w:r>
      <w:r w:rsidR="00565698">
        <w:t>3</w:t>
      </w:r>
      <w:r w:rsidRPr="004D2D08">
        <w:t>0</w:t>
      </w:r>
      <w:r w:rsidR="00565698">
        <w:t>1</w:t>
      </w:r>
      <w:bookmarkEnd w:id="0"/>
    </w:p>
    <w:p w14:paraId="49BA6773" w14:textId="5A5809FD" w:rsidR="005842C9" w:rsidRPr="004D2D08" w:rsidRDefault="005842C9" w:rsidP="005842C9">
      <w:pPr>
        <w:pStyle w:val="ATHeading2"/>
      </w:pPr>
      <w:bookmarkStart w:id="1" w:name="title"/>
      <w:r w:rsidRPr="004D2D08">
        <w:t>ES vartotojų apsauga nuo tikrose e. prekybos platformose taikomos praktikos: vaiko pavidalo sekso</w:t>
      </w:r>
      <w:r w:rsidR="00B62ABF">
        <w:t xml:space="preserve"> </w:t>
      </w:r>
      <w:r w:rsidRPr="004D2D08">
        <w:t>lėlių, ginklų ir</w:t>
      </w:r>
      <w:r w:rsidR="00B62ABF">
        <w:t xml:space="preserve"> </w:t>
      </w:r>
      <w:r w:rsidRPr="004D2D08">
        <w:t>kitų neteisėtų produktų ir medžiagos atvejis</w:t>
      </w:r>
      <w:bookmarkEnd w:id="1"/>
    </w:p>
    <w:p w14:paraId="0F1F7CE0" w14:textId="77777777" w:rsidR="005842C9" w:rsidRPr="004D2D08" w:rsidRDefault="005842C9" w:rsidP="005842C9">
      <w:pPr>
        <w:rPr>
          <w:i/>
          <w:vanish/>
        </w:rPr>
      </w:pPr>
      <w:r w:rsidRPr="004D2D08">
        <w:rPr>
          <w:i/>
        </w:rPr>
        <w:fldChar w:fldCharType="begin"/>
      </w:r>
      <w:r w:rsidRPr="004D2D08">
        <w:rPr>
          <w:i/>
        </w:rPr>
        <w:instrText xml:space="preserve"> TC"(</w:instrText>
      </w:r>
      <w:bookmarkStart w:id="2" w:name="DocNumber"/>
      <w:r w:rsidRPr="004D2D08">
        <w:rPr>
          <w:i/>
        </w:rPr>
        <w:instrText>B10-0500/2025</w:instrText>
      </w:r>
      <w:bookmarkEnd w:id="2"/>
      <w:r w:rsidRPr="004D2D08">
        <w:rPr>
          <w:i/>
        </w:rPr>
        <w:instrText xml:space="preserve">)"\l3 \n&gt; \* MERGEFORMAT </w:instrText>
      </w:r>
      <w:r w:rsidRPr="004D2D08">
        <w:rPr>
          <w:i/>
        </w:rPr>
        <w:fldChar w:fldCharType="end"/>
      </w:r>
    </w:p>
    <w:p w14:paraId="46064589" w14:textId="77777777" w:rsidR="005842C9" w:rsidRPr="004D2D08" w:rsidRDefault="005842C9" w:rsidP="005842C9">
      <w:pPr>
        <w:rPr>
          <w:vanish/>
        </w:rPr>
      </w:pPr>
      <w:bookmarkStart w:id="3" w:name="PE"/>
      <w:r w:rsidRPr="004D2D08">
        <w:rPr>
          <w:vanish/>
        </w:rPr>
        <w:t>PE778.971</w:t>
      </w:r>
      <w:bookmarkEnd w:id="3"/>
    </w:p>
    <w:p w14:paraId="0398848D" w14:textId="617B0812" w:rsidR="005842C9" w:rsidRPr="004D2D08" w:rsidRDefault="005842C9" w:rsidP="00B62ABF">
      <w:pPr>
        <w:pStyle w:val="ATHeading3"/>
      </w:pPr>
      <w:bookmarkStart w:id="4" w:name="Sujet"/>
      <w:r w:rsidRPr="004D2D08">
        <w:t xml:space="preserve">2025 m. </w:t>
      </w:r>
      <w:r w:rsidR="00B62ABF" w:rsidRPr="004D2D08">
        <w:t>lapkričio</w:t>
      </w:r>
      <w:r w:rsidRPr="004D2D08">
        <w:t xml:space="preserve"> 26 d. Europos Parlamento rezoliucija </w:t>
      </w:r>
      <w:r w:rsidR="00F47F0E">
        <w:t>„</w:t>
      </w:r>
      <w:r w:rsidRPr="004D2D08">
        <w:t>ES vartotojų apsauga nuo tam tikrose e. prekybos platformose taikomos praktikos: vaiko pavidalo sekso lėlių, ginklų ir kitų neteisėtų produktų ir medžiagos atvejis</w:t>
      </w:r>
      <w:bookmarkEnd w:id="4"/>
      <w:r w:rsidR="00F47F0E">
        <w:t>“</w:t>
      </w:r>
      <w:r w:rsidRPr="004D2D08">
        <w:t xml:space="preserve"> </w:t>
      </w:r>
      <w:bookmarkStart w:id="5" w:name="References"/>
      <w:r w:rsidRPr="004D2D08">
        <w:t>(2025/2971(RSP))</w:t>
      </w:r>
      <w:bookmarkEnd w:id="5"/>
    </w:p>
    <w:p w14:paraId="2E902EEE" w14:textId="77777777" w:rsidR="008E545D" w:rsidRPr="004D2D08" w:rsidRDefault="008E545D" w:rsidP="008E545D">
      <w:pPr>
        <w:pStyle w:val="EPComma"/>
      </w:pPr>
      <w:bookmarkStart w:id="6" w:name="TextBodyBegin"/>
      <w:bookmarkEnd w:id="6"/>
      <w:r w:rsidRPr="004D2D08">
        <w:rPr>
          <w:i/>
        </w:rPr>
        <w:t>Europos Parlamentas</w:t>
      </w:r>
      <w:r w:rsidRPr="004D2D08">
        <w:t>,</w:t>
      </w:r>
    </w:p>
    <w:p w14:paraId="6C65258B" w14:textId="0B83FC81" w:rsidR="008E545D" w:rsidRPr="004D2D08" w:rsidRDefault="008E545D" w:rsidP="008E545D">
      <w:pPr>
        <w:pStyle w:val="NormalHanging12a"/>
      </w:pPr>
      <w:r w:rsidRPr="004D2D08">
        <w:t>–</w:t>
      </w:r>
      <w:r w:rsidRPr="004D2D08">
        <w:tab/>
        <w:t>atsižvelgdamas į 2022 m. kovo 31 d. Kompetentingų asmenų grupės ataskaitą dėl ES muitų sąjungos reformos „Siekiant vieningesnės Europos muitinės: dešimt pasiūlymų, kaip užtikrinti, kad ES muitų sąjunga būtų pritaikyta geopolitinei Europai“</w:t>
      </w:r>
      <w:r w:rsidR="00D96AC0">
        <w:t>,</w:t>
      </w:r>
    </w:p>
    <w:p w14:paraId="7F5E3177" w14:textId="77777777" w:rsidR="008E545D" w:rsidRPr="004D2D08" w:rsidRDefault="008E545D" w:rsidP="008E545D">
      <w:pPr>
        <w:pStyle w:val="NormalHanging12a"/>
      </w:pPr>
      <w:r w:rsidRPr="004D2D08">
        <w:t>–</w:t>
      </w:r>
      <w:r w:rsidRPr="004D2D08">
        <w:tab/>
        <w:t>atsižvelgdamas į savo 2024 m. kovo 13 d. poziciją dėl pasiūlymo dėl Europos Parlamento ir Tarybos reglamento, kuriuo nustatomas Sąjungos muitinės kodeksas, įsteigiama Europos Sąjungos muitinė ir panaikinamas Reglamentas (ES) Nr. 952/2013</w:t>
      </w:r>
      <w:r w:rsidRPr="004D2D08">
        <w:rPr>
          <w:rStyle w:val="FootnoteReference"/>
        </w:rPr>
        <w:footnoteReference w:id="1"/>
      </w:r>
      <w:r w:rsidRPr="004D2D08">
        <w:t>,</w:t>
      </w:r>
    </w:p>
    <w:p w14:paraId="5B9C98B1" w14:textId="77777777" w:rsidR="008E545D" w:rsidRPr="004D2D08" w:rsidRDefault="008E545D" w:rsidP="008E545D">
      <w:pPr>
        <w:pStyle w:val="NormalHanging12a"/>
      </w:pPr>
      <w:r w:rsidRPr="004D2D08">
        <w:t>–</w:t>
      </w:r>
      <w:r w:rsidRPr="004D2D08">
        <w:tab/>
        <w:t>atsižvelgdamas į 2025 m. vasario 5 d. Komisijos komunikatą „Išsamus saugiai ir tvariai e. prekybai skirtas ES priemonių rinkinys“ (COM(2025)0037),</w:t>
      </w:r>
    </w:p>
    <w:p w14:paraId="219A9EE3" w14:textId="77777777" w:rsidR="008E545D" w:rsidRPr="004D2D08" w:rsidRDefault="008E545D" w:rsidP="008E545D">
      <w:pPr>
        <w:pStyle w:val="NormalHanging12a"/>
      </w:pPr>
      <w:r w:rsidRPr="004D2D08">
        <w:t>–</w:t>
      </w:r>
      <w:r w:rsidRPr="004D2D08">
        <w:tab/>
        <w:t>atsižvelgdamas į 2024 m. lapkričio 27 d. Europos Parlamento ir Tarybos reglamentą (ES) 2024/3015 dėl produktų, pagamintų naudojant priverčiamąjį darbą, uždraudimo Sąjungos rinkoje, kuriuo iš dalies keičiama Direktyva (ES) 2019/1937</w:t>
      </w:r>
      <w:r w:rsidRPr="004D2D08">
        <w:rPr>
          <w:rStyle w:val="FootnoteReference"/>
        </w:rPr>
        <w:footnoteReference w:id="2"/>
      </w:r>
      <w:r w:rsidRPr="004D2D08">
        <w:t>,</w:t>
      </w:r>
    </w:p>
    <w:p w14:paraId="43CE231C" w14:textId="77777777" w:rsidR="008E545D" w:rsidRPr="004D2D08" w:rsidRDefault="008E545D" w:rsidP="008E545D">
      <w:pPr>
        <w:pStyle w:val="NormalHanging12a"/>
      </w:pPr>
      <w:r w:rsidRPr="004D2D08">
        <w:t>–</w:t>
      </w:r>
      <w:r w:rsidRPr="004D2D08">
        <w:tab/>
        <w:t>atsižvelgdamas į 2024 m. birželio 13 d. Europos Parlamento ir Tarybos direktyvą (ES) 2024/1760 dėl įmonių tvarumo išsamaus patikrinimo, kuria iš dalies keičiama Direktyva (ES) 2019/1937 ir Reglamentas (ES) 2023/2859</w:t>
      </w:r>
      <w:r w:rsidRPr="004D2D08">
        <w:rPr>
          <w:rStyle w:val="FootnoteReference"/>
        </w:rPr>
        <w:footnoteReference w:id="3"/>
      </w:r>
      <w:r w:rsidRPr="004D2D08">
        <w:t>,</w:t>
      </w:r>
    </w:p>
    <w:p w14:paraId="5625CF4C" w14:textId="36E73BC9" w:rsidR="008E545D" w:rsidRPr="004D2D08" w:rsidRDefault="008E545D" w:rsidP="008E545D">
      <w:pPr>
        <w:pStyle w:val="NormalHanging12a"/>
      </w:pPr>
      <w:r w:rsidRPr="004D2D08">
        <w:t>–</w:t>
      </w:r>
      <w:r w:rsidRPr="004D2D08">
        <w:tab/>
        <w:t>atsižvelgdamas į 2024 m. balandžio mėn. E. Lettos ataskaitą „Daug daugiau nei rinka. Sparta, saugumas ir solidarumas – bendrosios rinkos įgalinimas siekiant tvarios ateities ir klestėjimo visiems ES piliečiams“</w:t>
      </w:r>
      <w:r w:rsidRPr="004D2D08">
        <w:rPr>
          <w:rStyle w:val="FootnoteReference"/>
        </w:rPr>
        <w:footnoteReference w:id="4"/>
      </w:r>
      <w:r w:rsidR="00D96AC0">
        <w:t>,</w:t>
      </w:r>
    </w:p>
    <w:p w14:paraId="038E868E" w14:textId="77777777" w:rsidR="008E545D" w:rsidRPr="004D2D08" w:rsidRDefault="008E545D" w:rsidP="008E545D">
      <w:pPr>
        <w:pStyle w:val="NormalHanging12a"/>
      </w:pPr>
      <w:r w:rsidRPr="004D2D08">
        <w:t>–</w:t>
      </w:r>
      <w:r w:rsidRPr="004D2D08">
        <w:tab/>
        <w:t xml:space="preserve">atsižvelgdamas į Reglamentą (ES) 2022/2065 dėl bendrosios skaitmeninių paslaugų </w:t>
      </w:r>
      <w:r w:rsidRPr="004D2D08">
        <w:lastRenderedPageBreak/>
        <w:t>rinkos, kuriuo iš dalies keičiama Direktyva 2000/31/EB (Skaitmeninių paslaugų aktas)</w:t>
      </w:r>
      <w:r w:rsidRPr="004D2D08">
        <w:rPr>
          <w:rStyle w:val="FootnoteReference"/>
        </w:rPr>
        <w:footnoteReference w:id="5"/>
      </w:r>
      <w:r w:rsidRPr="004D2D08">
        <w:t xml:space="preserve"> (SPA),</w:t>
      </w:r>
    </w:p>
    <w:p w14:paraId="0DCCB74D" w14:textId="77253AE5" w:rsidR="008E545D" w:rsidRPr="004D2D08" w:rsidRDefault="008E545D" w:rsidP="008E545D">
      <w:pPr>
        <w:pStyle w:val="NormalHanging12a"/>
        <w:rPr>
          <w:szCs w:val="24"/>
        </w:rPr>
      </w:pPr>
      <w:r w:rsidRPr="004D2D08">
        <w:t>–</w:t>
      </w:r>
      <w:r w:rsidRPr="004D2D08">
        <w:tab/>
        <w:t>atsižvelgdamas į 2022 m. rugsėjo 14 d. Europos Parlamento ir Tarybos reglamentą (ES) 2022/1925 dėl atvirų konkurencijai ir sąžiningų skaitmeninio sektoriaus rinkų, kuriuo iš dalies keičiamos direktyvos (ES) 2019/1937 ir (ES) 2020/1828 (Skaitmeninių rinkų aktas)</w:t>
      </w:r>
      <w:r w:rsidRPr="004D2D08">
        <w:rPr>
          <w:rStyle w:val="FootnoteReference"/>
          <w:szCs w:val="24"/>
        </w:rPr>
        <w:footnoteReference w:id="6"/>
      </w:r>
      <w:r w:rsidRPr="004D2D08">
        <w:t xml:space="preserve"> (SRA)</w:t>
      </w:r>
      <w:r w:rsidR="00FB44A4">
        <w:t>,</w:t>
      </w:r>
    </w:p>
    <w:p w14:paraId="01A0C3EB" w14:textId="77777777" w:rsidR="008E545D" w:rsidRPr="004D2D08" w:rsidRDefault="008E545D" w:rsidP="008E545D">
      <w:pPr>
        <w:pStyle w:val="NormalHanging12a"/>
      </w:pPr>
      <w:r w:rsidRPr="004D2D08">
        <w:t>–</w:t>
      </w:r>
      <w:r w:rsidRPr="004D2D08">
        <w:tab/>
        <w:t>atsižvelgdamas į 2023 m. gegužės 10 d. Europos Parlamento ir Tarybos reglamentą (ES) 2023/988 dėl bendros gaminių saugos, kuriuo iš dalies keičiami Europos Parlamento ir Tarybos reglamentas (ES) Nr. 1025/2012 bei Europos Parlamento ir Tarybos direktyva (ES) 2020/1828 ir panaikinamos Europos Parlamento ir Tarybos direktyva 2001/95/EB bei Tarybos direktyva 87/357/EEB</w:t>
      </w:r>
      <w:r w:rsidRPr="004D2D08">
        <w:rPr>
          <w:rStyle w:val="FootnoteReference"/>
        </w:rPr>
        <w:footnoteReference w:id="7"/>
      </w:r>
      <w:r w:rsidRPr="004D2D08">
        <w:t>,</w:t>
      </w:r>
    </w:p>
    <w:p w14:paraId="0F88B1AA" w14:textId="77777777" w:rsidR="008E545D" w:rsidRPr="004D2D08" w:rsidRDefault="008E545D" w:rsidP="008E545D">
      <w:pPr>
        <w:pStyle w:val="NormalHanging12a"/>
      </w:pPr>
      <w:r w:rsidRPr="004D2D08">
        <w:t>–</w:t>
      </w:r>
      <w:r w:rsidRPr="004D2D08">
        <w:tab/>
        <w:t>atsižvelgdamas į 2019 m. birželio 20 d. Europos Parlamento ir Tarybos reglamentą (ES) 2019/1020 dėl rinkos priežiūros ir gaminių atitikties, kuriuo iš dalies keičiama Direktyva 2004/42/EB ir reglamentai (EB) Nr. 765/2008 ir (ES) Nr. 305/2011</w:t>
      </w:r>
      <w:r w:rsidRPr="004D2D08">
        <w:rPr>
          <w:rStyle w:val="FootnoteReference"/>
        </w:rPr>
        <w:footnoteReference w:id="8"/>
      </w:r>
      <w:r w:rsidRPr="004D2D08">
        <w:t>,</w:t>
      </w:r>
    </w:p>
    <w:p w14:paraId="0A148F71" w14:textId="77777777" w:rsidR="008E545D" w:rsidRPr="004D2D08" w:rsidRDefault="008E545D" w:rsidP="008E545D">
      <w:pPr>
        <w:pStyle w:val="NormalHanging12a"/>
      </w:pPr>
      <w:r w:rsidRPr="004D2D08">
        <w:t>–</w:t>
      </w:r>
      <w:r w:rsidRPr="004D2D08">
        <w:tab/>
        <w:t>atsižvelgdamas į 2024 m. spalio 23 d. Europos Parlamento ir Tarybos direktyvą (ES) 2024/2853 dėl atsakomybės už gaminius su trūkumais, kuria panaikinama Tarybos direktyva 85/374/EEB</w:t>
      </w:r>
      <w:r w:rsidRPr="004D2D08">
        <w:rPr>
          <w:rStyle w:val="FootnoteReference"/>
        </w:rPr>
        <w:footnoteReference w:id="9"/>
      </w:r>
      <w:r w:rsidRPr="004D2D08">
        <w:t>,</w:t>
      </w:r>
    </w:p>
    <w:p w14:paraId="51CFA85F" w14:textId="77777777" w:rsidR="008E545D" w:rsidRPr="004D2D08" w:rsidRDefault="008E545D" w:rsidP="008E545D">
      <w:pPr>
        <w:pStyle w:val="NormalHanging12a"/>
      </w:pPr>
      <w:r w:rsidRPr="004D2D08">
        <w:t>–</w:t>
      </w:r>
      <w:r w:rsidRPr="004D2D08">
        <w:tab/>
        <w:t>atsižvelgdamas į Darbo tvarkos taisyklių 136 straipsnio 2 dalį,</w:t>
      </w:r>
    </w:p>
    <w:p w14:paraId="267B1D31" w14:textId="77777777" w:rsidR="008E545D" w:rsidRPr="004D2D08" w:rsidRDefault="008E545D" w:rsidP="008E545D">
      <w:pPr>
        <w:pStyle w:val="NormalHanging12a"/>
      </w:pPr>
      <w:r w:rsidRPr="004D2D08">
        <w:t>–</w:t>
      </w:r>
      <w:r w:rsidRPr="004D2D08">
        <w:tab/>
        <w:t>atsižvelgdamas į Tarptautinės prekybos komiteto nuomonę,</w:t>
      </w:r>
    </w:p>
    <w:p w14:paraId="5C1BA655" w14:textId="77777777" w:rsidR="008E545D" w:rsidRPr="004D2D08" w:rsidRDefault="008E545D" w:rsidP="008E545D">
      <w:pPr>
        <w:pStyle w:val="NormalHanging12a"/>
      </w:pPr>
      <w:r w:rsidRPr="004D2D08">
        <w:t>–</w:t>
      </w:r>
      <w:r w:rsidRPr="004D2D08">
        <w:tab/>
        <w:t>atsižvelgdamas į Vidaus rinkos ir vartotojų apsaugos komiteto pranešimą (A10-0133/2025),</w:t>
      </w:r>
    </w:p>
    <w:p w14:paraId="2BC8FA4D" w14:textId="77777777" w:rsidR="008E545D" w:rsidRPr="004D2D08" w:rsidRDefault="008E545D" w:rsidP="008E545D">
      <w:pPr>
        <w:pStyle w:val="NormalHanging12a"/>
      </w:pPr>
      <w:r w:rsidRPr="004D2D08">
        <w:t>A.</w:t>
      </w:r>
      <w:r w:rsidRPr="004D2D08">
        <w:tab/>
        <w:t>kadangi nuo 2025 m. spalio 31 d. Prancūzijoje kilo didelis nesutarimas, kuris greitai išplito po visą Europą, dėl vaiko pavidalo sekso lėlių ir kitų neteisėtų produktų, įskaitant ginklus, pardavimo Kinijos e. prekybos platformoje „SHEIN“; kadangi Prancūzijos vartotojų sergėtoja pateikė pranešimus apie „vaiko pavidalo seksualinių objektų pardavimą“ Paryžiaus prokuratūrai, kuri 2025 m. lapkričio 3 d. pradėjo tyrimą dėl „SHEIN“ ir dar trijų ne ES elektroninių prekyviečių, t. y. „Temu“, „AliExpress“ ir „Wish“;</w:t>
      </w:r>
    </w:p>
    <w:p w14:paraId="58371345" w14:textId="77777777" w:rsidR="008E545D" w:rsidRDefault="008E545D" w:rsidP="008E545D">
      <w:pPr>
        <w:pStyle w:val="NormalHanging12a"/>
      </w:pPr>
      <w:r w:rsidRPr="004D2D08">
        <w:t>B.</w:t>
      </w:r>
      <w:r w:rsidRPr="004D2D08">
        <w:tab/>
        <w:t>kadangi po to, kai Prancūzijos valdžios institucijos ėmėsi pradinių vykdymo užtikrinimo veiksmų, „SHEIN“ teigė, kad atšaukė visą susijusią reklamą ir vaizdinę medžiagą ir laikinai išbraukė iš savo sąrašo produktų suaugusiesiems kategoriją; kadangi išlieka didelių abejonių dėl „SHEIN“ gebėjimo ar noro imtis veiksmingų ir ryžtingų veiksmų kovojant su neteisėtu turiniu ir užtikrinti, kad jos platformoje būtų prieinami tik reikalavimus atitinkantys produktai; kadangi šias abejones sustiprino įrodymai, kad ginčijami produktai išliko prieinami kitose valstybėse narėse, be kita ko, naudojantis virtualiojo privačiojo tinklo prieiga, praėjus dviem dienoms po tariamo jų pardavimo sustabdymo Prancūzijoje;</w:t>
      </w:r>
    </w:p>
    <w:p w14:paraId="2ABB1C55" w14:textId="7B4C1B4B" w:rsidR="005D364F" w:rsidRDefault="00C27DD1" w:rsidP="008E545D">
      <w:pPr>
        <w:pStyle w:val="NormalHanging12a"/>
      </w:pPr>
      <w:bookmarkStart w:id="7" w:name="_Hlk215060920"/>
      <w:r>
        <w:t>C</w:t>
      </w:r>
      <w:r w:rsidR="005D364F">
        <w:t>.</w:t>
      </w:r>
      <w:r w:rsidR="005D364F">
        <w:tab/>
      </w:r>
      <w:r w:rsidR="00F47F0E">
        <w:t>kadangi</w:t>
      </w:r>
      <w:r w:rsidR="00EF6AED" w:rsidRPr="00EF6AED">
        <w:t xml:space="preserve"> 2025 m. lapkričio 26 d. Prancūzijos valdžios institucijos paskelbė, kad </w:t>
      </w:r>
      <w:r w:rsidR="00F47F0E">
        <w:t xml:space="preserve">jos </w:t>
      </w:r>
      <w:r w:rsidR="00EF6AED" w:rsidRPr="00EF6AED">
        <w:t>pateiks skundą prieš „</w:t>
      </w:r>
      <w:proofErr w:type="spellStart"/>
      <w:r w:rsidR="00EF6AED" w:rsidRPr="00EF6AED">
        <w:t>AliExpress</w:t>
      </w:r>
      <w:proofErr w:type="spellEnd"/>
      <w:r w:rsidR="00EF6AED" w:rsidRPr="00EF6AED">
        <w:t>“ ir „</w:t>
      </w:r>
      <w:proofErr w:type="spellStart"/>
      <w:r w:rsidR="00EF6AED" w:rsidRPr="00EF6AED">
        <w:t>Joom</w:t>
      </w:r>
      <w:proofErr w:type="spellEnd"/>
      <w:r w:rsidR="00EF6AED" w:rsidRPr="00EF6AED">
        <w:t>“, kurios taip pat dalyvauja parduodant vaikų pornografijos lėles, o tai rodo šio reiškinio mastą ir rimtumą</w:t>
      </w:r>
      <w:r w:rsidR="00EF6AED">
        <w:t>;</w:t>
      </w:r>
    </w:p>
    <w:bookmarkEnd w:id="7"/>
    <w:p w14:paraId="53EB19DA" w14:textId="400EC891" w:rsidR="008E545D" w:rsidRPr="004D2D08" w:rsidRDefault="007A1AC6" w:rsidP="008E545D">
      <w:pPr>
        <w:pStyle w:val="NormalHanging12a"/>
      </w:pPr>
      <w:r>
        <w:t>D</w:t>
      </w:r>
      <w:r w:rsidR="008E545D" w:rsidRPr="004D2D08">
        <w:t>.</w:t>
      </w:r>
      <w:r w:rsidR="008E545D" w:rsidRPr="004D2D08">
        <w:tab/>
        <w:t>kadangi, atsižvelgdama į šiuos atskleistus faktus, Prancūzijos vyriausybė viešai įspėjo, kad dėl pasikartojančių pažeidimų ji turėtų prašyti panaikinti prieigą prie platformos „SHEIN“ Prancūzijos rinkoje; kadangi atrodo, kad reaguodama į tai „SHEIN“ pašalino visas vaiko pavidalo sekso lėles iš savo pasaulinių platformų ir paskelbė, kad visame pasaulyje uždraudžia visas sekso lėles, išbraukė atitinkamas prekes iš sąrašo ir pradėjo vidaus tyrimą dėl to, kaip tokie produktai galėjo būti rodomi jos elektroninėse prekyvietėse;</w:t>
      </w:r>
    </w:p>
    <w:p w14:paraId="7D4BAD96" w14:textId="12313999" w:rsidR="008E545D" w:rsidRPr="004D2D08" w:rsidRDefault="007A1AC6" w:rsidP="008E545D">
      <w:pPr>
        <w:pStyle w:val="NormalHanging12a"/>
      </w:pPr>
      <w:r>
        <w:t>E</w:t>
      </w:r>
      <w:r w:rsidR="008E545D" w:rsidRPr="004D2D08">
        <w:t>.</w:t>
      </w:r>
      <w:r w:rsidR="008E545D" w:rsidRPr="004D2D08">
        <w:tab/>
        <w:t>kadangi didelė visuomenės reakcija Prancūzijoje yra susijusi su ankstesniais nesutarimais dėl „SHEIN“, įskaitant 2025 m. liepos mėn. išvadas, kad įmonė taikė klaidinančią nuolaidų praktiką ir pateikė nepagrįstus teiginius apie ekologiškumą; kadangi tokia nesąžininga praktika atskleidžia šių interneto platformų verslo modelius ir kelia klausimų dėl vartojimo modelių;</w:t>
      </w:r>
    </w:p>
    <w:p w14:paraId="5B4F5B30" w14:textId="057B4AAC" w:rsidR="008E545D" w:rsidRPr="004D2D08" w:rsidRDefault="007A1AC6" w:rsidP="008E545D">
      <w:pPr>
        <w:pStyle w:val="NormalHanging12a"/>
      </w:pPr>
      <w:r>
        <w:t>F</w:t>
      </w:r>
      <w:r w:rsidR="008E545D" w:rsidRPr="004D2D08">
        <w:t>.</w:t>
      </w:r>
      <w:r w:rsidR="008E545D" w:rsidRPr="004D2D08">
        <w:tab/>
        <w:t>kadangi Prancūzijos atvejis vėl atkreipė didelį dėmesį į platesnę nesaugių ir neteisėtų produktų, platinamų elektroninėse prekyvietėse visoje ES, problemą ir paskatino platesnes diskusijas apie vartojimo modelius, nesąžiningą konkurenciją su ne ES interneto platformomis, elektroninių prekyviečių reguliavimą ir vartotojų teises;</w:t>
      </w:r>
    </w:p>
    <w:p w14:paraId="0E6A187B" w14:textId="77777777" w:rsidR="008E545D" w:rsidRPr="004D2D08" w:rsidRDefault="008E545D" w:rsidP="008E545D">
      <w:pPr>
        <w:pStyle w:val="NormalHanging12a"/>
        <w:rPr>
          <w:b/>
          <w:i/>
          <w:iCs/>
        </w:rPr>
      </w:pPr>
      <w:r w:rsidRPr="004D2D08">
        <w:rPr>
          <w:b/>
          <w:i/>
        </w:rPr>
        <w:t>Įvadinės pastabos</w:t>
      </w:r>
    </w:p>
    <w:p w14:paraId="1739EA92" w14:textId="77777777" w:rsidR="008E545D" w:rsidRPr="004D2D08" w:rsidRDefault="008E545D" w:rsidP="008E545D">
      <w:pPr>
        <w:pStyle w:val="NormalHanging12a"/>
      </w:pPr>
      <w:r w:rsidRPr="004D2D08">
        <w:t>1.</w:t>
      </w:r>
      <w:r w:rsidRPr="004D2D08">
        <w:tab/>
        <w:t>smerkia pastarojo meto įvykius Prancūzijoje, susijusius su platformoje „SHEIN“ prieinamais vaiko pavidalo seksualizuotais objektais ir kitomis neteisėtomis ar pavojingomis prekėmis, pvz., ginklais, kurie buvo prieinami visoje ES; pabrėžia, kad tokia praktika yra sunkus ES teisės pažeidimas ir tiesioginė grėsmė vartotojų saugumui ir nepilnamečių apsaugai;</w:t>
      </w:r>
    </w:p>
    <w:p w14:paraId="23E8AC3F" w14:textId="77777777" w:rsidR="008E545D" w:rsidRPr="004D2D08" w:rsidRDefault="008E545D" w:rsidP="008E545D">
      <w:pPr>
        <w:pStyle w:val="NormalHanging12a"/>
      </w:pPr>
      <w:r w:rsidRPr="004D2D08">
        <w:t>2.</w:t>
      </w:r>
      <w:r w:rsidRPr="004D2D08">
        <w:tab/>
        <w:t>pabrėžia, kad „SHEIN“ nėra pavienis atvejis, bet atspindi sisteminį netinkamos priežiūros modelį ir nepakankamus prevencinius mechanizmus; atkreipia dėmesį į naujausias vartotojų organizacijų išvadas, iš kurių matyti, kad didelė dalis didelių ne ES e. prekybos platformų siūlomų produktų neatitinka ES saugos reikalavimų, o didelė dalis kelia didelį pavojų vartotojams;</w:t>
      </w:r>
    </w:p>
    <w:p w14:paraId="3024B21F" w14:textId="77777777" w:rsidR="008E545D" w:rsidRPr="004D2D08" w:rsidRDefault="008E545D" w:rsidP="008E545D">
      <w:pPr>
        <w:pStyle w:val="NormalHanging12a"/>
      </w:pPr>
      <w:r w:rsidRPr="004D2D08">
        <w:t>3.</w:t>
      </w:r>
      <w:r w:rsidRPr="004D2D08">
        <w:tab/>
        <w:t>atkreipia dėmesį į Komisijos pradėtus tyrimus dėl labai didelių interneto platformų praktikos, įskaitant neseniai „SHEIN“ pateiktus prašymus pateikti informaciją, tačiau ragina Komisiją pereiti nuo dialogo prie ryžtingo vykdymo užtikrinimo;</w:t>
      </w:r>
    </w:p>
    <w:p w14:paraId="0AD222CF" w14:textId="77777777" w:rsidR="008E545D" w:rsidRPr="004D2D08" w:rsidRDefault="008E545D" w:rsidP="008E545D">
      <w:pPr>
        <w:pStyle w:val="NormalHanging12a"/>
      </w:pPr>
      <w:r w:rsidRPr="004D2D08">
        <w:t>4.</w:t>
      </w:r>
      <w:r w:rsidRPr="004D2D08">
        <w:tab/>
        <w:t>pabrėžia, kad dauguma nesaugių ir neteisėtų produktų į ES gabenami dideliais kiekiais, atskirais ir dažnai mažais siuntiniais, kurie ES vartotojams parduodami per interneto platformas iš ES nepriklausančių šalių, ypač Kinijos; įspėja, kad eksponentinis mažų siuntų skaičiaus didėjimas kartu su ribotais kontrolės pajėgumais lemia netinkamą pavojingų krovinių perėmimą; pabrėžia, kad tokia padėtis kelia pavojų vartotojams ir iškraipo konkurenciją;</w:t>
      </w:r>
    </w:p>
    <w:p w14:paraId="3A8E26FB" w14:textId="77777777" w:rsidR="008E545D" w:rsidRPr="004D2D08" w:rsidRDefault="008E545D" w:rsidP="008E545D">
      <w:pPr>
        <w:pStyle w:val="NormalHanging12a"/>
      </w:pPr>
      <w:r w:rsidRPr="004D2D08">
        <w:t>5.</w:t>
      </w:r>
      <w:r w:rsidRPr="004D2D08">
        <w:tab/>
        <w:t>reiškia didelį susirūpinimą dėl to, kad dokumentais patvirtintą didėjančią „SHEIN“ ir kitų ne ES interneto platformų reikalavimų nesilaikymo dalį dar labiau apsunkina verslo modelis, grindžiamas sparta, kuo didesniu pelnu ir pernelyg dideliu vartojimu, pažeidžiant žmogaus teises, aplinkos apsaugą, vartotojų saugumą ir pagrindines vertybes; apgailestauja dėl to, kad dirbtinai mažos kainos susijusios su problemomis, įskaitant nepakankamai apmokamą darbą, neteisėtą dizainerių darbo imitavimą, nesaugių ir reikalavimų neatitinkančių gaminių rinkodarą ir tekstilės atliekų kaupimąsi;</w:t>
      </w:r>
    </w:p>
    <w:p w14:paraId="7A7A4578" w14:textId="77777777" w:rsidR="008E545D" w:rsidRPr="004D2D08" w:rsidRDefault="008E545D" w:rsidP="008E545D">
      <w:pPr>
        <w:pStyle w:val="NormalHanging12a"/>
        <w:rPr>
          <w:b/>
          <w:i/>
          <w:iCs/>
        </w:rPr>
      </w:pPr>
      <w:r w:rsidRPr="004D2D08">
        <w:rPr>
          <w:b/>
          <w:i/>
        </w:rPr>
        <w:t>Atitikties iššūkiai</w:t>
      </w:r>
    </w:p>
    <w:p w14:paraId="3FC80813" w14:textId="77777777" w:rsidR="008E545D" w:rsidRPr="004D2D08" w:rsidRDefault="008E545D" w:rsidP="008E545D">
      <w:pPr>
        <w:pStyle w:val="NormalHanging12a"/>
      </w:pPr>
      <w:r w:rsidRPr="004D2D08">
        <w:t>6.</w:t>
      </w:r>
      <w:r w:rsidRPr="004D2D08">
        <w:tab/>
        <w:t>pripažįsta, kad ES sukūrė tvirtą atitikties sistemą, įskaitant SPA, SRA, Rinkos priežiūros reglamentą, reglamentą dėl bendros gaminių saugos, vartotojų apsaugos taisykles ir įvairius produktų ir aplinkos apsaugos teisės aktus, kurie taip pat taikomi internetu parduodamiems produktams; pripažįsta, kad vis dar reikia dėti daugiau pastangų siekiant visapusiškai ir koordinuotai užtikrinti atitikties sistemos vykdymą;</w:t>
      </w:r>
    </w:p>
    <w:p w14:paraId="77EAA7ED" w14:textId="7E84041A" w:rsidR="008E545D" w:rsidRPr="004D2D08" w:rsidRDefault="008E545D" w:rsidP="008E545D">
      <w:pPr>
        <w:pStyle w:val="NormalHanging12a"/>
      </w:pPr>
      <w:r w:rsidRPr="004D2D08">
        <w:t>7.</w:t>
      </w:r>
      <w:r w:rsidRPr="004D2D08">
        <w:tab/>
        <w:t xml:space="preserve">mano, kad griežtas, nuoseklus ir savalaikis ES reguliavimo </w:t>
      </w:r>
      <w:r w:rsidRPr="004D2D08">
        <w:rPr>
          <w:i/>
        </w:rPr>
        <w:t>acquis</w:t>
      </w:r>
      <w:r w:rsidRPr="004D2D08">
        <w:t xml:space="preserve"> įgyvendinimas yra būtinas siekiant užkirsti kelią nesaugių, reikalavimų neatitinkančių ir suklastotų produktų patekimui į vidaus rinką ir išlaikyti aukštą vartotojų apsaugos lygį; ragina visas atitinkamas valstybių narių valdžios institucijas naudotis visomis turimomis vykdymo užtikrinimo priemonėmis, kad būtų galima laiku ir veiksmingai reaguoti;</w:t>
      </w:r>
    </w:p>
    <w:p w14:paraId="003925F0" w14:textId="77777777" w:rsidR="008E545D" w:rsidRPr="004D2D08" w:rsidRDefault="008E545D" w:rsidP="008E545D">
      <w:pPr>
        <w:pStyle w:val="NormalHanging12a"/>
      </w:pPr>
      <w:r w:rsidRPr="004D2D08">
        <w:t>8.</w:t>
      </w:r>
      <w:r w:rsidRPr="004D2D08">
        <w:tab/>
        <w:t>primena, kad SPA nustatytas aiškus teisinis intervencijos pagrindas, įskaitant įgaliojimus pagal 74 straipsnį skirti baudas ir pagal 9 straipsnį nurodyti pašalinti neteisėtus produktus; primygtinai ragina Komisiją visapusiškai ir laiku pasinaudoti šiomis priemonėmis siekiant užtikrinti, kad platformos laikytųsi savo įsipareigojimų; pabrėžia, kad piliečiai turi matyti, jog ES gali užtikrinti jų saugumą internete, ir tikisi koordinuoto ir tvirto vykdymo užtikrinimo visoje vidaus rinkoje;</w:t>
      </w:r>
    </w:p>
    <w:p w14:paraId="2B711EF6" w14:textId="77777777" w:rsidR="008E545D" w:rsidRPr="004D2D08" w:rsidRDefault="008E545D" w:rsidP="008E545D">
      <w:pPr>
        <w:pStyle w:val="NormalHanging12a"/>
      </w:pPr>
      <w:r w:rsidRPr="004D2D08">
        <w:t>9.</w:t>
      </w:r>
      <w:r w:rsidRPr="004D2D08">
        <w:tab/>
        <w:t>įspėja, kad vis dar esama didelių vykdymo užtikrinimo trūkumų, kuriuos lemia nuolatinis išteklių trūkumas ir nepakankami muitinių ir rinkos priežiūros institucijų skaitmeniniai pajėgumai, specializuotų darbuotojų trūkumas ir suderintų bei sąveikių technologinių priemonių trūkumas valstybėse narėse, o padėtį dar labiau apsunkina ribotas keitimasis duomenimis ir silpnas muitinių, rinkos priežiūros ir vartotojų apsaugos institucijų veiklos koordinavimas;</w:t>
      </w:r>
    </w:p>
    <w:p w14:paraId="2DBD94BE" w14:textId="77777777" w:rsidR="008E545D" w:rsidRPr="004D2D08" w:rsidRDefault="008E545D" w:rsidP="008E545D">
      <w:pPr>
        <w:pStyle w:val="NormalHanging12a"/>
      </w:pPr>
      <w:r w:rsidRPr="004D2D08">
        <w:t>10.</w:t>
      </w:r>
      <w:r w:rsidRPr="004D2D08">
        <w:tab/>
        <w:t>pabrėžia, kad dėl didelio į ES įvežamų e. prekybos siuntų kiekio fizinė kontrolė iš esmės yra nepakankama; ragina imtis skubių priemonių, be kita ko, nustatyti suderintą ES lygmens PPO reikalavimus atitinkantį tvarkymo mokestį, kad būtų padengtos padidėjusios muitinių priežiūros išlaidos, ir aiškiai apibrėžti trečiosiose šalyse įsisteigusių platformų ir pardavėjų atsakomybę už produktų, kuriuos jie skiria ES vartotojams, saugą ir atitiktį, kartu panaikinant atleidimą nuo PVM ir muitų mažos vertės siuntoms, dėl kurio neseniai susitarė Taryba; primygtinai ragina Komisiją gerokai padidinti finansinę ir operatyvinę paramą muitinėms ir rinkos priežiūros institucijoms, be kita ko, padidinant asignavimus pagal būsimą daugiametę finansinę programą, kad būtų užtikrinta pakankamai išteklių ir darbuotojų;</w:t>
      </w:r>
    </w:p>
    <w:p w14:paraId="5D0008ED" w14:textId="77777777" w:rsidR="008E545D" w:rsidRPr="004D2D08" w:rsidRDefault="008E545D" w:rsidP="008E545D">
      <w:pPr>
        <w:pStyle w:val="NormalHanging12a"/>
        <w:rPr>
          <w:b/>
          <w:i/>
          <w:iCs/>
        </w:rPr>
      </w:pPr>
      <w:r w:rsidRPr="004D2D08">
        <w:rPr>
          <w:b/>
          <w:i/>
        </w:rPr>
        <w:t>Interneto platformų tyrimai ir tolesni veiksmai</w:t>
      </w:r>
    </w:p>
    <w:p w14:paraId="65634602" w14:textId="77777777" w:rsidR="008E545D" w:rsidRPr="004D2D08" w:rsidRDefault="008E545D" w:rsidP="008E545D">
      <w:pPr>
        <w:pStyle w:val="NormalHanging12a"/>
      </w:pPr>
      <w:r w:rsidRPr="004D2D08">
        <w:t>11.</w:t>
      </w:r>
      <w:r w:rsidRPr="004D2D08">
        <w:tab/>
        <w:t>apgailestauja dėl lėtos Komisijos ir Bendradarbiavimo vartotojų apsaugos srityje tinklo inicijuotų tyrimų dėl ne ES interneto platformų, susijusių su įtariamais ES produktų saugos ir vartotojų teisės aktų pažeidimais, ir labai didelių platformų, visų pirma pagal SPA, pažangos; apgailestauja, kad tyrimo procedūros dažnai trunka daug mėnesių ar net metų, o tai mažina piliečių pasitikėjimą ir teisės aktų leidėjų gebėjimą reaguoti į sparčiai kylančią riziką internete; pabrėžia, kad reikia skubiai užbaigti šiuos tyrimus ir pašalinti struktūrines šio žalingo lėtumo priežastis; pabrėžia, kad praktiškai vis dar iš esmės neįmanoma sustabdyti platformų veiklos, kaip šiuo metu siekiama Prancūzijoje, net ir tais atvejais, kai akivaizdžiai ir pakartotinai nesilaikoma reikalavimų; pabrėžia, kad būtina imtis veiksmų ES lygmeniu siekiant užtikrinti nuoseklų teisės aktų vykdymą ir užkirsti kelią bet kokiam vidaus rinkos iškraipymui;</w:t>
      </w:r>
    </w:p>
    <w:p w14:paraId="2C81B9BB" w14:textId="77777777" w:rsidR="008E545D" w:rsidRPr="004D2D08" w:rsidRDefault="008E545D" w:rsidP="008E545D">
      <w:pPr>
        <w:pStyle w:val="NormalHanging12a"/>
      </w:pPr>
      <w:r w:rsidRPr="004D2D08">
        <w:t>12.</w:t>
      </w:r>
      <w:r w:rsidRPr="004D2D08">
        <w:tab/>
        <w:t>todėl ragina nustatyti griežtesnes, greitesnes ir veiksmingesnes vykdymo užtikrinimo priemones, siekiant užtikrinti, kad ES taisyklės galėtų būti veiksmingai taikomos skaitmeninėje aplinkoje; primygtinai reikalauja, kad interneto platformų prisiimtų įsipareigojimų įgyvendinimas būtų nuolat ir sistemingai tikrinamas;</w:t>
      </w:r>
    </w:p>
    <w:p w14:paraId="07BF1035" w14:textId="77777777" w:rsidR="008E545D" w:rsidRPr="004D2D08" w:rsidRDefault="008E545D" w:rsidP="008E545D">
      <w:pPr>
        <w:pStyle w:val="NormalHanging12a"/>
      </w:pPr>
      <w:r w:rsidRPr="004D2D08">
        <w:t>13.</w:t>
      </w:r>
      <w:r w:rsidRPr="004D2D08">
        <w:tab/>
        <w:t>pabrėžia, kad naujausios išvados dėl „SHEIN“ rodo sisteminius trūkumus, o ne pavienius incidentus, ir jų negalima ištaisyti vien pašalinant produktą iš rinkos arba viešai atsiprašant;</w:t>
      </w:r>
    </w:p>
    <w:p w14:paraId="47DD697E" w14:textId="77777777" w:rsidR="008E545D" w:rsidRPr="004D2D08" w:rsidRDefault="008E545D" w:rsidP="008E545D">
      <w:pPr>
        <w:pStyle w:val="NormalHanging12a"/>
      </w:pPr>
      <w:r w:rsidRPr="004D2D08">
        <w:t>14.</w:t>
      </w:r>
      <w:r w:rsidRPr="004D2D08">
        <w:tab/>
        <w:t>primygtinai ragina greičiau ir lengviau aktyvuoti laikinąsias priemones pagal SPA ir kitas priemones pagal reglamentą dėl bendros gaminių saugos ir Rinkos priežiūros reglamentą, įskaitant laikiną elektroninių prekyviečių veiklos sustabdymą pakartotinių, sunkių ar sistemingų ES teisės pažeidimų atvejais, pvz., su „SHEIN“ susijusį atvejį Prancūzijoje, siekiant užtikrinti, kad reikalavimų nesilaikančios platformos išvengtų pasekmių; pabrėžia, kad elektroninių prekyviečių veiklos sustabdymas nebeturėtų būti laikomas išimtine kraštutine priemone;</w:t>
      </w:r>
    </w:p>
    <w:p w14:paraId="1424CF02" w14:textId="77777777" w:rsidR="008E545D" w:rsidRPr="004D2D08" w:rsidRDefault="008E545D" w:rsidP="008E545D">
      <w:pPr>
        <w:pStyle w:val="NormalHanging12a"/>
      </w:pPr>
      <w:r w:rsidRPr="004D2D08">
        <w:t>15.</w:t>
      </w:r>
      <w:r w:rsidRPr="004D2D08">
        <w:tab/>
        <w:t>pabrėžia, kad reikia laiku taikyti veiksmingesnes sankcijas, visapusiškai pasinaudojant visomis ES teisės aktuose numatytomis priemonėmis; pabrėžia, kad tokios sankcijos turi būti pakankamai atgrasančios, kad būtų užtikrinta, jog reikalavimų neatitinkančios platformos visapusiškai laikytųsi ES teisės;</w:t>
      </w:r>
    </w:p>
    <w:p w14:paraId="63263719" w14:textId="77777777" w:rsidR="008E545D" w:rsidRPr="004D2D08" w:rsidRDefault="008E545D" w:rsidP="008E545D">
      <w:pPr>
        <w:pStyle w:val="NormalHanging12a"/>
      </w:pPr>
      <w:r w:rsidRPr="004D2D08">
        <w:t>16.</w:t>
      </w:r>
      <w:r w:rsidRPr="004D2D08">
        <w:tab/>
        <w:t>pažymi, kad dabartinė sistema yra labiau reaktyvi nei prevencinė, nes valdžios institucijos įsikiša tik jau pardavus pavojingus gaminius vartotojams, o ne užkerta kelią jų platinimui; primena, kad pagal reglamentą dėl bendros gaminių saugos elektroninės prekyvietės turi pašalinti pavojingo produkto pasiūlymą per dvi dienas, jei jos žino, kad gaminys yra pavojingas, arba jei jos turi imtis tolesnių veiksmų pagal vyriausybės įstaigos nurodymą pašalinti gaminį, arba per tris dienas, jei jos turi imtis tolesnių veiksmų dėl pripažintos trečiosios šalies; be to, pabrėžia, kad elektroninių prekyviečių paslaugų teikėjai skatinami prieš įtraukiant produktus į savo sąsajas patikrinti juos portale „Safety Gate“; pabrėžia, kad atsitiktinė imtis ir testavimas gali būti veiksminga atgrasymo priemonė tik tada, kai jie atliekami sistemingai ir pakankamai dažnai;</w:t>
      </w:r>
    </w:p>
    <w:p w14:paraId="4C1C9CD6" w14:textId="77777777" w:rsidR="008E545D" w:rsidRPr="004D2D08" w:rsidRDefault="008E545D" w:rsidP="008E545D">
      <w:pPr>
        <w:pStyle w:val="NormalHanging12a"/>
      </w:pPr>
      <w:r w:rsidRPr="004D2D08">
        <w:t>17.</w:t>
      </w:r>
      <w:r w:rsidRPr="004D2D08">
        <w:tab/>
        <w:t>ragina Komisiją ir nacionalines kompetentingas institucijas griežtai užtikrinti Skaitmeninių paslaugų akto vykdymą, kiek tai susiję su elektroninių prekyviečių atsakomybe, visų pirma, jų įsipareigojimais dėl rekomendavimo sistemų, sąsajų dizaino, teisės į informaciją, numatytosios atitikties taisyklių laikymosi bendram atsekamumui padidinti ir pareigos „pažinti savo verslo klientą“; pabrėžia, kad reikia sukurti Skaitmeninių paslaugų aktu pagrįstą patikimų neteisėtų produktų ir e. prekybos pranešėjų tinklą, siekiant užtikrinti, kad platformos veiksmingai vykdytų savo įsipareigojimus; primena, kad „SHEIN“ ir kitos interneto platformos, pvz., „Temu“ ir „AliExpress“, buvo pripažintos labai didelėmis interneto platformomis ir joms taikomos griežtesnės pareigos;</w:t>
      </w:r>
    </w:p>
    <w:p w14:paraId="00B9A705" w14:textId="77777777" w:rsidR="008E545D" w:rsidRPr="004D2D08" w:rsidRDefault="008E545D" w:rsidP="008E545D">
      <w:pPr>
        <w:pStyle w:val="NormalHanging12a"/>
      </w:pPr>
      <w:r w:rsidRPr="004D2D08">
        <w:t>18.</w:t>
      </w:r>
      <w:r w:rsidRPr="004D2D08">
        <w:tab/>
        <w:t xml:space="preserve">pažymi, kad Komisija tikrina tam tikras ne ES elektronines prekyvietes dėl manipuliavimo metodų, įskaitant manipuliacinius modelius, priklausomybę sukeliančius dizaino elementus, nuomonės formavimo rinkodarą ir netikrų ar klaidinančių internete skelbiamų atsiliepimų platinimą; primena, kad atlikus skaitmeninio sąžiningumo tinkamumo patikrą apskaičiuota, jog dėl nesąžiningos komercinės praktikos vartotojai kasmet praranda beveik 8 mlrd. EUR, ir pabrėžia, kad tokie išnaudojimo metodai, kurie ypač veikia pažeidžiamus naudotojus ir nepilnamečius, skatina impulsyvų pirkimo elgesį ir netvarų vartojimą; primygtinai ragina Komisiją užtikrinti, kad būsimu Skaitmeninio sąžiningumo aktu būtų sprendžiama šios praktikos problema panaikinant galiojančių teisės aktų reglamentavimo spragas;  </w:t>
      </w:r>
    </w:p>
    <w:p w14:paraId="6D492628" w14:textId="77777777" w:rsidR="008E545D" w:rsidRPr="004D2D08" w:rsidRDefault="008E545D" w:rsidP="008E545D">
      <w:pPr>
        <w:pStyle w:val="NormalHanging12a"/>
      </w:pPr>
      <w:r w:rsidRPr="004D2D08">
        <w:t>19.</w:t>
      </w:r>
      <w:r w:rsidRPr="004D2D08">
        <w:tab/>
        <w:t>ragina reikalauti, kad visi elektroninėse prekyvietėse veikiantys pardavėjai pateiktų patikrinamą grąžinimo adresą ir kontaktinį asmenį ES, užtikrinant, kad vartotojai galėtų veiksmingai naudotis savo teisėmis pagal ES vartotojų teisę, pvz., teise atsisakyti pirkimo perkant internetu, taip pat be papildomos naštos grąžinti reikalavimų neatitinkančias prekes, ir kad kompetentingos institucijos galėtų veiksmingai atlikti patikrinimus; primygtinai tvirtina, kad elektroninės prekyvietės turėtų būti atsakingos už šių aspektų tikrinimą ir turėtų prisiimti atsakomybę už vykdymo užtikrinimą;</w:t>
      </w:r>
    </w:p>
    <w:p w14:paraId="2A49C757" w14:textId="77777777" w:rsidR="008E545D" w:rsidRPr="004D2D08" w:rsidRDefault="008E545D" w:rsidP="008E545D">
      <w:pPr>
        <w:pStyle w:val="NormalHanging12a"/>
        <w:rPr>
          <w:b/>
          <w:i/>
          <w:iCs/>
        </w:rPr>
      </w:pPr>
      <w:r w:rsidRPr="004D2D08">
        <w:rPr>
          <w:b/>
          <w:i/>
        </w:rPr>
        <w:t>Reguliavimo reformų poreikis</w:t>
      </w:r>
    </w:p>
    <w:p w14:paraId="6B712EE4" w14:textId="77777777" w:rsidR="008E545D" w:rsidRPr="004D2D08" w:rsidRDefault="008E545D" w:rsidP="008E545D">
      <w:pPr>
        <w:pStyle w:val="NormalHanging12a"/>
        <w:rPr>
          <w:bCs/>
        </w:rPr>
      </w:pPr>
      <w:r w:rsidRPr="004D2D08">
        <w:t>20.</w:t>
      </w:r>
      <w:r w:rsidRPr="004D2D08">
        <w:tab/>
        <w:t>primygtinai ragina Komisiją nedelsiant imtis veiksmingų priemonių prieš nesaugius ir neteisėtus produktus interneto platformose, įskaitant teisėkūros priemones, kai aiškiai nustatytos teisinės spragos, siekiant užtikrinti teisinį tikrumą ir vienodas sąlygas Europos įmonėms, ypatingą dėmesį skiriant mažosioms ir vidutinėms įmonėms; pabrėžia, kad svarstant naujus teisės aktus, įskaitant naujus įpareigojimus internetinėms prekyvietėms, reikia įgyvendinti esamą atitikties užtikrinimo sistemą ir įvertinti šias priemones;</w:t>
      </w:r>
    </w:p>
    <w:p w14:paraId="7020DC4F" w14:textId="77777777" w:rsidR="008E545D" w:rsidRPr="004D2D08" w:rsidRDefault="008E545D" w:rsidP="008E545D">
      <w:pPr>
        <w:pStyle w:val="NormalHanging12a"/>
      </w:pPr>
      <w:r w:rsidRPr="004D2D08">
        <w:t>21.</w:t>
      </w:r>
      <w:r w:rsidRPr="004D2D08">
        <w:tab/>
        <w:t>pabrėžia, kad atsakingo ekonominės veiklos vykdytojo ES, kuriam taikomas reglamentas dėl bendros gaminių saugos ir kuris veikia ne ES prekiautojo ar platformos vardu, informacija dažnai yra neteisinga arba jos trūksta; vis dėlto pabrėžia, kad, jei pardavėjai yra įsisteigę už ES ribų arba jų neįmanoma atsekti ir jei nurodomi klaidingi atsakingų asmenų adresai, nėra atsakingo juridinio asmens ir rinkos priežiūros institucijos negali imtis vykdymo užtikrinimo veiksmų, o vartotojai negali gauti kompensacijos ar teisių gynimo priemonių; pažymi, kad net jei ši informacija yra prieinama, atsakingas asmuo ES gali nebūti atskaitingas;</w:t>
      </w:r>
    </w:p>
    <w:p w14:paraId="37B0A9BA" w14:textId="77777777" w:rsidR="008E545D" w:rsidRPr="004D2D08" w:rsidRDefault="008E545D" w:rsidP="008E545D">
      <w:pPr>
        <w:pStyle w:val="NormalHanging12a"/>
      </w:pPr>
      <w:r w:rsidRPr="004D2D08">
        <w:t>22.</w:t>
      </w:r>
      <w:r w:rsidRPr="004D2D08">
        <w:tab/>
        <w:t>mano, kad visais atvejais turi būti užtikrintas vartotojų teisių gynimas; atsižvelgdamas į tai pabrėžia, kad tais atvejais, kai gamintojas yra įsisteigęs už ES ribų ir negalima nustatyti importuotojo, įgaliotojo atstovo ar realizavimo paslaugų teikėjo, elektroninės prekyvietės turėtų suteikti vartotojams tinkamas ir proporcingas teisių gynimo priemones tais atvejais, kai gamintojas nesilaiko SPA, visų pirma jo 30 ir 31 straipsnių arba reglamento dėl bendros gaminių saugos 22 straipsnio;</w:t>
      </w:r>
    </w:p>
    <w:p w14:paraId="0F6C151F" w14:textId="77777777" w:rsidR="008E545D" w:rsidRPr="004D2D08" w:rsidRDefault="008E545D" w:rsidP="008E545D">
      <w:pPr>
        <w:pStyle w:val="NormalHanging12a"/>
      </w:pPr>
      <w:r w:rsidRPr="004D2D08">
        <w:t>23.</w:t>
      </w:r>
      <w:r w:rsidRPr="004D2D08">
        <w:tab/>
        <w:t>atkreipia dėmesį į Komisijos ketinimą peržiūrėti RSR ir pabrėžia, kad šis procesas turi sudaryti sąlygas greitai ir išsamiai įvertinti dabartines taisykles dėl „asmens, atsakingo už Sąjungos rinkai pateiktus produktus“, visų pirma taisykles, taikomas ne ES prekiautojams, remiantis RSR 4 straipsnio vertinimo ataskaitos rezultatais; ragina Komisiją paspartinti privalomo reikalavimo ne ES prekiautojams paskirti atsakingą asmenį ES, kuriam būtų taikoma didesnė teisinė ir finansinė atsakomybė, nustatymo vertinimą;</w:t>
      </w:r>
    </w:p>
    <w:p w14:paraId="407303DA" w14:textId="77777777" w:rsidR="008E545D" w:rsidRPr="004D2D08" w:rsidRDefault="008E545D" w:rsidP="008E545D">
      <w:pPr>
        <w:pStyle w:val="NormalHanging12a"/>
      </w:pPr>
      <w:r w:rsidRPr="004D2D08">
        <w:t>24.</w:t>
      </w:r>
      <w:r w:rsidRPr="004D2D08">
        <w:tab/>
        <w:t>mano, kad Rinkos priežiūros reglamento peržiūra suteikia itin svarbią galimybę sustiprinti ES reguliavimo sistemą aiškiau atskiriant platformų, kurios pateikia produktus rinkai, ir platformų, kurių veikla apsiriboja ne produkto turinio, pvz., vaizdo įrašų, vaizdų ar straipsnių, priegloba, atsakomybę; primena, kad šis diferencijavimas jau yra būdingas Reglamentui dėl bendros gaminių saugos, Rinkos priežiūros reglamentui ir Sąjungos muitinės kodeksui, kuriuose nustatytos konkrečios nuostatos dėl produktus parduodančių elektroninių prekyviečių; vis dėlto mano, kad, siekiant dar labiau apsaugoti vartotojus, būtina didinti produktus parduodančių elektroninių prekyviečių atsakomybę;</w:t>
      </w:r>
    </w:p>
    <w:p w14:paraId="1767A7E0" w14:textId="77777777" w:rsidR="008E545D" w:rsidRPr="004D2D08" w:rsidRDefault="008E545D" w:rsidP="008E545D">
      <w:pPr>
        <w:pStyle w:val="NormalHanging12a"/>
      </w:pPr>
      <w:r w:rsidRPr="004D2D08">
        <w:t>25.</w:t>
      </w:r>
      <w:r w:rsidRPr="004D2D08">
        <w:tab/>
        <w:t>primygtinai ragina Komisiją nedelsiant atlikti išsamią Reglamento dėl bendradarbiavimo vartotojų apsaugos srityje</w:t>
      </w:r>
      <w:r w:rsidRPr="004D2D08">
        <w:rPr>
          <w:rStyle w:val="FootnoteReference"/>
        </w:rPr>
        <w:footnoteReference w:id="10"/>
      </w:r>
      <w:r w:rsidRPr="004D2D08">
        <w:t xml:space="preserve"> peržiūrą, nes tai yra būtina sąlyga siekiant užtikrinti patikimą tarpvalstybinį ES vartotojų apsaugos taisyklių vykdymą ir pažaboti nesaugių prekių judėjimą; primygtinai reikalauja, kad į peržiūrą būtų įtrauktos konkrečios nuostatos, kuriomis būtų stiprinami vykdymo užtikrinimo pajėgumai, susiję su ne ES prekiautojais ir platformomis, kartu užtikrinant glaudesnį koordinavimą ir struktūrizuotą dalijimąsi informacija tarp ES ir nacionalinių valdžios institucijų ir, kai aktualu, su kompetentingomis įstaigomis ES nepriklausančiose šalyse; pabrėžia, kad reikia suteikti Komisijai tiesioginius tyrimo ir sankcijų taikymo įgaliojimus sunkių ir didelio poveikio vartotojų teisės pažeidimų atvejais, kad būtų užtikrintas nuoseklus, vienalaikis ir atgrasomasis vykdymo užtikrinimas visoje ES;</w:t>
      </w:r>
    </w:p>
    <w:p w14:paraId="7EA00281" w14:textId="77777777" w:rsidR="008E545D" w:rsidRPr="004D2D08" w:rsidRDefault="008E545D" w:rsidP="008E545D">
      <w:pPr>
        <w:pStyle w:val="NormalHanging12a"/>
      </w:pPr>
      <w:r w:rsidRPr="004D2D08">
        <w:t>26.</w:t>
      </w:r>
      <w:r w:rsidRPr="004D2D08">
        <w:tab/>
        <w:t>mano, kad rinkos priežiūros institucijų vykdomos kontrolinio pirkimo operacijos, kaip nurodyta Komisijos komunikate dėl elektroninės prekybos, yra labai svarbi priemonė vertinant interneto platformose siūlomų produktų teisėtumą ir saugumą; ragina gerokai išplėsti šias patikras ir jas atlikti reguliariau, kad būtų užtikrintas prasmingas vykdymo užtikrinimas, kartu su kitais koordinuotais vykdymo užtikrinimo veiksmais, pvz., tikslinėmis patikromis ir tarpusavio vertinimais; primena, kad turėtų būti sistemingiau taikomos taisomosios priemonės, skirtos pasikartojančiai ar anksčiau dokumentais patvirtintai neatitikčiai, susijusiai su panašiais produktais, kaip numatyta reglamente dėl bendros gaminių saugos;</w:t>
      </w:r>
    </w:p>
    <w:p w14:paraId="5B8D0FAA" w14:textId="77777777" w:rsidR="008E545D" w:rsidRPr="004D2D08" w:rsidRDefault="008E545D" w:rsidP="008E545D">
      <w:pPr>
        <w:pStyle w:val="NormalHanging12a"/>
      </w:pPr>
      <w:r w:rsidRPr="004D2D08">
        <w:t>27.</w:t>
      </w:r>
      <w:r w:rsidRPr="004D2D08">
        <w:tab/>
        <w:t>ragina Komisiją įvertinti galimybę parengti aiškias ir suderintas „greitosios mados“ ir „itin greitos mados“ apibrėžtis, kad būtų atsižvelgta į specifinę su šiais verslo modeliais susijusią riziką, užtikrinant vienodas sąlygas visiems rinkos dalyviams ir užkertant kelią reglamentavimo fragmentacijai vidaus rinkoje; be to, ragina Komisiją įvertinti nuostatas, kuriomis būtų užtikrinta galimybė naudotis visapusiškai veiksmingomis priemonėmis, siekiant spręsti problemas, kylančias dėl itin greito prastos kokybės produktų platinimo, įskaitant patikimesnes atitikties vertinimo procedūras ir griežtesnes vykdymo užtikrinimo priemones, siekiant apsaugoti vidaus rinką, kurioje būtų užtikrinta aukščiausio lygio vartotojų apsauga, kartu sudarant sąlygas novatoriškų produktų ir idėjų augimui ir mažinant bet kokią nereikalingą administracinę naštą atsakingoms įmonėms ir reikalavimus atitinkantiems produktams;</w:t>
      </w:r>
    </w:p>
    <w:p w14:paraId="4D9ECFE3" w14:textId="77777777" w:rsidR="008E545D" w:rsidRPr="004D2D08" w:rsidRDefault="008E545D" w:rsidP="008E545D">
      <w:pPr>
        <w:pStyle w:val="NormalHanging12a"/>
      </w:pPr>
      <w:r w:rsidRPr="004D2D08">
        <w:t>28.</w:t>
      </w:r>
      <w:r w:rsidRPr="004D2D08">
        <w:tab/>
        <w:t xml:space="preserve">be to, primygtinai ragina valstybes nares gerokai paspartinti importo procedūrų skaitmeninimą muitinės administracijose, padedant ES muitinės duomenų platformai, siekiant užtikrinti veiksmingą dabartinių teisės aktų taikymą ir paspartinti muitinį įforminimą, visų pirma atsižvelgiant į eksponentinį siuntinių srautų augimą; ragina valstybes nares dažniau naudoti automatizuotus procesus, pvz., automatinį etikečių skenavimą tvarkant siuntinius muitinėje; pabrėžia, kad plačiai naudojant skaitmeninį produkto pasą būtų galima </w:t>
      </w:r>
      <w:r w:rsidRPr="004D2D08">
        <w:rPr>
          <w:i/>
        </w:rPr>
        <w:t>ex ante</w:t>
      </w:r>
      <w:r w:rsidRPr="004D2D08">
        <w:t xml:space="preserve"> patikrinti visų e. prekybos būdu importuojamų produktų atitiktį, pateikiant išsamią kokybės ir atitikties informaciją, kuri būtų tiesiogiai integruota į ES muitinės duomenų platformą; ragina Komisiją kuo greičiau į skaitmeninį produkto pasą įtraukti visas ES rinkai pateiktas fizines prekes;</w:t>
      </w:r>
    </w:p>
    <w:p w14:paraId="609A1D37" w14:textId="77777777" w:rsidR="008E545D" w:rsidRPr="004D2D08" w:rsidRDefault="008E545D" w:rsidP="008E545D">
      <w:pPr>
        <w:pStyle w:val="NormalHanging12a"/>
      </w:pPr>
      <w:r w:rsidRPr="004D2D08">
        <w:t>29.</w:t>
      </w:r>
      <w:r w:rsidRPr="004D2D08">
        <w:tab/>
        <w:t>primygtinai ragina valstybes nares gerokai sustiprinti muitinį tikrinimą ir padidinti rizikos analizės pajėgumus, Komisijai ir ES muitinei vykdant rizikos valdymo užduotis, kurios turi būti įtrauktos į Sąjungos muitinės kodekso reformą, kad reikalavimų neatitinkančios prekės būtų greitai aptiktos ir sulaikytos, taip sumažinant žalą ES vartotojams ir apsaugant ES įmonių ekonominius interesus; pabrėžia, kad reikia stiprinti muitinės centrų pajėgumus, kad jie galėtų veiksmingai valdyti labai didelį mažų siuntinių, kuriems netaikomi tradiciniai kontrolės metodai, kiekį, be kita ko, diegiant pažangias tikrinimo technologijas, kuriomis galima nustatyti įtartinas siuntas įvežimo punktuose; ragina vykdyti griežtesnes atitikties patikras, kurias papildytų atsitiktiniai patikrinimai, susiję su didelio tonažo gabenimu;</w:t>
      </w:r>
    </w:p>
    <w:p w14:paraId="135FBA73" w14:textId="77777777" w:rsidR="008E545D" w:rsidRPr="004D2D08" w:rsidRDefault="008E545D" w:rsidP="008E545D">
      <w:pPr>
        <w:pStyle w:val="NormalHanging12a"/>
      </w:pPr>
      <w:r w:rsidRPr="004D2D08">
        <w:t>30.</w:t>
      </w:r>
      <w:r w:rsidRPr="004D2D08">
        <w:tab/>
        <w:t>pabrėžia, kad, atsižvelgiant į neatidėliotiną poreikį stiprinti muitinį tikrinimą, reikėtų paankstinti pagrindinių įsipareigojimų pagal Sąjungos muitinės kodekso peržiūrą įgyvendinimo tvarkaraštį, visų pirma sukurti ES muitinės duomenų platformą; primygtinai ragina Komisiją nedelsiant pradėti visus parengiamuosius veiksmus, kurių reikia jam įsteigti, užtikrinant, kad platformos e. prekybos funkcijos visapusiškai veiktų prieš pasiekiant 2026 m. tikslą; palankiai vertina Taryboje pasiektą politinį susitarimą panaikinti 150 EUR atleidimo nuo muitų ribą, nes tai yra labai svarbi priemonė siekiant pažaboti sistemingą piktnaudžiavimą mažos vertės siuntomis;</w:t>
      </w:r>
    </w:p>
    <w:p w14:paraId="5A807DBB" w14:textId="77777777" w:rsidR="008E545D" w:rsidRPr="004D2D08" w:rsidRDefault="008E545D" w:rsidP="008E545D">
      <w:pPr>
        <w:pStyle w:val="NormalHanging12a"/>
      </w:pPr>
      <w:r w:rsidRPr="004D2D08">
        <w:t>31.</w:t>
      </w:r>
      <w:r w:rsidRPr="004D2D08">
        <w:tab/>
        <w:t>pažymi, kad kai kuriais atvejais ne ES prekiautojai ir platformos pateikia reikalavimų neatitinkančias ir kartais pavojingas prekes į ES rinką nepatirdami pasekmių; pažymi, kad Sąjungos muitinės kodekso reforma turėtų padėti šalinti atsakomybės už reikalavimų neatitinkančius produktus, patenkančius į ES muitų teritoriją, spragas;</w:t>
      </w:r>
    </w:p>
    <w:p w14:paraId="39B8950C" w14:textId="299E4771" w:rsidR="008E545D" w:rsidRDefault="008E545D" w:rsidP="008E545D">
      <w:pPr>
        <w:pStyle w:val="NormalHanging12a"/>
      </w:pPr>
      <w:r w:rsidRPr="004D2D08">
        <w:t>32.</w:t>
      </w:r>
      <w:r w:rsidRPr="004D2D08">
        <w:tab/>
        <w:t>ragina vartotojų apsaugos institucijas, organizacijas, pramonės įstaigas ir prekybos rūmus intensyvinti bendras informavimo pastangas, kuriomis siekiama suteikti vartotojams aiškias ir prieinamas gaires dėl jų teisių ir rizikos, susijusios su pirkimu internetu, ypač iš ne ES platformų; primygtinai ragina tokiose iniciatyvose aiškiai pabrėžti teisių gynimo būdų, įskaitant kolektyvinį teisių gynimą, prieinamumą, siekiant užtikrinti, kad vartotojai, susidūrę su nesaugiais ar neteisėtais produktais, galėtų veiksmingai naudotis teisių gynimo priemonėmis;</w:t>
      </w:r>
    </w:p>
    <w:p w14:paraId="11C72AB2" w14:textId="20BD9F5F" w:rsidR="00B62ABF" w:rsidRDefault="00B62ABF" w:rsidP="00B62ABF">
      <w:pPr>
        <w:pStyle w:val="NormalHanging12a"/>
        <w:widowControl/>
        <w:ind w:left="0" w:firstLine="0"/>
        <w:jc w:val="center"/>
      </w:pPr>
      <w:r>
        <w:t>°</w:t>
      </w:r>
    </w:p>
    <w:p w14:paraId="481C212F" w14:textId="7A31EECC" w:rsidR="00B62ABF" w:rsidRDefault="00B62ABF" w:rsidP="00B62ABF">
      <w:pPr>
        <w:pStyle w:val="NormalHanging12a"/>
        <w:widowControl/>
        <w:ind w:left="0" w:firstLine="0"/>
        <w:jc w:val="center"/>
      </w:pPr>
      <w:r>
        <w:t>°     °</w:t>
      </w:r>
    </w:p>
    <w:p w14:paraId="656ABDB2" w14:textId="65EC62C7" w:rsidR="00E365E1" w:rsidRPr="004D2D08" w:rsidRDefault="008E545D" w:rsidP="000B7C0F">
      <w:pPr>
        <w:pStyle w:val="NormalHanging12a"/>
      </w:pPr>
      <w:r w:rsidRPr="004D2D08">
        <w:t>33.</w:t>
      </w:r>
      <w:r w:rsidR="00B62ABF">
        <w:tab/>
      </w:r>
      <w:r w:rsidRPr="004D2D08">
        <w:t xml:space="preserve">paveda Pirmininkei perduoti šią rezoliuciją </w:t>
      </w:r>
      <w:r w:rsidR="004D2D08" w:rsidRPr="004D2D08">
        <w:t>Tarybai ir Komisijai.</w:t>
      </w:r>
    </w:p>
    <w:sectPr w:rsidR="00E365E1" w:rsidRPr="004D2D08" w:rsidSect="004D2D08">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264284" w14:textId="77777777" w:rsidR="005842C9" w:rsidRPr="004D2D08" w:rsidRDefault="005842C9">
      <w:r w:rsidRPr="004D2D08">
        <w:separator/>
      </w:r>
    </w:p>
  </w:endnote>
  <w:endnote w:type="continuationSeparator" w:id="0">
    <w:p w14:paraId="614E5358" w14:textId="77777777" w:rsidR="005842C9" w:rsidRPr="004D2D08" w:rsidRDefault="005842C9">
      <w:r w:rsidRPr="004D2D0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9EEABA" w14:textId="77777777" w:rsidR="005842C9" w:rsidRPr="004D2D08" w:rsidRDefault="005842C9">
      <w:r w:rsidRPr="004D2D08">
        <w:separator/>
      </w:r>
    </w:p>
  </w:footnote>
  <w:footnote w:type="continuationSeparator" w:id="0">
    <w:p w14:paraId="72C96C26" w14:textId="77777777" w:rsidR="005842C9" w:rsidRPr="004D2D08" w:rsidRDefault="005842C9">
      <w:r w:rsidRPr="004D2D08">
        <w:continuationSeparator/>
      </w:r>
    </w:p>
  </w:footnote>
  <w:footnote w:id="1">
    <w:p w14:paraId="0DCC7F13" w14:textId="11B943D3" w:rsidR="008E545D" w:rsidRPr="004D2D08" w:rsidRDefault="008E545D" w:rsidP="004D2D08">
      <w:pPr>
        <w:pStyle w:val="FootnoteText"/>
        <w:ind w:left="567" w:hanging="567"/>
        <w:rPr>
          <w:sz w:val="24"/>
          <w:lang w:val="lt-LT"/>
        </w:rPr>
      </w:pPr>
      <w:r w:rsidRPr="004D2D08">
        <w:rPr>
          <w:rStyle w:val="FootnoteReference"/>
          <w:sz w:val="24"/>
          <w:lang w:val="lt-LT"/>
        </w:rPr>
        <w:footnoteRef/>
      </w:r>
      <w:r w:rsidR="004D2D08" w:rsidRPr="004D2D08">
        <w:rPr>
          <w:sz w:val="24"/>
          <w:lang w:val="lt-LT"/>
        </w:rPr>
        <w:t xml:space="preserve"> </w:t>
      </w:r>
      <w:r w:rsidR="004D2D08" w:rsidRPr="004D2D08">
        <w:rPr>
          <w:sz w:val="24"/>
          <w:lang w:val="lt-LT"/>
        </w:rPr>
        <w:tab/>
      </w:r>
      <w:r w:rsidRPr="004D2D08">
        <w:rPr>
          <w:sz w:val="24"/>
          <w:lang w:val="lt-LT"/>
        </w:rPr>
        <w:t xml:space="preserve">OL C, C/2025/1035, 2025 2 27, ELI: </w:t>
      </w:r>
      <w:hyperlink r:id="rId1" w:history="1">
        <w:r w:rsidRPr="004D2D08">
          <w:rPr>
            <w:rStyle w:val="Hyperlink"/>
            <w:sz w:val="24"/>
            <w:lang w:val="lt-LT"/>
          </w:rPr>
          <w:t>http://data.europa.eu/eli/C/2025/1035/oj</w:t>
        </w:r>
      </w:hyperlink>
      <w:r w:rsidRPr="004D2D08">
        <w:rPr>
          <w:sz w:val="24"/>
          <w:lang w:val="lt-LT"/>
        </w:rPr>
        <w:t>.</w:t>
      </w:r>
    </w:p>
  </w:footnote>
  <w:footnote w:id="2">
    <w:p w14:paraId="7933AA34" w14:textId="3DDF362B" w:rsidR="008E545D" w:rsidRPr="004D2D08" w:rsidRDefault="008E545D" w:rsidP="004D2D08">
      <w:pPr>
        <w:pStyle w:val="FootnoteText"/>
        <w:ind w:left="567" w:hanging="567"/>
        <w:rPr>
          <w:sz w:val="24"/>
          <w:lang w:val="lt-LT"/>
        </w:rPr>
      </w:pPr>
      <w:r w:rsidRPr="004D2D08">
        <w:rPr>
          <w:rStyle w:val="FootnoteReference"/>
          <w:sz w:val="24"/>
          <w:lang w:val="lt-LT"/>
        </w:rPr>
        <w:footnoteRef/>
      </w:r>
      <w:r w:rsidR="004D2D08" w:rsidRPr="004D2D08">
        <w:rPr>
          <w:sz w:val="24"/>
          <w:lang w:val="lt-LT"/>
        </w:rPr>
        <w:t xml:space="preserve"> </w:t>
      </w:r>
      <w:r w:rsidR="004D2D08" w:rsidRPr="004D2D08">
        <w:rPr>
          <w:sz w:val="24"/>
          <w:lang w:val="lt-LT"/>
        </w:rPr>
        <w:tab/>
      </w:r>
      <w:r w:rsidRPr="004D2D08">
        <w:rPr>
          <w:sz w:val="24"/>
          <w:lang w:val="lt-LT"/>
        </w:rPr>
        <w:t xml:space="preserve">OL L, 2024/3015, 2024 12 12, ELI: </w:t>
      </w:r>
      <w:hyperlink r:id="rId2" w:history="1">
        <w:r w:rsidRPr="004D2D08">
          <w:rPr>
            <w:rStyle w:val="Hyperlink"/>
            <w:sz w:val="24"/>
            <w:lang w:val="lt-LT"/>
          </w:rPr>
          <w:t>http://data.europa.eu/eli/reg/2024/3015/oj</w:t>
        </w:r>
      </w:hyperlink>
      <w:r w:rsidRPr="004D2D08">
        <w:rPr>
          <w:sz w:val="24"/>
          <w:lang w:val="lt-LT"/>
        </w:rPr>
        <w:t>.</w:t>
      </w:r>
    </w:p>
  </w:footnote>
  <w:footnote w:id="3">
    <w:p w14:paraId="4E1596D5" w14:textId="294893C7" w:rsidR="008E545D" w:rsidRPr="004D2D08" w:rsidRDefault="008E545D" w:rsidP="004D2D08">
      <w:pPr>
        <w:pStyle w:val="FootnoteText"/>
        <w:ind w:left="567" w:hanging="567"/>
        <w:rPr>
          <w:sz w:val="24"/>
          <w:lang w:val="lt-LT"/>
        </w:rPr>
      </w:pPr>
      <w:r w:rsidRPr="004D2D08">
        <w:rPr>
          <w:rStyle w:val="FootnoteReference"/>
          <w:sz w:val="24"/>
          <w:lang w:val="lt-LT"/>
        </w:rPr>
        <w:footnoteRef/>
      </w:r>
      <w:r w:rsidR="004D2D08" w:rsidRPr="004D2D08">
        <w:rPr>
          <w:sz w:val="24"/>
          <w:lang w:val="lt-LT"/>
        </w:rPr>
        <w:t xml:space="preserve"> </w:t>
      </w:r>
      <w:r w:rsidR="004D2D08" w:rsidRPr="004D2D08">
        <w:rPr>
          <w:sz w:val="24"/>
          <w:lang w:val="lt-LT"/>
        </w:rPr>
        <w:tab/>
      </w:r>
      <w:r w:rsidRPr="004D2D08">
        <w:rPr>
          <w:sz w:val="24"/>
          <w:lang w:val="lt-LT"/>
        </w:rPr>
        <w:t>OL L, 2024/1760, 2024 </w:t>
      </w:r>
      <w:r w:rsidR="00C35BE4">
        <w:rPr>
          <w:sz w:val="24"/>
          <w:lang w:val="lt-LT"/>
        </w:rPr>
        <w:t>7</w:t>
      </w:r>
      <w:r w:rsidRPr="004D2D08">
        <w:rPr>
          <w:sz w:val="24"/>
          <w:lang w:val="lt-LT"/>
        </w:rPr>
        <w:t> </w:t>
      </w:r>
      <w:r w:rsidR="00C35BE4">
        <w:rPr>
          <w:sz w:val="24"/>
          <w:lang w:val="lt-LT"/>
        </w:rPr>
        <w:t>5</w:t>
      </w:r>
      <w:r w:rsidRPr="004D2D08">
        <w:rPr>
          <w:sz w:val="24"/>
          <w:lang w:val="lt-LT"/>
        </w:rPr>
        <w:t xml:space="preserve">, ELI: </w:t>
      </w:r>
      <w:hyperlink r:id="rId3" w:history="1">
        <w:r w:rsidRPr="004D2D08">
          <w:rPr>
            <w:rStyle w:val="Hyperlink"/>
            <w:sz w:val="24"/>
            <w:lang w:val="lt-LT"/>
          </w:rPr>
          <w:t>http://data.europa.eu/eli/dir/2024/1760/oj</w:t>
        </w:r>
      </w:hyperlink>
      <w:r w:rsidRPr="004D2D08">
        <w:rPr>
          <w:sz w:val="24"/>
          <w:lang w:val="lt-LT"/>
        </w:rPr>
        <w:t>.</w:t>
      </w:r>
    </w:p>
  </w:footnote>
  <w:footnote w:id="4">
    <w:p w14:paraId="2D4852A8" w14:textId="46C92454" w:rsidR="008E545D" w:rsidRPr="004D2D08" w:rsidRDefault="008E545D" w:rsidP="004D2D08">
      <w:pPr>
        <w:pStyle w:val="FootnoteText"/>
        <w:ind w:left="567" w:hanging="567"/>
        <w:rPr>
          <w:sz w:val="24"/>
          <w:lang w:val="lt-LT"/>
        </w:rPr>
      </w:pPr>
      <w:r w:rsidRPr="004D2D08">
        <w:rPr>
          <w:rStyle w:val="FootnoteReference"/>
          <w:sz w:val="24"/>
          <w:lang w:val="lt-LT"/>
        </w:rPr>
        <w:footnoteRef/>
      </w:r>
      <w:r w:rsidR="004D2D08" w:rsidRPr="004D2D08">
        <w:rPr>
          <w:sz w:val="24"/>
          <w:lang w:val="lt-LT"/>
        </w:rPr>
        <w:t xml:space="preserve"> </w:t>
      </w:r>
      <w:r w:rsidR="004D2D08" w:rsidRPr="004D2D08">
        <w:rPr>
          <w:sz w:val="24"/>
          <w:lang w:val="lt-LT"/>
        </w:rPr>
        <w:tab/>
      </w:r>
      <w:r w:rsidRPr="004D2D08">
        <w:rPr>
          <w:sz w:val="24"/>
          <w:lang w:val="lt-LT"/>
        </w:rPr>
        <w:t>E. </w:t>
      </w:r>
      <w:proofErr w:type="spellStart"/>
      <w:r w:rsidRPr="004D2D08">
        <w:rPr>
          <w:sz w:val="24"/>
          <w:lang w:val="lt-LT"/>
        </w:rPr>
        <w:t>Lettos</w:t>
      </w:r>
      <w:proofErr w:type="spellEnd"/>
      <w:r w:rsidRPr="004D2D08">
        <w:rPr>
          <w:sz w:val="24"/>
          <w:lang w:val="lt-LT"/>
        </w:rPr>
        <w:t xml:space="preserve"> ataskaita „</w:t>
      </w:r>
      <w:hyperlink r:id="rId4" w:history="1">
        <w:r w:rsidRPr="004D2D08">
          <w:rPr>
            <w:rStyle w:val="Hyperlink"/>
            <w:sz w:val="24"/>
            <w:lang w:val="lt-LT"/>
          </w:rPr>
          <w:t>Daug daugiau nei rinka.</w:t>
        </w:r>
      </w:hyperlink>
      <w:hyperlink r:id="rId5" w:history="1">
        <w:r w:rsidRPr="004D2D08">
          <w:rPr>
            <w:rStyle w:val="Hyperlink"/>
            <w:sz w:val="24"/>
            <w:lang w:val="lt-LT"/>
          </w:rPr>
          <w:t xml:space="preserve"> Sparta, saugumas ir solidarumas – bendrosios rinkos įgalinimas siekiant tvarios ateities ir klestėjimo visiems ES piliečiams</w:t>
        </w:r>
      </w:hyperlink>
      <w:r w:rsidRPr="004D2D08">
        <w:rPr>
          <w:sz w:val="24"/>
          <w:lang w:val="lt-LT"/>
        </w:rPr>
        <w:t>“, 2024 m. balandžio mėn.</w:t>
      </w:r>
    </w:p>
  </w:footnote>
  <w:footnote w:id="5">
    <w:p w14:paraId="4A97B260" w14:textId="26C4A7E6" w:rsidR="008E545D" w:rsidRPr="004D2D08" w:rsidRDefault="008E545D" w:rsidP="004D2D08">
      <w:pPr>
        <w:pStyle w:val="FootnoteText"/>
        <w:ind w:left="567" w:hanging="567"/>
        <w:rPr>
          <w:sz w:val="24"/>
          <w:lang w:val="lt-LT"/>
        </w:rPr>
      </w:pPr>
      <w:r w:rsidRPr="004D2D08">
        <w:rPr>
          <w:rStyle w:val="FootnoteReference"/>
          <w:sz w:val="24"/>
          <w:lang w:val="lt-LT"/>
        </w:rPr>
        <w:footnoteRef/>
      </w:r>
      <w:r w:rsidR="004D2D08" w:rsidRPr="004D2D08">
        <w:rPr>
          <w:sz w:val="24"/>
          <w:lang w:val="lt-LT"/>
        </w:rPr>
        <w:t xml:space="preserve"> </w:t>
      </w:r>
      <w:r w:rsidR="004D2D08" w:rsidRPr="004D2D08">
        <w:rPr>
          <w:sz w:val="24"/>
          <w:lang w:val="lt-LT"/>
        </w:rPr>
        <w:tab/>
      </w:r>
      <w:r w:rsidRPr="004D2D08">
        <w:rPr>
          <w:sz w:val="24"/>
          <w:lang w:val="lt-LT"/>
        </w:rPr>
        <w:t>OL L 277, 2022 10 27, p. </w:t>
      </w:r>
      <w:r w:rsidRPr="004D2D08">
        <w:rPr>
          <w:sz w:val="24"/>
          <w:lang w:val="lt-LT"/>
        </w:rPr>
        <w:t>1, ELI: </w:t>
      </w:r>
      <w:hyperlink r:id="rId6" w:tooltip="Prieiga prie dokumento suteikiama per ELI URI." w:history="1">
        <w:r w:rsidRPr="004D2D08">
          <w:rPr>
            <w:rStyle w:val="Hyperlink"/>
            <w:sz w:val="24"/>
            <w:lang w:val="lt-LT"/>
          </w:rPr>
          <w:t>http://data.europa.eu/eli/reg/2022/2065/oj</w:t>
        </w:r>
      </w:hyperlink>
      <w:r w:rsidRPr="004D2D08">
        <w:rPr>
          <w:sz w:val="24"/>
          <w:lang w:val="lt-LT"/>
        </w:rPr>
        <w:t>.</w:t>
      </w:r>
    </w:p>
  </w:footnote>
  <w:footnote w:id="6">
    <w:p w14:paraId="38A2E152" w14:textId="394F6883" w:rsidR="008E545D" w:rsidRPr="004D2D08" w:rsidRDefault="008E545D" w:rsidP="004D2D08">
      <w:pPr>
        <w:pStyle w:val="FootnoteText"/>
        <w:ind w:left="567" w:hanging="567"/>
        <w:rPr>
          <w:sz w:val="24"/>
          <w:lang w:val="lt-LT"/>
        </w:rPr>
      </w:pPr>
      <w:r w:rsidRPr="004D2D08">
        <w:rPr>
          <w:rStyle w:val="FootnoteReference"/>
          <w:sz w:val="24"/>
          <w:lang w:val="lt-LT"/>
        </w:rPr>
        <w:footnoteRef/>
      </w:r>
      <w:r w:rsidR="004D2D08" w:rsidRPr="004D2D08">
        <w:rPr>
          <w:sz w:val="24"/>
          <w:lang w:val="lt-LT"/>
        </w:rPr>
        <w:t xml:space="preserve"> </w:t>
      </w:r>
      <w:r w:rsidR="004D2D08" w:rsidRPr="004D2D08">
        <w:rPr>
          <w:sz w:val="24"/>
          <w:lang w:val="lt-LT"/>
        </w:rPr>
        <w:tab/>
      </w:r>
      <w:r w:rsidRPr="004D2D08">
        <w:rPr>
          <w:sz w:val="24"/>
          <w:lang w:val="lt-LT"/>
        </w:rPr>
        <w:t>OL L 265, 2022 10 12, p. </w:t>
      </w:r>
      <w:r w:rsidRPr="004D2D08">
        <w:rPr>
          <w:sz w:val="24"/>
          <w:lang w:val="lt-LT"/>
        </w:rPr>
        <w:t>1, ELI: </w:t>
      </w:r>
      <w:hyperlink r:id="rId7" w:tooltip="Prieiga prie dokumento suteikiama per ELI URI." w:history="1">
        <w:r w:rsidRPr="004D2D08">
          <w:rPr>
            <w:rStyle w:val="Hyperlink"/>
            <w:sz w:val="24"/>
            <w:lang w:val="lt-LT"/>
          </w:rPr>
          <w:t>http://data.europa.eu/eli/reg/2022/1925/oj</w:t>
        </w:r>
      </w:hyperlink>
      <w:r w:rsidRPr="004D2D08">
        <w:rPr>
          <w:sz w:val="24"/>
          <w:lang w:val="lt-LT"/>
        </w:rPr>
        <w:t>.</w:t>
      </w:r>
    </w:p>
  </w:footnote>
  <w:footnote w:id="7">
    <w:p w14:paraId="5BAAD576" w14:textId="7DE554CC" w:rsidR="008E545D" w:rsidRPr="004D2D08" w:rsidRDefault="008E545D" w:rsidP="004D2D08">
      <w:pPr>
        <w:pStyle w:val="FootnoteText"/>
        <w:ind w:left="567" w:hanging="567"/>
        <w:rPr>
          <w:sz w:val="24"/>
          <w:lang w:val="lt-LT"/>
        </w:rPr>
      </w:pPr>
      <w:r w:rsidRPr="004D2D08">
        <w:rPr>
          <w:rStyle w:val="FootnoteReference"/>
          <w:sz w:val="24"/>
          <w:lang w:val="lt-LT"/>
        </w:rPr>
        <w:footnoteRef/>
      </w:r>
      <w:r w:rsidR="004D2D08" w:rsidRPr="004D2D08">
        <w:rPr>
          <w:sz w:val="24"/>
          <w:lang w:val="lt-LT"/>
        </w:rPr>
        <w:t xml:space="preserve"> </w:t>
      </w:r>
      <w:r w:rsidR="004D2D08" w:rsidRPr="004D2D08">
        <w:rPr>
          <w:sz w:val="24"/>
          <w:lang w:val="lt-LT"/>
        </w:rPr>
        <w:tab/>
      </w:r>
      <w:r w:rsidRPr="004D2D08">
        <w:rPr>
          <w:sz w:val="24"/>
          <w:lang w:val="lt-LT"/>
        </w:rPr>
        <w:t>OL L 135, 2023 5 23, p. </w:t>
      </w:r>
      <w:r w:rsidRPr="004D2D08">
        <w:rPr>
          <w:sz w:val="24"/>
          <w:lang w:val="lt-LT"/>
        </w:rPr>
        <w:t>1, ELI: </w:t>
      </w:r>
      <w:hyperlink r:id="rId8" w:tooltip="Prieiga prie dokumento suteikiama per ELI URI." w:history="1">
        <w:r w:rsidRPr="004D2D08">
          <w:rPr>
            <w:rStyle w:val="Hyperlink"/>
            <w:sz w:val="24"/>
            <w:lang w:val="lt-LT"/>
          </w:rPr>
          <w:t>http://data.europa.eu/eli/reg/2023/988/oj</w:t>
        </w:r>
      </w:hyperlink>
      <w:r w:rsidRPr="004D2D08">
        <w:rPr>
          <w:sz w:val="24"/>
          <w:lang w:val="lt-LT"/>
        </w:rPr>
        <w:t>.</w:t>
      </w:r>
    </w:p>
  </w:footnote>
  <w:footnote w:id="8">
    <w:p w14:paraId="43CC056E" w14:textId="42505367" w:rsidR="008E545D" w:rsidRPr="004D2D08" w:rsidRDefault="008E545D" w:rsidP="004D2D08">
      <w:pPr>
        <w:pStyle w:val="FootnoteText"/>
        <w:ind w:left="567" w:hanging="567"/>
        <w:rPr>
          <w:sz w:val="24"/>
          <w:lang w:val="lt-LT"/>
        </w:rPr>
      </w:pPr>
      <w:r w:rsidRPr="004D2D08">
        <w:rPr>
          <w:rStyle w:val="FootnoteReference"/>
          <w:sz w:val="24"/>
          <w:lang w:val="lt-LT"/>
        </w:rPr>
        <w:footnoteRef/>
      </w:r>
      <w:r w:rsidR="004D2D08" w:rsidRPr="004D2D08">
        <w:rPr>
          <w:sz w:val="24"/>
          <w:lang w:val="lt-LT"/>
        </w:rPr>
        <w:t xml:space="preserve"> </w:t>
      </w:r>
      <w:r w:rsidR="004D2D08" w:rsidRPr="004D2D08">
        <w:rPr>
          <w:sz w:val="24"/>
          <w:lang w:val="lt-LT"/>
        </w:rPr>
        <w:tab/>
      </w:r>
      <w:r w:rsidRPr="004D2D08">
        <w:rPr>
          <w:sz w:val="24"/>
          <w:lang w:val="lt-LT"/>
        </w:rPr>
        <w:t>OL L 169, 2019 6 25, p. </w:t>
      </w:r>
      <w:r w:rsidRPr="004D2D08">
        <w:rPr>
          <w:sz w:val="24"/>
          <w:lang w:val="lt-LT"/>
        </w:rPr>
        <w:t>1, ELI: </w:t>
      </w:r>
      <w:hyperlink r:id="rId9" w:tooltip="Prieiga prie dokumento suteikiama per ELI URI." w:history="1">
        <w:r w:rsidRPr="004D2D08">
          <w:rPr>
            <w:rStyle w:val="Hyperlink"/>
            <w:sz w:val="24"/>
            <w:lang w:val="lt-LT"/>
          </w:rPr>
          <w:t>http://data.europa.eu/eli/reg/2019/1020/oj</w:t>
        </w:r>
      </w:hyperlink>
      <w:r w:rsidRPr="004D2D08">
        <w:rPr>
          <w:sz w:val="24"/>
          <w:lang w:val="lt-LT"/>
        </w:rPr>
        <w:t>.</w:t>
      </w:r>
    </w:p>
  </w:footnote>
  <w:footnote w:id="9">
    <w:p w14:paraId="04F92694" w14:textId="73297E88" w:rsidR="008E545D" w:rsidRPr="004D2D08" w:rsidRDefault="008E545D" w:rsidP="004D2D08">
      <w:pPr>
        <w:pStyle w:val="FootnoteText"/>
        <w:ind w:left="567" w:hanging="567"/>
        <w:rPr>
          <w:sz w:val="24"/>
          <w:lang w:val="lt-LT"/>
        </w:rPr>
      </w:pPr>
      <w:r w:rsidRPr="004D2D08">
        <w:rPr>
          <w:rStyle w:val="FootnoteReference"/>
          <w:sz w:val="24"/>
          <w:lang w:val="lt-LT"/>
        </w:rPr>
        <w:footnoteRef/>
      </w:r>
      <w:r w:rsidR="004D2D08" w:rsidRPr="004D2D08">
        <w:rPr>
          <w:sz w:val="24"/>
          <w:lang w:val="lt-LT"/>
        </w:rPr>
        <w:t xml:space="preserve"> </w:t>
      </w:r>
      <w:r w:rsidR="004D2D08" w:rsidRPr="004D2D08">
        <w:rPr>
          <w:sz w:val="24"/>
          <w:lang w:val="lt-LT"/>
        </w:rPr>
        <w:tab/>
      </w:r>
      <w:r w:rsidRPr="004D2D08">
        <w:rPr>
          <w:sz w:val="24"/>
          <w:lang w:val="lt-LT"/>
        </w:rPr>
        <w:t>OL L, 2024/2853, 2024 11 18, ELI: </w:t>
      </w:r>
      <w:hyperlink r:id="rId10" w:tgtFrame="_blank" w:tooltip="Prieiga prie dokumento suteikiama per ELI URI." w:history="1">
        <w:r w:rsidRPr="004D2D08">
          <w:rPr>
            <w:rStyle w:val="Hyperlink"/>
            <w:sz w:val="24"/>
            <w:lang w:val="lt-LT"/>
          </w:rPr>
          <w:t>http://data.europa.eu/eli/dir/2024/2853/o</w:t>
        </w:r>
      </w:hyperlink>
      <w:r w:rsidRPr="005D364F">
        <w:rPr>
          <w:rStyle w:val="Hyperlink"/>
          <w:lang w:val="lt-LT"/>
        </w:rPr>
        <w:t>j</w:t>
      </w:r>
      <w:r w:rsidRPr="004D2D08">
        <w:rPr>
          <w:sz w:val="24"/>
          <w:lang w:val="lt-LT"/>
        </w:rPr>
        <w:t>.</w:t>
      </w:r>
    </w:p>
  </w:footnote>
  <w:footnote w:id="10">
    <w:p w14:paraId="6549B888" w14:textId="7ABA380A" w:rsidR="008E545D" w:rsidRPr="004D2D08" w:rsidRDefault="008E545D" w:rsidP="004D2D08">
      <w:pPr>
        <w:pStyle w:val="FootnoteText"/>
        <w:ind w:left="567" w:hanging="567"/>
        <w:rPr>
          <w:sz w:val="24"/>
          <w:lang w:val="lt-LT"/>
        </w:rPr>
      </w:pPr>
      <w:r w:rsidRPr="004D2D08">
        <w:rPr>
          <w:rStyle w:val="FootnoteReference"/>
          <w:sz w:val="24"/>
          <w:lang w:val="lt-LT"/>
        </w:rPr>
        <w:footnoteRef/>
      </w:r>
      <w:r w:rsidR="004D2D08" w:rsidRPr="004D2D08">
        <w:rPr>
          <w:sz w:val="24"/>
          <w:lang w:val="lt-LT"/>
        </w:rPr>
        <w:t xml:space="preserve"> </w:t>
      </w:r>
      <w:r w:rsidR="004D2D08" w:rsidRPr="004D2D08">
        <w:rPr>
          <w:sz w:val="24"/>
          <w:lang w:val="lt-LT"/>
        </w:rPr>
        <w:tab/>
      </w:r>
      <w:r w:rsidRPr="004D2D08">
        <w:rPr>
          <w:sz w:val="24"/>
          <w:lang w:val="lt-LT"/>
        </w:rPr>
        <w:t>2017 m. gruodžio 12 d. Europos Parlamento ir Tarybos reglamentas (ES) 2017/2394 dėl nacionalinių institucijų, atsakingų už vartotojų apsaugos teisės aktų vykdymo užtikrinimą, bendradarbiavimo, kuriuo panaikinamas Reglamentas (EB) Nr. 2006/2004 (OL L 345, 2017 12 27, p. </w:t>
      </w:r>
      <w:r w:rsidRPr="004D2D08">
        <w:rPr>
          <w:sz w:val="24"/>
          <w:lang w:val="lt-LT"/>
        </w:rPr>
        <w:t>1, ELI: </w:t>
      </w:r>
      <w:hyperlink r:id="rId11" w:tooltip="Prieiga prie dokumento suteikiama per ELI URI." w:history="1">
        <w:r w:rsidRPr="004D2D08">
          <w:rPr>
            <w:rStyle w:val="Hyperlink"/>
            <w:sz w:val="24"/>
            <w:lang w:val="lt-LT"/>
          </w:rPr>
          <w:t>http://data.europa.eu/eli/reg/2017/2394/oj</w:t>
        </w:r>
      </w:hyperlink>
      <w:r w:rsidRPr="004D2D08">
        <w:rPr>
          <w:sz w:val="24"/>
          <w:lang w:val="lt-LT"/>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321544885">
    <w:abstractNumId w:val="9"/>
  </w:num>
  <w:num w:numId="2" w16cid:durableId="512040251">
    <w:abstractNumId w:val="9"/>
  </w:num>
  <w:num w:numId="3" w16cid:durableId="1974679100">
    <w:abstractNumId w:val="7"/>
  </w:num>
  <w:num w:numId="4" w16cid:durableId="175266880">
    <w:abstractNumId w:val="7"/>
  </w:num>
  <w:num w:numId="5" w16cid:durableId="447700055">
    <w:abstractNumId w:val="6"/>
  </w:num>
  <w:num w:numId="6" w16cid:durableId="688919136">
    <w:abstractNumId w:val="6"/>
  </w:num>
  <w:num w:numId="7" w16cid:durableId="133260834">
    <w:abstractNumId w:val="5"/>
  </w:num>
  <w:num w:numId="8" w16cid:durableId="1888758573">
    <w:abstractNumId w:val="5"/>
  </w:num>
  <w:num w:numId="9" w16cid:durableId="1831870396">
    <w:abstractNumId w:val="4"/>
  </w:num>
  <w:num w:numId="10" w16cid:durableId="418408903">
    <w:abstractNumId w:val="4"/>
  </w:num>
  <w:num w:numId="11" w16cid:durableId="1352998812">
    <w:abstractNumId w:val="8"/>
  </w:num>
  <w:num w:numId="12" w16cid:durableId="251547791">
    <w:abstractNumId w:val="8"/>
  </w:num>
  <w:num w:numId="13" w16cid:durableId="1642344642">
    <w:abstractNumId w:val="3"/>
  </w:num>
  <w:num w:numId="14" w16cid:durableId="1791780883">
    <w:abstractNumId w:val="3"/>
  </w:num>
  <w:num w:numId="15" w16cid:durableId="69083699">
    <w:abstractNumId w:val="2"/>
  </w:num>
  <w:num w:numId="16" w16cid:durableId="1098141046">
    <w:abstractNumId w:val="2"/>
  </w:num>
  <w:num w:numId="17" w16cid:durableId="316225049">
    <w:abstractNumId w:val="1"/>
  </w:num>
  <w:num w:numId="18" w16cid:durableId="1717466683">
    <w:abstractNumId w:val="1"/>
  </w:num>
  <w:num w:numId="19" w16cid:durableId="1901941995">
    <w:abstractNumId w:val="0"/>
  </w:num>
  <w:num w:numId="20" w16cid:durableId="1124617483">
    <w:abstractNumId w:val="0"/>
  </w:num>
  <w:num w:numId="21" w16cid:durableId="1936866183">
    <w:abstractNumId w:val="9"/>
  </w:num>
  <w:num w:numId="22" w16cid:durableId="914431911">
    <w:abstractNumId w:val="7"/>
  </w:num>
  <w:num w:numId="23" w16cid:durableId="1427195155">
    <w:abstractNumId w:val="6"/>
  </w:num>
  <w:num w:numId="24" w16cid:durableId="766464645">
    <w:abstractNumId w:val="5"/>
  </w:num>
  <w:num w:numId="25" w16cid:durableId="800340205">
    <w:abstractNumId w:val="4"/>
  </w:num>
  <w:num w:numId="26" w16cid:durableId="979573647">
    <w:abstractNumId w:val="8"/>
  </w:num>
  <w:num w:numId="27" w16cid:durableId="2033601764">
    <w:abstractNumId w:val="3"/>
  </w:num>
  <w:num w:numId="28" w16cid:durableId="1374112306">
    <w:abstractNumId w:val="2"/>
  </w:num>
  <w:num w:numId="29" w16cid:durableId="707342238">
    <w:abstractNumId w:val="1"/>
  </w:num>
  <w:num w:numId="30" w16cid:durableId="1174761565">
    <w:abstractNumId w:val="0"/>
  </w:num>
  <w:num w:numId="31" w16cid:durableId="310063339">
    <w:abstractNumId w:val="9"/>
  </w:num>
  <w:num w:numId="32" w16cid:durableId="1274706824">
    <w:abstractNumId w:val="7"/>
  </w:num>
  <w:num w:numId="33" w16cid:durableId="1436169664">
    <w:abstractNumId w:val="6"/>
  </w:num>
  <w:num w:numId="34" w16cid:durableId="694622043">
    <w:abstractNumId w:val="5"/>
  </w:num>
  <w:num w:numId="35" w16cid:durableId="921528951">
    <w:abstractNumId w:val="4"/>
  </w:num>
  <w:num w:numId="36" w16cid:durableId="1003312930">
    <w:abstractNumId w:val="8"/>
  </w:num>
  <w:num w:numId="37" w16cid:durableId="842743391">
    <w:abstractNumId w:val="3"/>
  </w:num>
  <w:num w:numId="38" w16cid:durableId="1256093814">
    <w:abstractNumId w:val="2"/>
  </w:num>
  <w:num w:numId="39" w16cid:durableId="112604056">
    <w:abstractNumId w:val="1"/>
  </w:num>
  <w:num w:numId="40" w16cid:durableId="1704556813">
    <w:abstractNumId w:val="0"/>
  </w:num>
  <w:num w:numId="41" w16cid:durableId="1340042779">
    <w:abstractNumId w:val="10"/>
  </w:num>
  <w:num w:numId="42" w16cid:durableId="1344631702">
    <w:abstractNumId w:val="10"/>
  </w:num>
  <w:num w:numId="43" w16cid:durableId="178349882">
    <w:abstractNumId w:val="10"/>
  </w:num>
  <w:num w:numId="44" w16cid:durableId="106568841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4"/>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savePreviewPicture/>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500/2025"/>
    <w:docVar w:name="dvlangue" w:val="LT"/>
    <w:docVar w:name="dvnumam" w:val="0"/>
    <w:docVar w:name="dvpe" w:val="778.971"/>
    <w:docVar w:name="dvtitre" w:val="2025 m. lapkricio 26 d. Europos Parlamento rezoliucija ES vartotojų apsauga nuo tam tikrose e. prekybos platformose taikomos praktikos: vaiko pavidalo sekso lėlių, ginklų ir kitų neteisėtų produktų ir medžiagos atvejis(2025/2971(RSP))"/>
  </w:docVars>
  <w:rsids>
    <w:rsidRoot w:val="005842C9"/>
    <w:rsid w:val="00002272"/>
    <w:rsid w:val="00013FAF"/>
    <w:rsid w:val="00064002"/>
    <w:rsid w:val="000677B9"/>
    <w:rsid w:val="000831BA"/>
    <w:rsid w:val="000A42CC"/>
    <w:rsid w:val="000B7C0F"/>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4D2D08"/>
    <w:rsid w:val="0050519A"/>
    <w:rsid w:val="005072A1"/>
    <w:rsid w:val="00514517"/>
    <w:rsid w:val="00545827"/>
    <w:rsid w:val="00554245"/>
    <w:rsid w:val="00560270"/>
    <w:rsid w:val="00565698"/>
    <w:rsid w:val="005842C9"/>
    <w:rsid w:val="005C2568"/>
    <w:rsid w:val="005D364F"/>
    <w:rsid w:val="005F1B17"/>
    <w:rsid w:val="006037C0"/>
    <w:rsid w:val="006631B6"/>
    <w:rsid w:val="00680577"/>
    <w:rsid w:val="006F74FA"/>
    <w:rsid w:val="00731ADD"/>
    <w:rsid w:val="00734777"/>
    <w:rsid w:val="00747932"/>
    <w:rsid w:val="00751A4A"/>
    <w:rsid w:val="00756632"/>
    <w:rsid w:val="00762C74"/>
    <w:rsid w:val="00786EC0"/>
    <w:rsid w:val="007A1AC6"/>
    <w:rsid w:val="007B7823"/>
    <w:rsid w:val="007D1690"/>
    <w:rsid w:val="007E22AD"/>
    <w:rsid w:val="00811686"/>
    <w:rsid w:val="00817416"/>
    <w:rsid w:val="00842779"/>
    <w:rsid w:val="00865F67"/>
    <w:rsid w:val="00881A7B"/>
    <w:rsid w:val="008840E5"/>
    <w:rsid w:val="00887B3E"/>
    <w:rsid w:val="008C2AC6"/>
    <w:rsid w:val="008E545D"/>
    <w:rsid w:val="008F39C0"/>
    <w:rsid w:val="00930C23"/>
    <w:rsid w:val="0093193B"/>
    <w:rsid w:val="009509D8"/>
    <w:rsid w:val="00950B64"/>
    <w:rsid w:val="00981893"/>
    <w:rsid w:val="00A1687D"/>
    <w:rsid w:val="00A43E52"/>
    <w:rsid w:val="00A4678D"/>
    <w:rsid w:val="00A778C7"/>
    <w:rsid w:val="00A856E4"/>
    <w:rsid w:val="00A97204"/>
    <w:rsid w:val="00AB441E"/>
    <w:rsid w:val="00AB6293"/>
    <w:rsid w:val="00AE0928"/>
    <w:rsid w:val="00AF3B82"/>
    <w:rsid w:val="00B12E95"/>
    <w:rsid w:val="00B22876"/>
    <w:rsid w:val="00B558F0"/>
    <w:rsid w:val="00B62ABF"/>
    <w:rsid w:val="00B64AB0"/>
    <w:rsid w:val="00BD48FE"/>
    <w:rsid w:val="00BD7BD8"/>
    <w:rsid w:val="00BE6ADC"/>
    <w:rsid w:val="00C05BFE"/>
    <w:rsid w:val="00C23CD4"/>
    <w:rsid w:val="00C27DD1"/>
    <w:rsid w:val="00C35BE4"/>
    <w:rsid w:val="00C61C0C"/>
    <w:rsid w:val="00C941CB"/>
    <w:rsid w:val="00CC2357"/>
    <w:rsid w:val="00CD6707"/>
    <w:rsid w:val="00CF071A"/>
    <w:rsid w:val="00D058B8"/>
    <w:rsid w:val="00D56C11"/>
    <w:rsid w:val="00D834A0"/>
    <w:rsid w:val="00D872DF"/>
    <w:rsid w:val="00D91E21"/>
    <w:rsid w:val="00D96AC0"/>
    <w:rsid w:val="00DA7FCD"/>
    <w:rsid w:val="00E365E1"/>
    <w:rsid w:val="00E457F1"/>
    <w:rsid w:val="00E820A4"/>
    <w:rsid w:val="00EB006A"/>
    <w:rsid w:val="00EB4772"/>
    <w:rsid w:val="00ED169E"/>
    <w:rsid w:val="00ED4235"/>
    <w:rsid w:val="00EF6AED"/>
    <w:rsid w:val="00F04346"/>
    <w:rsid w:val="00F075DC"/>
    <w:rsid w:val="00F149E9"/>
    <w:rsid w:val="00F47F0E"/>
    <w:rsid w:val="00F5134D"/>
    <w:rsid w:val="00F74202"/>
    <w:rsid w:val="00F87713"/>
    <w:rsid w:val="00FB4360"/>
    <w:rsid w:val="00FB44A4"/>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4164F11"/>
  <w15:chartTrackingRefBased/>
  <w15:docId w15:val="{F347ABBB-3C58-4A64-A502-2B5FCC85A5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footnote reference" w:uiPriority="99"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4_G,Footnote,text,Footnotes refss,Footnote number,Fago Fußnotenzeichen,Footnote Ref,16 Point,Superscript 6 Point,Fago Fu?notenzeichen,Fago Fuﬂnotenzeichen,ftref,a Footnote Reference,FZ,Appel note de bas de page,Ref FNs Char,[0],[,Ref"/>
    <w:link w:val="ENFootnoteReference"/>
    <w:uiPriority w:val="99"/>
    <w:qFormat/>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8E545D"/>
    <w:pPr>
      <w:spacing w:before="480" w:after="240"/>
    </w:pPr>
  </w:style>
  <w:style w:type="paragraph" w:customStyle="1" w:styleId="NormalHanging12a">
    <w:name w:val="NormalHanging12a"/>
    <w:basedOn w:val="Normal"/>
    <w:link w:val="NormalHanging12aChar"/>
    <w:rsid w:val="008E545D"/>
    <w:pPr>
      <w:spacing w:after="240"/>
      <w:ind w:left="567" w:hanging="567"/>
    </w:pPr>
  </w:style>
  <w:style w:type="character" w:styleId="Hyperlink">
    <w:name w:val="Hyperlink"/>
    <w:basedOn w:val="DefaultParagraphFont"/>
    <w:unhideWhenUsed/>
    <w:rsid w:val="008E545D"/>
    <w:rPr>
      <w:color w:val="0563C1" w:themeColor="hyperlink"/>
      <w:u w:val="single"/>
    </w:rPr>
  </w:style>
  <w:style w:type="character" w:customStyle="1" w:styleId="NormalHanging12aChar">
    <w:name w:val="NormalHanging12a Char"/>
    <w:basedOn w:val="DefaultParagraphFont"/>
    <w:link w:val="NormalHanging12a"/>
    <w:rsid w:val="008E545D"/>
    <w:rPr>
      <w:sz w:val="24"/>
      <w:lang w:val="lt-LT"/>
    </w:rPr>
  </w:style>
  <w:style w:type="paragraph" w:customStyle="1" w:styleId="ENFootnoteReference">
    <w:name w:val="EN Footnote Reference"/>
    <w:aliases w:val="-E Fußnotenzeichen,number,SUPERS,BVI fnr תו Char Char Char,BVI fnr Car Car תו Char Char Char,BVI fnr Car תו Char Char Char,BVI fn"/>
    <w:basedOn w:val="Normal"/>
    <w:link w:val="FootnoteReference"/>
    <w:uiPriority w:val="99"/>
    <w:rsid w:val="008E545D"/>
    <w:pPr>
      <w:widowControl/>
      <w:spacing w:after="160" w:line="240" w:lineRule="exact"/>
    </w:pPr>
    <w:rPr>
      <w:sz w:val="20"/>
      <w:vertAlign w:val="superscript"/>
      <w:lang w:val="en-GB"/>
    </w:rPr>
  </w:style>
  <w:style w:type="paragraph" w:styleId="Revision">
    <w:name w:val="Revision"/>
    <w:hidden/>
    <w:uiPriority w:val="99"/>
    <w:semiHidden/>
    <w:rsid w:val="00B62ABF"/>
    <w:rPr>
      <w:sz w:val="24"/>
      <w:lang w:val="lt-LT"/>
    </w:rPr>
  </w:style>
  <w:style w:type="character" w:styleId="FollowedHyperlink">
    <w:name w:val="FollowedHyperlink"/>
    <w:basedOn w:val="DefaultParagraphFont"/>
    <w:rsid w:val="00C35BE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18146129">
      <w:bodyDiv w:val="1"/>
      <w:marLeft w:val="0"/>
      <w:marRight w:val="0"/>
      <w:marTop w:val="0"/>
      <w:marBottom w:val="0"/>
      <w:divBdr>
        <w:top w:val="none" w:sz="0" w:space="0" w:color="auto"/>
        <w:left w:val="none" w:sz="0" w:space="0" w:color="auto"/>
        <w:bottom w:val="none" w:sz="0" w:space="0" w:color="auto"/>
        <w:right w:val="none" w:sz="0" w:space="0" w:color="auto"/>
      </w:divBdr>
    </w:div>
    <w:div w:id="12274545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23/988/oj" TargetMode="External"/><Relationship Id="rId3" Type="http://schemas.openxmlformats.org/officeDocument/2006/relationships/hyperlink" Target="http://data.europa.eu/eli/dir/2024/1760/oj" TargetMode="External"/><Relationship Id="rId7" Type="http://schemas.openxmlformats.org/officeDocument/2006/relationships/hyperlink" Target="http://data.europa.eu/eli/reg/2022/1925/oj" TargetMode="External"/><Relationship Id="rId2" Type="http://schemas.openxmlformats.org/officeDocument/2006/relationships/hyperlink" Target="http://data.europa.eu/eli/reg/2024/3015/oj" TargetMode="External"/><Relationship Id="rId1" Type="http://schemas.openxmlformats.org/officeDocument/2006/relationships/hyperlink" Target="http://data.europa.eu/eli/C/2025/1035/oj" TargetMode="External"/><Relationship Id="rId6" Type="http://schemas.openxmlformats.org/officeDocument/2006/relationships/hyperlink" Target="http://data.europa.eu/eli/reg/2022/2065/oj" TargetMode="External"/><Relationship Id="rId11" Type="http://schemas.openxmlformats.org/officeDocument/2006/relationships/hyperlink" Target="http://data.europa.eu/eli/reg/2017/2394/oj" TargetMode="External"/><Relationship Id="rId5" Type="http://schemas.openxmlformats.org/officeDocument/2006/relationships/hyperlink" Target="https://www.consilium.europa.eu/media/ny3j24sm/much-more-than-a-market-report-by-enrico-letta.pdf" TargetMode="External"/><Relationship Id="rId10" Type="http://schemas.openxmlformats.org/officeDocument/2006/relationships/hyperlink" Target="http://data.europa.eu/eli/dir/2024/2853/oj" TargetMode="External"/><Relationship Id="rId4" Type="http://schemas.openxmlformats.org/officeDocument/2006/relationships/hyperlink" Target="https://www.consilium.europa.eu/media/ny3j24sm/much-more-than-a-market-report-by-enrico-letta.pdf" TargetMode="External"/><Relationship Id="rId9" Type="http://schemas.openxmlformats.org/officeDocument/2006/relationships/hyperlink" Target="http://data.europa.eu/eli/reg/2019/1020/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3107</Words>
  <Characters>21660</Characters>
  <Application>Microsoft Office Word</Application>
  <DocSecurity>0</DocSecurity>
  <Lines>180</Lines>
  <Paragraphs>49</Paragraphs>
  <ScaleCrop>false</ScaleCrop>
  <HeadingPairs>
    <vt:vector size="4" baseType="variant">
      <vt:variant>
        <vt:lpstr>Title</vt:lpstr>
      </vt:variant>
      <vt:variant>
        <vt:i4>1</vt:i4>
      </vt:variant>
      <vt:variant>
        <vt:lpstr>Headings</vt:lpstr>
      </vt:variant>
      <vt:variant>
        <vt:i4>3</vt:i4>
      </vt:variant>
    </vt:vector>
  </HeadingPairs>
  <TitlesOfParts>
    <vt:vector size="4" baseType="lpstr">
      <vt:lpstr>TA</vt:lpstr>
      <vt:lpstr>P10_TA(2025)0000</vt:lpstr>
      <vt:lpstr>    ES vartotojų apsauga nuo tikrose e. prekybos platformose taikomos praktikos: vai</vt:lpstr>
      <vt:lpstr>        2025 m. lapkričio 26 d. Europos Parlamento rezoliucija ES vartotojų apsauga nuo </vt:lpstr>
    </vt:vector>
  </TitlesOfParts>
  <Company/>
  <LinksUpToDate>false</LinksUpToDate>
  <CharactersWithSpaces>24718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SKEIVYTE Silvija</dc:creator>
  <cp:keywords/>
  <cp:lastModifiedBy>SKEIVYTE Silvija</cp:lastModifiedBy>
  <cp:revision>2</cp:revision>
  <cp:lastPrinted>2004-11-19T15:42:00Z</cp:lastPrinted>
  <dcterms:created xsi:type="dcterms:W3CDTF">2025-11-26T13:53:00Z</dcterms:created>
  <dcterms:modified xsi:type="dcterms:W3CDTF">2025-11-26T13:53:00Z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B10-0500/2025</vt:lpwstr>
  </property>
  <property fmtid="{D5CDD505-2E9C-101B-9397-08002B2CF9AE}" pid="4" name="&lt;Type&gt;">
    <vt:lpwstr>RR</vt:lpwstr>
  </property>
</Properties>
</file>