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02C9" w14:paraId="46A1F2D6" w14:textId="77777777" w:rsidTr="0010095E">
        <w:trPr>
          <w:trHeight w:hRule="exact" w:val="1418"/>
        </w:trPr>
        <w:tc>
          <w:tcPr>
            <w:tcW w:w="6804" w:type="dxa"/>
            <w:shd w:val="clear" w:color="auto" w:fill="auto"/>
            <w:vAlign w:val="center"/>
          </w:tcPr>
          <w:p w14:paraId="59BEDF75" w14:textId="77777777" w:rsidR="00751A4A" w:rsidRPr="008302C9" w:rsidRDefault="005C0156" w:rsidP="0010095E">
            <w:pPr>
              <w:pStyle w:val="EPName"/>
            </w:pPr>
            <w:r w:rsidRPr="008302C9">
              <w:t>Europees Parlement</w:t>
            </w:r>
          </w:p>
          <w:p w14:paraId="0A8F7741" w14:textId="77777777" w:rsidR="00751A4A" w:rsidRPr="008302C9" w:rsidRDefault="005F1B17" w:rsidP="005F1B17">
            <w:pPr>
              <w:pStyle w:val="EPTerm"/>
              <w:rPr>
                <w:rStyle w:val="HideTWBExt"/>
                <w:noProof w:val="0"/>
                <w:vanish w:val="0"/>
                <w:color w:val="auto"/>
              </w:rPr>
            </w:pPr>
            <w:r w:rsidRPr="008302C9">
              <w:t>2024</w:t>
            </w:r>
            <w:r w:rsidR="00817416" w:rsidRPr="008302C9">
              <w:t>-202</w:t>
            </w:r>
            <w:r w:rsidRPr="008302C9">
              <w:t>9</w:t>
            </w:r>
          </w:p>
        </w:tc>
        <w:tc>
          <w:tcPr>
            <w:tcW w:w="2268" w:type="dxa"/>
            <w:shd w:val="clear" w:color="auto" w:fill="auto"/>
          </w:tcPr>
          <w:p w14:paraId="3CDEB3BB" w14:textId="77777777" w:rsidR="00751A4A" w:rsidRPr="008302C9" w:rsidRDefault="00187494" w:rsidP="0010095E">
            <w:pPr>
              <w:pStyle w:val="EPLogo"/>
            </w:pPr>
            <w:r w:rsidRPr="008302C9">
              <w:rPr>
                <w:noProof/>
                <w:lang w:eastAsia="ja-JP"/>
              </w:rPr>
              <w:drawing>
                <wp:inline distT="0" distB="0" distL="0" distR="0" wp14:anchorId="4EB72718" wp14:editId="6363AF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EDD6C8" w14:textId="77777777" w:rsidR="00D058B8" w:rsidRPr="008302C9" w:rsidRDefault="00D058B8" w:rsidP="004C5D52">
      <w:pPr>
        <w:pStyle w:val="LineTop"/>
      </w:pPr>
    </w:p>
    <w:p w14:paraId="385584BB" w14:textId="77777777" w:rsidR="00680577" w:rsidRPr="008302C9" w:rsidRDefault="005C0156" w:rsidP="00680577">
      <w:pPr>
        <w:pStyle w:val="EPBodyTA1"/>
      </w:pPr>
      <w:r w:rsidRPr="008302C9">
        <w:t>AANGENOMEN TEKSTEN</w:t>
      </w:r>
    </w:p>
    <w:p w14:paraId="43D1DE1D" w14:textId="77777777" w:rsidR="00D058B8" w:rsidRPr="008302C9" w:rsidRDefault="00D058B8" w:rsidP="00D058B8">
      <w:pPr>
        <w:pStyle w:val="LineBottom"/>
      </w:pPr>
    </w:p>
    <w:p w14:paraId="6542D2C1" w14:textId="74FCEA46" w:rsidR="005C0156" w:rsidRPr="008302C9" w:rsidRDefault="005C0156" w:rsidP="005C0156">
      <w:pPr>
        <w:pStyle w:val="ATHeading1"/>
      </w:pPr>
      <w:bookmarkStart w:id="0" w:name="TANumber"/>
      <w:r w:rsidRPr="008302C9">
        <w:t>P10_TA(2025)0</w:t>
      </w:r>
      <w:r w:rsidR="00396123" w:rsidRPr="008302C9">
        <w:t>301</w:t>
      </w:r>
      <w:bookmarkEnd w:id="0"/>
    </w:p>
    <w:p w14:paraId="4F9C163F" w14:textId="77777777" w:rsidR="005C0156" w:rsidRPr="008302C9" w:rsidRDefault="005C0156" w:rsidP="005C0156">
      <w:pPr>
        <w:pStyle w:val="ATHeading2"/>
      </w:pPr>
      <w:bookmarkStart w:id="1" w:name="title"/>
      <w:r w:rsidRPr="008302C9">
        <w:t>Bescherming van EU-consumenten tegen de praktijken van bepaalde e-commerceplatforms: het geval van kindachtige sekspoppen, wapens en andere illegale producten en materialen</w:t>
      </w:r>
      <w:bookmarkEnd w:id="1"/>
    </w:p>
    <w:p w14:paraId="320E4A73" w14:textId="77777777" w:rsidR="005C0156" w:rsidRPr="008302C9" w:rsidRDefault="005C0156" w:rsidP="005C0156">
      <w:pPr>
        <w:rPr>
          <w:i/>
          <w:vanish/>
        </w:rPr>
      </w:pPr>
      <w:r w:rsidRPr="008302C9">
        <w:rPr>
          <w:i/>
        </w:rPr>
        <w:fldChar w:fldCharType="begin"/>
      </w:r>
      <w:r w:rsidRPr="008302C9">
        <w:rPr>
          <w:i/>
        </w:rPr>
        <w:instrText xml:space="preserve"> TC"(</w:instrText>
      </w:r>
      <w:bookmarkStart w:id="2" w:name="DocNumber"/>
      <w:r w:rsidRPr="008302C9">
        <w:rPr>
          <w:i/>
        </w:rPr>
        <w:instrText>B10-0500/2025</w:instrText>
      </w:r>
      <w:bookmarkEnd w:id="2"/>
      <w:r w:rsidRPr="008302C9">
        <w:rPr>
          <w:i/>
        </w:rPr>
        <w:instrText xml:space="preserve">)"\l3 \n&gt; \* MERGEFORMAT </w:instrText>
      </w:r>
      <w:r w:rsidRPr="008302C9">
        <w:rPr>
          <w:i/>
        </w:rPr>
        <w:fldChar w:fldCharType="end"/>
      </w:r>
    </w:p>
    <w:p w14:paraId="694AF644" w14:textId="77777777" w:rsidR="005C0156" w:rsidRPr="008302C9" w:rsidRDefault="005C0156" w:rsidP="005C0156">
      <w:pPr>
        <w:rPr>
          <w:vanish/>
        </w:rPr>
      </w:pPr>
      <w:bookmarkStart w:id="3" w:name="PE"/>
      <w:r w:rsidRPr="008302C9">
        <w:rPr>
          <w:vanish/>
        </w:rPr>
        <w:t>PE778.971</w:t>
      </w:r>
      <w:bookmarkEnd w:id="3"/>
    </w:p>
    <w:p w14:paraId="7BD67C65" w14:textId="0592980C" w:rsidR="005C0156" w:rsidRPr="008302C9" w:rsidRDefault="005C0156" w:rsidP="005C0156">
      <w:pPr>
        <w:pStyle w:val="ATHeading3"/>
      </w:pPr>
      <w:bookmarkStart w:id="4" w:name="Sujet"/>
      <w:r w:rsidRPr="008302C9">
        <w:t xml:space="preserve">Resolutie van het Europees Parlement van </w:t>
      </w:r>
      <w:r w:rsidR="00F04F3C" w:rsidRPr="008302C9">
        <w:t xml:space="preserve">26 </w:t>
      </w:r>
      <w:r w:rsidRPr="008302C9">
        <w:t>november 2025 over bescherming van EU-consumenten tegen de praktijken van bepaalde e</w:t>
      </w:r>
      <w:r w:rsidRPr="008302C9">
        <w:noBreakHyphen/>
        <w:t>commerceplatforms: het geval van kindachtige sekspoppen, wapens en andere illegale producten en materialen</w:t>
      </w:r>
      <w:bookmarkEnd w:id="4"/>
      <w:r w:rsidRPr="008302C9">
        <w:t xml:space="preserve"> </w:t>
      </w:r>
      <w:bookmarkStart w:id="5" w:name="References"/>
      <w:r w:rsidRPr="008302C9">
        <w:t>(2025/2971(RSP))</w:t>
      </w:r>
      <w:bookmarkEnd w:id="5"/>
    </w:p>
    <w:p w14:paraId="6383D1F8" w14:textId="77777777" w:rsidR="00C47B01" w:rsidRPr="008302C9" w:rsidRDefault="00C47B01" w:rsidP="00C47B01">
      <w:pPr>
        <w:pStyle w:val="EPComma"/>
        <w:widowControl/>
      </w:pPr>
      <w:bookmarkStart w:id="6" w:name="TextBodyBegin"/>
      <w:bookmarkEnd w:id="6"/>
      <w:r w:rsidRPr="008302C9">
        <w:rPr>
          <w:i/>
          <w:iCs/>
        </w:rPr>
        <w:t>Het Europees Parlement</w:t>
      </w:r>
      <w:r w:rsidRPr="008302C9">
        <w:t>,</w:t>
      </w:r>
    </w:p>
    <w:p w14:paraId="531AF7E6" w14:textId="77777777" w:rsidR="00C47B01" w:rsidRPr="008302C9" w:rsidRDefault="00C47B01" w:rsidP="00C47B01">
      <w:pPr>
        <w:pStyle w:val="NormalHanging12a"/>
        <w:widowControl/>
      </w:pPr>
      <w:r w:rsidRPr="008302C9">
        <w:t>–</w:t>
      </w:r>
      <w:r w:rsidRPr="008302C9">
        <w:tab/>
        <w:t>gezien het verslag van 31 maart 2022 van de Groep van wijzen over de hervorming van de douane-unie van de EU, getiteld “Putting More Union in the European Customs: Ten proposals to make the EU Customs Union fit for a Geopolitical Europe”,</w:t>
      </w:r>
    </w:p>
    <w:p w14:paraId="4CA52678" w14:textId="77777777" w:rsidR="00C47B01" w:rsidRPr="008302C9" w:rsidRDefault="00C47B01" w:rsidP="00C47B01">
      <w:pPr>
        <w:pStyle w:val="NormalHanging12a"/>
        <w:widowControl/>
      </w:pPr>
      <w:r w:rsidRPr="008302C9">
        <w:t>–</w:t>
      </w:r>
      <w:r w:rsidRPr="008302C9">
        <w:tab/>
        <w:t>gezien zijn standpunt van 13 maart 2024 over het voorstel voor een verordening van het Europees Parlement en de Raad tot vaststelling van het douanewetboek van de Unie, tot oprichting van de douaneautoriteit van de Europese Unie en tot intrekking van Verordening (EU) nr. 952/2013</w:t>
      </w:r>
      <w:r w:rsidRPr="008302C9">
        <w:rPr>
          <w:rStyle w:val="FootnoteReference"/>
        </w:rPr>
        <w:footnoteReference w:id="1"/>
      </w:r>
      <w:r w:rsidRPr="008302C9">
        <w:t>,</w:t>
      </w:r>
    </w:p>
    <w:p w14:paraId="76C1A35B" w14:textId="77777777" w:rsidR="00C47B01" w:rsidRPr="008302C9" w:rsidRDefault="00C47B01" w:rsidP="00C47B01">
      <w:pPr>
        <w:pStyle w:val="NormalHanging12a"/>
        <w:widowControl/>
      </w:pPr>
      <w:r w:rsidRPr="008302C9">
        <w:t>–</w:t>
      </w:r>
      <w:r w:rsidRPr="008302C9">
        <w:tab/>
        <w:t>gezien de mededeling van de Commissie van 5 februari 2025 over een uitgebreid EU-instrumentarium voor veilige en duurzame e-commerce (COM(2025)0037),</w:t>
      </w:r>
    </w:p>
    <w:p w14:paraId="7DA4CB1F" w14:textId="77777777" w:rsidR="00C47B01" w:rsidRPr="008302C9" w:rsidRDefault="00C47B01" w:rsidP="00C47B01">
      <w:pPr>
        <w:pStyle w:val="NormalHanging12a"/>
        <w:widowControl/>
      </w:pPr>
      <w:r w:rsidRPr="008302C9">
        <w:t>–</w:t>
      </w:r>
      <w:r w:rsidRPr="008302C9">
        <w:tab/>
        <w:t>gezien Verordening (EU) 2024/3015 van het Europees Parlement en de Raad van 27 november 2024 inzake een verbod op met dwangarbeid vervaardigde producten op de markt van de Unie en tot wijziging van Richtlijn (EU) 2019/1937</w:t>
      </w:r>
      <w:r w:rsidRPr="008302C9">
        <w:rPr>
          <w:rStyle w:val="FootnoteReference"/>
        </w:rPr>
        <w:footnoteReference w:id="2"/>
      </w:r>
      <w:r w:rsidRPr="008302C9">
        <w:t>,</w:t>
      </w:r>
    </w:p>
    <w:p w14:paraId="36116836" w14:textId="19E41D23" w:rsidR="00C47B01" w:rsidRPr="008302C9" w:rsidRDefault="00C47B01" w:rsidP="00C47B01">
      <w:pPr>
        <w:pStyle w:val="NormalHanging12a"/>
        <w:widowControl/>
      </w:pPr>
      <w:r w:rsidRPr="008302C9">
        <w:t>–</w:t>
      </w:r>
      <w:r w:rsidRPr="008302C9">
        <w:tab/>
        <w:t>gezien Richtlijn (EU) 2024/1760 van het Europees Parlement en de Raad van 13 juni 2024 inzake passende zorgvuldigheid in het bedrijfsleven op het gebied van duurzaamheid en tot wijziging van Richtlijn (EU) 2019/1937 en Verordening (EU) 2023/2859</w:t>
      </w:r>
      <w:r w:rsidRPr="008302C9">
        <w:rPr>
          <w:rStyle w:val="FootnoteReference"/>
        </w:rPr>
        <w:footnoteReference w:id="3"/>
      </w:r>
      <w:r w:rsidRPr="008302C9">
        <w:t>,</w:t>
      </w:r>
    </w:p>
    <w:p w14:paraId="54D7B483" w14:textId="77777777" w:rsidR="00C47B01" w:rsidRPr="008302C9" w:rsidRDefault="00C47B01" w:rsidP="00C47B01">
      <w:pPr>
        <w:pStyle w:val="NormalHanging12a"/>
        <w:widowControl/>
        <w:rPr>
          <w:lang w:val="en-GB"/>
        </w:rPr>
      </w:pPr>
      <w:r w:rsidRPr="008302C9">
        <w:rPr>
          <w:lang w:val="en-GB"/>
        </w:rPr>
        <w:lastRenderedPageBreak/>
        <w:t>–</w:t>
      </w:r>
      <w:r w:rsidRPr="008302C9">
        <w:rPr>
          <w:lang w:val="en-GB"/>
        </w:rPr>
        <w:tab/>
        <w:t>gezien het verslag van april 2024 van Enrico Letta getiteld “Much more than a market – Speed, Security, Solidarity – Empowering the Single Market to deliver a sustainable future and prosperity for all EU Citizens”</w:t>
      </w:r>
      <w:r w:rsidRPr="008302C9">
        <w:rPr>
          <w:rStyle w:val="FootnoteReference"/>
        </w:rPr>
        <w:footnoteReference w:id="4"/>
      </w:r>
      <w:r w:rsidRPr="008302C9">
        <w:rPr>
          <w:lang w:val="en-GB"/>
        </w:rPr>
        <w:t>,</w:t>
      </w:r>
    </w:p>
    <w:p w14:paraId="7234D7B5" w14:textId="77777777" w:rsidR="00C47B01" w:rsidRPr="008302C9" w:rsidRDefault="00C47B01" w:rsidP="00C47B01">
      <w:pPr>
        <w:pStyle w:val="NormalHanging12a"/>
        <w:widowControl/>
      </w:pPr>
      <w:r w:rsidRPr="008302C9">
        <w:t>–</w:t>
      </w:r>
      <w:r w:rsidRPr="008302C9">
        <w:tab/>
        <w:t>gezien Verordening (EU) 2022/2065 betreffende een eengemaakte markt voor digitale diensten en tot wijziging van Richtlijn 2000/31/EG (digitaledienstenverordening)</w:t>
      </w:r>
      <w:r w:rsidRPr="008302C9">
        <w:rPr>
          <w:rStyle w:val="FootnoteReference"/>
        </w:rPr>
        <w:footnoteReference w:id="5"/>
      </w:r>
      <w:r w:rsidRPr="008302C9">
        <w:t>,</w:t>
      </w:r>
    </w:p>
    <w:p w14:paraId="70443DF3" w14:textId="77777777" w:rsidR="00C47B01" w:rsidRPr="008302C9" w:rsidRDefault="00C47B01" w:rsidP="00C47B01">
      <w:pPr>
        <w:pStyle w:val="NormalHanging12a"/>
        <w:widowControl/>
        <w:rPr>
          <w:szCs w:val="24"/>
        </w:rPr>
      </w:pPr>
      <w:r w:rsidRPr="008302C9">
        <w:t>–</w:t>
      </w:r>
      <w:r w:rsidRPr="008302C9">
        <w:tab/>
        <w:t>gezien Verordening (EU) 2022/1925 van het Europees Parlement en de Raad van 14 september 2022 over betwistbare en eerlijke markten in de digitale sector, en tot wijziging van Richtlijnen (EU) 2019/1937 en (EU) 2020/1828 (digitalemarktenverordening)</w:t>
      </w:r>
      <w:r w:rsidRPr="008302C9">
        <w:rPr>
          <w:rStyle w:val="FootnoteReference"/>
          <w:szCs w:val="24"/>
        </w:rPr>
        <w:footnoteReference w:id="6"/>
      </w:r>
      <w:r w:rsidRPr="008302C9">
        <w:t>,</w:t>
      </w:r>
    </w:p>
    <w:p w14:paraId="05099595" w14:textId="77777777" w:rsidR="00C47B01" w:rsidRPr="008302C9" w:rsidRDefault="00C47B01" w:rsidP="00C47B01">
      <w:pPr>
        <w:pStyle w:val="NormalHanging12a"/>
        <w:widowControl/>
      </w:pPr>
      <w:r w:rsidRPr="008302C9">
        <w:t>–</w:t>
      </w:r>
      <w:r w:rsidRPr="008302C9">
        <w:tab/>
        <w:t>gezien Verordening (EU) 2023/988 van het Europees Parlement en de Raad van 10 mei 2023 inzake algemene productveiligheid, tot wijziging van Verordening (EU) nr. 1025/2012 van het Europees Parlement en de Raad en Richtlijn (EU) 2020/1828 van het Europees Parlement en de Raad, en tot intrekking van Richtlijn 2001/95/EG van het Europees Parlement en de Raad en Richtlijn 87/357/EEG van de Raad</w:t>
      </w:r>
      <w:r w:rsidRPr="008302C9">
        <w:rPr>
          <w:rStyle w:val="FootnoteReference"/>
        </w:rPr>
        <w:footnoteReference w:id="7"/>
      </w:r>
      <w:r w:rsidRPr="008302C9">
        <w:t>,</w:t>
      </w:r>
    </w:p>
    <w:p w14:paraId="5BBC23CF" w14:textId="77777777" w:rsidR="00C47B01" w:rsidRPr="008302C9" w:rsidRDefault="00C47B01" w:rsidP="00C47B01">
      <w:pPr>
        <w:pStyle w:val="NormalHanging12a"/>
        <w:widowControl/>
      </w:pPr>
      <w:r w:rsidRPr="008302C9">
        <w:t>–</w:t>
      </w:r>
      <w:r w:rsidRPr="008302C9">
        <w:tab/>
        <w:t>gezien Verordening (EU) 2019/1020 van het Europees Parlement en de Raad van 20 juni 2019 betreffende markttoezicht en conformiteit van producten en tot wijziging van Richtlijn 2004/42/EG en de Verordeningen (EG) nr. 765/2008 en (EU) nr. 305/2011 (verordening markttoezicht)</w:t>
      </w:r>
      <w:r w:rsidRPr="008302C9">
        <w:rPr>
          <w:rStyle w:val="FootnoteReference"/>
        </w:rPr>
        <w:footnoteReference w:id="8"/>
      </w:r>
      <w:r w:rsidRPr="008302C9">
        <w:t>,</w:t>
      </w:r>
    </w:p>
    <w:p w14:paraId="5BB69C42" w14:textId="77777777" w:rsidR="00C47B01" w:rsidRPr="008302C9" w:rsidRDefault="00C47B01" w:rsidP="00C47B01">
      <w:pPr>
        <w:pStyle w:val="NormalHanging12a"/>
        <w:widowControl/>
      </w:pPr>
      <w:r w:rsidRPr="008302C9">
        <w:t>–</w:t>
      </w:r>
      <w:r w:rsidRPr="008302C9">
        <w:tab/>
        <w:t>gezien Richtlijn (EU) 2024/2853 van het Europees Parlement en de Raad van 23 oktober 2024 inzake aansprakelijkheid voor gebrekkige producten en tot intrekking van Richtlijn 85/374/EEG van de Raad</w:t>
      </w:r>
      <w:r w:rsidRPr="008302C9">
        <w:rPr>
          <w:rStyle w:val="FootnoteReference"/>
        </w:rPr>
        <w:footnoteReference w:id="9"/>
      </w:r>
      <w:r w:rsidRPr="008302C9">
        <w:t>,</w:t>
      </w:r>
    </w:p>
    <w:p w14:paraId="07956493" w14:textId="77777777" w:rsidR="00C47B01" w:rsidRPr="008302C9" w:rsidRDefault="00C47B01" w:rsidP="00C47B01">
      <w:pPr>
        <w:pStyle w:val="NormalHanging12a"/>
        <w:widowControl/>
      </w:pPr>
      <w:r w:rsidRPr="008302C9">
        <w:t>–</w:t>
      </w:r>
      <w:r w:rsidRPr="008302C9">
        <w:tab/>
        <w:t>gezien artikel 136, lid 2, van zijn Reglement,</w:t>
      </w:r>
    </w:p>
    <w:p w14:paraId="094011A7" w14:textId="77777777" w:rsidR="00C47B01" w:rsidRPr="008302C9" w:rsidRDefault="00C47B01" w:rsidP="00C47B01">
      <w:pPr>
        <w:pStyle w:val="NormalHanging12a"/>
        <w:widowControl/>
      </w:pPr>
      <w:r w:rsidRPr="008302C9">
        <w:t>–</w:t>
      </w:r>
      <w:r w:rsidRPr="008302C9">
        <w:tab/>
        <w:t>gezien het advies van de Commissie internationale handel,</w:t>
      </w:r>
    </w:p>
    <w:p w14:paraId="79F1FA9F" w14:textId="77777777" w:rsidR="00C47B01" w:rsidRPr="008302C9" w:rsidRDefault="00C47B01" w:rsidP="00C47B01">
      <w:pPr>
        <w:pStyle w:val="NormalHanging12a"/>
        <w:widowControl/>
      </w:pPr>
      <w:r w:rsidRPr="008302C9">
        <w:t>–</w:t>
      </w:r>
      <w:r w:rsidRPr="008302C9">
        <w:tab/>
        <w:t>gezien het verslag van de Commissie interne markt en consumentenbescherming (A10-0133/2025),</w:t>
      </w:r>
    </w:p>
    <w:p w14:paraId="5328A67D" w14:textId="77777777" w:rsidR="00C47B01" w:rsidRPr="008302C9" w:rsidRDefault="00C47B01" w:rsidP="00C47B01">
      <w:pPr>
        <w:pStyle w:val="NormalHanging12a"/>
        <w:widowControl/>
      </w:pPr>
      <w:r w:rsidRPr="008302C9">
        <w:t>A.</w:t>
      </w:r>
      <w:r w:rsidRPr="008302C9">
        <w:tab/>
        <w:t>overwegende dat er sinds 31 oktober 2025 in Frankrijk grote ophef is over de verkoop van kindachtige sekspoppen en andere illegale producten, waaronder wapens, op het Chinese e-commerceplatform SHEIN en dat die ophef zich snel over heel Europa heeft verspreid; overwegende dat de Franse consumentenwaakhond informatie over de verkoop van “seksspeeltjes die op kinderen lijken”, heeft doorgestuurd naar het Franse openbaar ministerie, dat op 3 november 2025 een onderzoek heeft ingesteld naar SHEIN en drie andere onlinemarktplaatsen van buiten de EU, namelijk Temu, AliExpress en Wish;</w:t>
      </w:r>
    </w:p>
    <w:p w14:paraId="5987E5A5" w14:textId="77777777" w:rsidR="00C47B01" w:rsidRPr="008302C9" w:rsidRDefault="00C47B01" w:rsidP="00C47B01">
      <w:pPr>
        <w:pStyle w:val="NormalHanging12a"/>
        <w:widowControl/>
      </w:pPr>
      <w:r w:rsidRPr="008302C9">
        <w:lastRenderedPageBreak/>
        <w:t>B.</w:t>
      </w:r>
      <w:r w:rsidRPr="008302C9">
        <w:tab/>
        <w:t>overwegende dat SHEIN, na een eerste handhavingsmaatregel van de Franse autoriteiten, heeft verklaard alle advertenties en afbeeldingen in kwestie te hebben verwijderd en tijdelijk de categorie “producten voor volwassenen” uit zijn assortiment te hebben gehaald; overwegende dat er nog steeds ernstige twijfels bestaan over het vermogen of de bereidheid van SHEIN om doeltreffende en krachtige maatregelen te nemen tegen illegale inhoud en om te waarborgen dat alleen producten die aan de regels voldoen, op zijn platform worden aangeboden; overwegende dat deze twijfels werden bevestigd door het feit dat de omstreden producten twee dagen nadat de verkoop ervan in Frankrijk zou zijn stopgezet, nog steeds verkrijgbaar waren in andere lidstaten, onder meer via een VPN-verbinding;</w:t>
      </w:r>
    </w:p>
    <w:p w14:paraId="67269428" w14:textId="02F497B2" w:rsidR="00EE483C" w:rsidRPr="008302C9" w:rsidRDefault="00396123" w:rsidP="00C47B01">
      <w:pPr>
        <w:pStyle w:val="NormalHanging12a"/>
        <w:widowControl/>
      </w:pPr>
      <w:r w:rsidRPr="008302C9">
        <w:t>C.</w:t>
      </w:r>
      <w:r w:rsidRPr="008302C9">
        <w:tab/>
        <w:t xml:space="preserve">overwegende dat de Franse autoriteiten op 26 november 2025 hebben aangekondigd een klacht in te dienen tegen </w:t>
      </w:r>
      <w:proofErr w:type="spellStart"/>
      <w:r w:rsidRPr="008302C9">
        <w:t>AliExpress</w:t>
      </w:r>
      <w:proofErr w:type="spellEnd"/>
      <w:r w:rsidRPr="008302C9">
        <w:t xml:space="preserve"> en </w:t>
      </w:r>
      <w:proofErr w:type="spellStart"/>
      <w:r w:rsidRPr="008302C9">
        <w:t>Joom</w:t>
      </w:r>
      <w:proofErr w:type="spellEnd"/>
      <w:r w:rsidRPr="008302C9">
        <w:t>, die ook betrokken zijn bij de verkoop van kinderpornopoppen, wat de omvang en ernst van dit fenomeen illustreert</w:t>
      </w:r>
      <w:r w:rsidR="00EE483C" w:rsidRPr="008302C9">
        <w:t>;</w:t>
      </w:r>
    </w:p>
    <w:p w14:paraId="4D81DBC8" w14:textId="7C6C4447" w:rsidR="00C47B01" w:rsidRPr="008302C9" w:rsidRDefault="00396123" w:rsidP="00C47B01">
      <w:pPr>
        <w:pStyle w:val="NormalHanging12a"/>
        <w:widowControl/>
      </w:pPr>
      <w:r w:rsidRPr="008302C9">
        <w:t>D</w:t>
      </w:r>
      <w:r w:rsidR="00C47B01" w:rsidRPr="008302C9">
        <w:t>.</w:t>
      </w:r>
      <w:r w:rsidR="00C47B01" w:rsidRPr="008302C9">
        <w:tab/>
        <w:t>overwegende dat de Franse regering in het licht van deze onthullingen publiekelijk heeft gewaarschuwd dat nog meer schendingen haar zouden dwingen te verzoeken om het platform SHEIN de toegang tot de Franse markt te ontzeggen; overwegende dat SHEIN in reactie hierop alle kindachtige sekspoppen van zijn wereldwijde platforms heeft verwijderd en heeft aangekondigd de verkoop van alle sekspoppen wereldwijd te verbieden, de betreffende producten uit zijn assortiment heeft gehaald en een intern onderzoek is gestart naar de wijze waarop dergelijke producten op zijn onlinemarktplaatsen terecht zijn gekomen;</w:t>
      </w:r>
    </w:p>
    <w:p w14:paraId="09D976A1" w14:textId="608455F9" w:rsidR="00C47B01" w:rsidRPr="008302C9" w:rsidRDefault="00396123" w:rsidP="00C47B01">
      <w:pPr>
        <w:pStyle w:val="NormalHanging12a"/>
        <w:widowControl/>
      </w:pPr>
      <w:r w:rsidRPr="008302C9">
        <w:t>E</w:t>
      </w:r>
      <w:r w:rsidR="00C47B01" w:rsidRPr="008302C9">
        <w:t>.</w:t>
      </w:r>
      <w:r w:rsidR="00C47B01" w:rsidRPr="008302C9">
        <w:tab/>
        <w:t>overwegende dat de grote publieke verontwaardiging in Frankrijk verband houdt met eerdere ophef rondom SHEIN, zoals de ontdekking in juli 2025 dat het bedrijf zich bedient van misleidende kortingspraktijken en ongegronde milieuclaims heeft gedaan; overwegende dat dergelijke oneerlijke praktijken een licht werpen op de bedrijfsmodellen van deze onlineplatforms en vraagtekens doen rijzen over consumptiepatronen;</w:t>
      </w:r>
    </w:p>
    <w:p w14:paraId="76A8B256" w14:textId="4FE31DE1" w:rsidR="00C47B01" w:rsidRPr="008302C9" w:rsidRDefault="00396123" w:rsidP="00C47B01">
      <w:pPr>
        <w:pStyle w:val="NormalHanging12a"/>
        <w:widowControl/>
      </w:pPr>
      <w:r w:rsidRPr="008302C9">
        <w:t>F</w:t>
      </w:r>
      <w:r w:rsidR="00C47B01" w:rsidRPr="008302C9">
        <w:t>.</w:t>
      </w:r>
      <w:r w:rsidR="00C47B01" w:rsidRPr="008302C9">
        <w:tab/>
        <w:t>overwegende dat er door deze kwestie in Frankrijk opnieuw veel aandacht is voor een wijdverbreider probleem, namelijk dat van onveilige en illegale producten die via onlinemarktplaatsen in de hele EU worden verspreid, en dat er een bredere discussie op gang is gekomen over consumptiepatronen, oneerlijke concurrentie door onlineplatforms van buiten de EU, regulering van onlinemarktplaatsen en consumentenrechten;</w:t>
      </w:r>
    </w:p>
    <w:p w14:paraId="40CE81C2" w14:textId="77777777" w:rsidR="00C47B01" w:rsidRPr="008302C9" w:rsidRDefault="00C47B01" w:rsidP="00C47B01">
      <w:pPr>
        <w:pStyle w:val="NormalHanging12a"/>
        <w:widowControl/>
        <w:rPr>
          <w:b/>
          <w:i/>
          <w:iCs/>
        </w:rPr>
      </w:pPr>
      <w:r w:rsidRPr="008302C9">
        <w:rPr>
          <w:b/>
          <w:i/>
        </w:rPr>
        <w:t>Inleidende opmerkingen</w:t>
      </w:r>
    </w:p>
    <w:p w14:paraId="4D54B456" w14:textId="77777777" w:rsidR="00C47B01" w:rsidRPr="008302C9" w:rsidRDefault="00C47B01" w:rsidP="00C47B01">
      <w:pPr>
        <w:pStyle w:val="NormalHanging12a"/>
        <w:widowControl/>
      </w:pPr>
      <w:r w:rsidRPr="008302C9">
        <w:t>1.</w:t>
      </w:r>
      <w:r w:rsidRPr="008302C9">
        <w:tab/>
        <w:t>veroordeelt de recente gebeurtenissen in Frankrijk met betrekking tot seksueel getinte artikelen die op kinderen lijken en andere illegale of gevaarlijke producten, zoals wapens, die op SHEIN te koop waren en overal in de hele EU konden worden aangeschaft; benadrukt dat deze praktijken een ernstige inbreuk vormen op het EU-recht en een rechtstreekse bedreiging zijn voor de veiligheid van consumenten en de bescherming van minderjarigen;</w:t>
      </w:r>
    </w:p>
    <w:p w14:paraId="45971E4F" w14:textId="77777777" w:rsidR="00C47B01" w:rsidRPr="008302C9" w:rsidRDefault="00C47B01" w:rsidP="00C47B01">
      <w:pPr>
        <w:pStyle w:val="NormalHanging12a"/>
        <w:widowControl/>
      </w:pPr>
      <w:r w:rsidRPr="008302C9">
        <w:t>2.</w:t>
      </w:r>
      <w:r w:rsidRPr="008302C9">
        <w:tab/>
        <w:t xml:space="preserve">onderstreept dat de zaak-SHEIN geen op zichzelf staand geval is, maar een systematisch patroon blootlegt van ontoereikend toezicht en onvoldoende preventiemechanismen; wijst op recente bevindingen van consumentenorganisaties waaruit blijkt dat een aanzienlijk deel van de producten die door grote e-commerceplatforms van buiten de </w:t>
      </w:r>
      <w:r w:rsidRPr="008302C9">
        <w:lastRenderedPageBreak/>
        <w:t>EU worden aangeboden, niet voldoet aan de in de EU geldende veiligheidsvoorschriften, en dat een substantieel deel ernstige risico’s voor consumenten met zich meebrengt;</w:t>
      </w:r>
    </w:p>
    <w:p w14:paraId="51729916" w14:textId="77777777" w:rsidR="00C47B01" w:rsidRPr="008302C9" w:rsidRDefault="00C47B01" w:rsidP="00C47B01">
      <w:pPr>
        <w:pStyle w:val="NormalHanging12a"/>
        <w:widowControl/>
      </w:pPr>
      <w:r w:rsidRPr="008302C9">
        <w:t>3.</w:t>
      </w:r>
      <w:r w:rsidRPr="008302C9">
        <w:tab/>
        <w:t>neemt kennis van de lopende onderzoeken van de Commissie naar de praktijken van zeer grote onlineplatforms, waaronder de recente verzoeken aan SHEIN om informatie, maar dringt er bij de Commissie op aan om over te gaan van dialoog naar daadkrachtige handhaving;</w:t>
      </w:r>
    </w:p>
    <w:p w14:paraId="3467B969" w14:textId="77777777" w:rsidR="00C47B01" w:rsidRPr="008302C9" w:rsidRDefault="00C47B01" w:rsidP="00C47B01">
      <w:pPr>
        <w:pStyle w:val="NormalHanging12a"/>
        <w:widowControl/>
      </w:pPr>
      <w:r w:rsidRPr="008302C9">
        <w:t>4.</w:t>
      </w:r>
      <w:r w:rsidRPr="008302C9">
        <w:tab/>
        <w:t>benadrukt dat de meeste onveilige en illegale producten in grote hoeveelheden naar de EU worden verzonden in individuele en vaak kleine pakketten die via onlineplatforms uit niet-EU-landen, met name China, aan consumenten in de EU worden verkocht; waarschuwt ervoor dat de exponentiële toename van kleine zendingen in combinatie met de beperkte controlecapaciteit ertoe leidt dat gevaarlijke producten onvoldoende worden tegengehouden; benadrukt dat dit de consument in gevaar brengt en de mededinging verstoort;</w:t>
      </w:r>
    </w:p>
    <w:p w14:paraId="0A40B183" w14:textId="77777777" w:rsidR="00C47B01" w:rsidRPr="008302C9" w:rsidRDefault="00C47B01" w:rsidP="00C47B01">
      <w:pPr>
        <w:pStyle w:val="NormalHanging12a"/>
        <w:widowControl/>
      </w:pPr>
      <w:r w:rsidRPr="008302C9">
        <w:t>5.</w:t>
      </w:r>
      <w:r w:rsidRPr="008302C9">
        <w:tab/>
        <w:t>vindt het zeer zorgwekkend dat de gedocumenteerde, steeds vaker voorkomende overtredingen van de regels door SHEIN en andere onlineplatforms van buiten de EU alleen maar erger worden als gevolg een bedrijfsmodel dat gericht is op snelheid, winstmaximalisatie en overconsumptie, hetgeen ten koste gaat van mensenrechten, milieubescherming, consumentenveiligheid en fundamentele waarden; betreurt dat achter kunstmatig laag gehouden prijzen zorgwekkende problemen schuilgaan, waaronder onderbetaling van arbeidskrachten, illegale namaak van het werk van ontwerpers, het in de handel brengen van onveilige en niet-conforme producten en de groeiende berg textielafval;</w:t>
      </w:r>
    </w:p>
    <w:p w14:paraId="6EE6A330" w14:textId="77777777" w:rsidR="00C47B01" w:rsidRPr="008302C9" w:rsidRDefault="00C47B01" w:rsidP="00C47B01">
      <w:pPr>
        <w:pStyle w:val="NormalHanging12a"/>
        <w:widowControl/>
        <w:rPr>
          <w:b/>
          <w:i/>
          <w:iCs/>
        </w:rPr>
      </w:pPr>
      <w:r w:rsidRPr="008302C9">
        <w:rPr>
          <w:b/>
          <w:i/>
        </w:rPr>
        <w:t>Problemen met naleving</w:t>
      </w:r>
    </w:p>
    <w:p w14:paraId="210F55E9" w14:textId="77777777" w:rsidR="00C47B01" w:rsidRPr="008302C9" w:rsidRDefault="00C47B01" w:rsidP="00C47B01">
      <w:pPr>
        <w:pStyle w:val="NormalHanging12a"/>
        <w:widowControl/>
      </w:pPr>
      <w:r w:rsidRPr="008302C9">
        <w:t>6.</w:t>
      </w:r>
      <w:r w:rsidRPr="008302C9">
        <w:tab/>
        <w:t>erkent dat de EU een robuust nalevingskader heeft vastgesteld, met inbegrip van de digitaledienstenverordening, de digitalemarktenverordening, de verordening markttoezicht, de verordening algemene productveiligheid, regels inzake consumentenbescherming en allerlei product- en milieuwetgeving, die ook van toepassing is op producten die online worden verkocht; erkent echter dat er nog meer moet worden gedaan met het oog op een volledige en gecoördineerde handhaving van dit nalevingskader;</w:t>
      </w:r>
    </w:p>
    <w:p w14:paraId="645F8DA8" w14:textId="43A6AB4B" w:rsidR="00C47B01" w:rsidRPr="008302C9" w:rsidRDefault="00C47B01" w:rsidP="00C47B01">
      <w:pPr>
        <w:pStyle w:val="NormalHanging12a"/>
        <w:widowControl/>
      </w:pPr>
      <w:r w:rsidRPr="008302C9">
        <w:t>7.</w:t>
      </w:r>
      <w:r w:rsidRPr="008302C9">
        <w:tab/>
        <w:t>is van mening dat strikte, consistente en tijdige tenuitvoerlegging van het EU-acquis onontbeerlijk is om te voorkomen dat onveilige en niet-conforme artikelen en namaakproducten de interne markt binnenkomen, en om een hoog niveau van consumentenbescherming te handhaven; verzoekt alle betrokken autoriteiten in de lidstaten gebruik te maken van alle tot hun beschikking staande handhavingsinstrumenten om tijdig en doeltreffend te reageren;</w:t>
      </w:r>
    </w:p>
    <w:p w14:paraId="40CA40D8" w14:textId="77777777" w:rsidR="00C47B01" w:rsidRPr="008302C9" w:rsidRDefault="00C47B01" w:rsidP="00C47B01">
      <w:pPr>
        <w:pStyle w:val="NormalHanging12a"/>
        <w:widowControl/>
      </w:pPr>
      <w:r w:rsidRPr="008302C9">
        <w:t>8.</w:t>
      </w:r>
      <w:r w:rsidRPr="008302C9">
        <w:tab/>
        <w:t xml:space="preserve">herinnert eraan dat de digitaledienstenverordening voorziet in duidelijke rechtsgrondslagen om in te grijpen, waaronder de bevoegdheid uit hoofde van artikel 74 om geldboeten op te leggen en de bevoegdheid uit hoofde van artikel 9 om de verwijdering van illegale producten te gelasten; dringt er bij de Commissie op aan ten volle en tijdig gebruik te maken van deze instrumenten om ervoor te zorgen dat platforms hun verplichtingen nakomen; benadrukt dat burgers moeten zien dat de EU in </w:t>
      </w:r>
      <w:r w:rsidRPr="008302C9">
        <w:lastRenderedPageBreak/>
        <w:t>staat is hun veiligheid online te waarborgen, en een gecoördineerde, robuuste handhaving in de hele interne markt verwacht;</w:t>
      </w:r>
    </w:p>
    <w:p w14:paraId="2A267E01" w14:textId="77777777" w:rsidR="00C47B01" w:rsidRPr="008302C9" w:rsidRDefault="00C47B01" w:rsidP="00C47B01">
      <w:pPr>
        <w:pStyle w:val="NormalHanging12a"/>
        <w:widowControl/>
      </w:pPr>
      <w:r w:rsidRPr="008302C9">
        <w:t>9.</w:t>
      </w:r>
      <w:r w:rsidRPr="008302C9">
        <w:tab/>
        <w:t>waarschuwt dat er nog steeds grote tekortkomingen bestaan op het gebied van handhaving als gevolg van het chronische gebrek aan middelen en de ontoereikende digitale capaciteiten van de douane- en markttoezichtautoriteiten, het tekort aan gespecialiseerd personeel en het ontbreken van geharmoniseerde en interoperabele technologische instrumenten in de lidstaten, hetgeen nog wordt verergerd door de beperkte uitwisseling van gegevens en de zwakke operationele coördinatie tussen de douane-, markttoezicht- en consumentenbeschermingsautoriteiten;</w:t>
      </w:r>
    </w:p>
    <w:p w14:paraId="21BCB68B" w14:textId="77777777" w:rsidR="00C47B01" w:rsidRPr="008302C9" w:rsidRDefault="00C47B01" w:rsidP="00C47B01">
      <w:pPr>
        <w:pStyle w:val="NormalHanging12a"/>
        <w:widowControl/>
      </w:pPr>
      <w:r w:rsidRPr="008302C9">
        <w:t>10.</w:t>
      </w:r>
      <w:r w:rsidRPr="008302C9">
        <w:tab/>
        <w:t>benadrukt dat fysieke controles bij voorbaat ontoereikend zijn gezien het grote aantal e</w:t>
      </w:r>
      <w:r w:rsidRPr="008302C9">
        <w:noBreakHyphen/>
        <w:t>commercezendingen dat de EU binnenkomt; roept op tot dringende maatregelen, waaronder de invoering van een geharmoniseerd WTO-conform afhandelingstarief op EU-niveau om de hogere toezichtskosten te dekken die douaneautoriteiten moeten maken, en een duidelijk omschreven verantwoordelijkheid voor in derde landen gevestigde platforms en verkopers voor de veiligheid en conformiteit van producten die aan consumenten in de EU worden aangeboden, hetgeen gepaard moet gaan met de afschaffing van de vrijstelling van btw en douanerechten voor zendingen met een geringe waarde, waarover onlangs in de Raad overeenstemming is bereikt; dringt er bij de Commissie op aan de financiële en operationele steun voor douane- en markttoezichtautoriteiten aanzienlijk te verhogen, onder meer door hogere toewijzingen in het kader van het komende meerjarig financieel kader, zodat er voor voldoende middelen en een passende personeelsbezetting wordt gezorgd;</w:t>
      </w:r>
    </w:p>
    <w:p w14:paraId="5FB3C597" w14:textId="77777777" w:rsidR="00C47B01" w:rsidRPr="008302C9" w:rsidRDefault="00C47B01" w:rsidP="00C47B01">
      <w:pPr>
        <w:pStyle w:val="NormalHanging12a"/>
        <w:widowControl/>
        <w:rPr>
          <w:b/>
          <w:i/>
          <w:iCs/>
        </w:rPr>
      </w:pPr>
      <w:r w:rsidRPr="008302C9">
        <w:rPr>
          <w:b/>
          <w:i/>
        </w:rPr>
        <w:t>Onderzoeken naar onlineplatforms en verdere maatregelen</w:t>
      </w:r>
    </w:p>
    <w:p w14:paraId="0EB01C8F" w14:textId="77777777" w:rsidR="00C47B01" w:rsidRPr="008302C9" w:rsidRDefault="00C47B01" w:rsidP="00C47B01">
      <w:pPr>
        <w:pStyle w:val="NormalHanging12a"/>
        <w:widowControl/>
      </w:pPr>
      <w:r w:rsidRPr="008302C9">
        <w:t>11.</w:t>
      </w:r>
      <w:r w:rsidRPr="008302C9">
        <w:tab/>
        <w:t>betreurt het dat er slechts langzaam vooruitgang wordt geboekt met de onderzoeken die de Commissie en het samenwerkingsnetwerk voor consumentenbescherming hebben ingesteld naar onlineplatforms van buiten de EU wegens vermeende schendingen van EU-wetgeving op het gebied van productveiligheid en consumenten en naar zeer grote platforms, met name in het kader van de digitaledienstenverordening; betreurt dat onderzoeksprocedures vaak maanden of zelfs jaren duren, waardoor het vertrouwen van de burgers wordt uitgehold en wetgevers niet goed in staat zijn om te reageren op snel opkomende onlinerisico’s; benadrukt dat deze onderzoeken dringend moeten worden afgerond en dat de structurele oorzaken van deze traagheid, die schadelijke gevolgen heeft, moeten worden aangepakt; wijst erop dat het in de praktijk nog steeds vrijwel onmogelijk is om, zoals momenteel in Frankrijk wordt nagestreefd, de activiteiten van platforms stil te leggen, zelfs in gevallen waarin het telkens weer gebeurt dat de regels duidelijk niet worden nageleefd; benadrukt dat er maatregelen op EU-niveau nodig zijn om de consistente handhaving van wetgeving te waarborgen en verstoringen van de interne markt te voorkomen;</w:t>
      </w:r>
    </w:p>
    <w:p w14:paraId="1544403E" w14:textId="77777777" w:rsidR="00C47B01" w:rsidRPr="008302C9" w:rsidRDefault="00C47B01" w:rsidP="00C47B01">
      <w:pPr>
        <w:pStyle w:val="NormalHanging12a"/>
        <w:widowControl/>
      </w:pPr>
      <w:r w:rsidRPr="008302C9">
        <w:t>12.</w:t>
      </w:r>
      <w:r w:rsidRPr="008302C9">
        <w:tab/>
        <w:t>pleit daarom voor krachtigere, snellere en meer operationele handhavingsinstrumenten, zodat EU-regels doeltreffend kunnen worden toegepast in de digitale omgeving; dringt erop aan dat er voortdurend en systematisch wordt gecontroleerd of de door onlineplatforms gedane toezeggingen worden nagekomen;</w:t>
      </w:r>
    </w:p>
    <w:p w14:paraId="76613707" w14:textId="77777777" w:rsidR="00C47B01" w:rsidRPr="008302C9" w:rsidRDefault="00C47B01" w:rsidP="00C47B01">
      <w:pPr>
        <w:pStyle w:val="NormalHanging12a"/>
        <w:widowControl/>
      </w:pPr>
      <w:r w:rsidRPr="008302C9">
        <w:t>13.</w:t>
      </w:r>
      <w:r w:rsidRPr="008302C9">
        <w:tab/>
        <w:t xml:space="preserve">wijst erop dat de recente bevindingen met betrekking tot SHEIN eerder wijzen op systemische tekortkomingen dan op afzonderlijke incidenten en dat die niet kunnen </w:t>
      </w:r>
      <w:r w:rsidRPr="008302C9">
        <w:lastRenderedPageBreak/>
        <w:t>worden verholpen door middel van het louter uit de handel nemen van producten of publieke verontschuldigingen;</w:t>
      </w:r>
    </w:p>
    <w:p w14:paraId="0A8903B4" w14:textId="77777777" w:rsidR="00C47B01" w:rsidRPr="008302C9" w:rsidRDefault="00C47B01" w:rsidP="00C47B01">
      <w:pPr>
        <w:pStyle w:val="NormalHanging12a"/>
        <w:widowControl/>
      </w:pPr>
      <w:r w:rsidRPr="008302C9">
        <w:t>14.</w:t>
      </w:r>
      <w:r w:rsidRPr="008302C9">
        <w:tab/>
        <w:t>dringt erop aan dat er sneller en eenvoudiger voorlopige maatregelen kunnen worden afgekondigd in het kader van de digitaledienstenverordening en dat er andere maatregelen kunnen worden genomen in het kader van de verordening algemene productveiligheid en de verordening marktmisbruik, waaronder het tijdelijk stilleggen van de activiteiten van onlinemarktplaatsen in geval van herhaalde, ernstige of systemische inbreuken op het EU-recht, zoals in het geval van SHEIN in Frankrijk, om te voorkomen dat platforms die zich niet aan de regels houden, zich aan de gevolgen onttrekken; benadrukt dat het tijdelijk stilleggen van de activiteiten van onlinemarktplaatsen niet langer als een uitzonderlijke, laatste redmiddel moet worden gezien;</w:t>
      </w:r>
    </w:p>
    <w:p w14:paraId="455FC31E" w14:textId="77777777" w:rsidR="00C47B01" w:rsidRPr="008302C9" w:rsidRDefault="00C47B01" w:rsidP="00C47B01">
      <w:pPr>
        <w:pStyle w:val="NormalHanging12a"/>
        <w:widowControl/>
      </w:pPr>
      <w:r w:rsidRPr="008302C9">
        <w:t>15.</w:t>
      </w:r>
      <w:r w:rsidRPr="008302C9">
        <w:tab/>
        <w:t>onderstreept dat het noodzakelijk is om tijdig effectievere sancties op te leggen en daarbij ten volle gebruik te maken van alle instrumenten waarin de EU-wetgeving voorziet; benadrukt dat dergelijke sancties voldoende afschrikkend moeten zijn om platforms die zich niet aan de regels houden ertoe te dwingen het EU-recht volledig na te leven;</w:t>
      </w:r>
    </w:p>
    <w:p w14:paraId="05CD2E9E" w14:textId="77777777" w:rsidR="00C47B01" w:rsidRPr="008302C9" w:rsidRDefault="00C47B01" w:rsidP="00C47B01">
      <w:pPr>
        <w:pStyle w:val="NormalHanging12a"/>
        <w:widowControl/>
      </w:pPr>
      <w:r w:rsidRPr="008302C9">
        <w:t>16.</w:t>
      </w:r>
      <w:r w:rsidRPr="008302C9">
        <w:tab/>
        <w:t>merkt op dat het huidige systeem meer reactief dan preventief is, aangezien de autoriteiten pas ingrijpen nadat de gevaarlijke producten aan consumenten zijn verkocht, in plaats van de distributie ervan te voorkomen; herinnert eraan dat onlinemarktplaatsen op grond van de verordening algemene productveiligheid het aanbod van een gevaarlijk product binnen twee dagen moeten verwijderen zodra zij zich ervan bewust zijn dat het product gevaarlijk is of wanneer gevolg moet worden geven aan een bevel van een overheidsinstantie om een product te verwijderen, of binnen drie dagen om gevolg te geven aan het bevel van een erkende derde partij; benadrukt bovendien dat aanbieders van onlinemarktplaatsen worden aangemoedigd om producten te controleren aan de hand van het Safety Gate Portal alvorens de producten op hun interfaces te vermelden; beklemtoont dat aselecte bemonstering en tests alleen een doeltreffend afschrikwekkend effect kunnen hebben wanneer zij systematisch en voldoende frequent worden uitgevoerd;</w:t>
      </w:r>
    </w:p>
    <w:p w14:paraId="2B821946" w14:textId="77777777" w:rsidR="00C47B01" w:rsidRPr="008302C9" w:rsidRDefault="00C47B01" w:rsidP="00C47B01">
      <w:pPr>
        <w:pStyle w:val="NormalHanging12a"/>
        <w:widowControl/>
      </w:pPr>
      <w:r w:rsidRPr="008302C9">
        <w:t>17.</w:t>
      </w:r>
      <w:r w:rsidRPr="008302C9">
        <w:tab/>
        <w:t>verzoekt de Commissie en de bevoegde nationale autoriteiten de digitaledienstenverordening krachtig te handhaven wat betreft de verantwoordelijkheid van onlinemarktplaatsen, in het bijzonder hun verplichtingen op het gebied van aanbevelingssystemen, interfaceontwerp, het recht op informatie, regels inzake op conformiteit gericht ontwerp om de algehele traceerbaarheid te vergroten, en hun verplichting uit hoofde van het beginsel “ken uw zakelijke klant”; wijst op de noodzaak van een op de digitaledienstenverordening gebaseerd netwerk van betrouwbare flaggers voor illegale producten en e-commerce om ervoor te zorgen dat platforms hun verplichtingen daadwerkelijk nakomen; herinnert eraan dat SHEIN en andere onlineplatforms, zoals Temu en AliExpress, zijn aangewezen als zeer grote onlineplatforms en onderworpen zijn aan strengere verplichtingen;</w:t>
      </w:r>
    </w:p>
    <w:p w14:paraId="39105CE9" w14:textId="77777777" w:rsidR="00C47B01" w:rsidRPr="008302C9" w:rsidRDefault="00C47B01" w:rsidP="00C47B01">
      <w:pPr>
        <w:pStyle w:val="NormalHanging12a"/>
        <w:widowControl/>
      </w:pPr>
      <w:r w:rsidRPr="008302C9">
        <w:t>18.</w:t>
      </w:r>
      <w:r w:rsidRPr="008302C9">
        <w:tab/>
        <w:t xml:space="preserve">merkt op dat de Commissie bepaalde onlinemarktplaatsen van buiten de EU onder de loep neemt voor het gebruik van manipulatieve technieken, waaronder donkere patronen, verslavende ontwerpkenmerken, misleidende marketing door influencers, en voor de verspreiding van valse of misleidende onlinerecensies; herinnert eraan dat in de geschiktheidscontrole inzake digitale rechtvaardigheid wordt geraamd dat consumenten </w:t>
      </w:r>
      <w:r w:rsidRPr="008302C9">
        <w:lastRenderedPageBreak/>
        <w:t xml:space="preserve">bijna 8 miljard EUR per jaar verliezen als gevolg van oneerlijke handelspraktijken, en benadrukt dat dergelijke methoden van uitbuiting, die met name kwetsbare gebruikers en minderjarigen treffen, impulsief aankoopgedrag en niet-duurzame consumptie in de hand werken; verzoekt de Commissie erop toe te zien dat met de komende verordening inzake digitale rechtvaardigheid deze praktijken aangepakt worden door de lacunes in de regelgeving van de huidige wetgeving te dichten; </w:t>
      </w:r>
    </w:p>
    <w:p w14:paraId="43C91F40" w14:textId="77777777" w:rsidR="00C47B01" w:rsidRPr="008302C9" w:rsidRDefault="00C47B01" w:rsidP="00C47B01">
      <w:pPr>
        <w:pStyle w:val="NormalHanging12a"/>
        <w:widowControl/>
      </w:pPr>
      <w:r w:rsidRPr="008302C9">
        <w:t>19.</w:t>
      </w:r>
      <w:r w:rsidRPr="008302C9">
        <w:tab/>
        <w:t>roept op om alle verkopers die actief zijn op onlinemarktplaatsen te verplichten een verifieerbaar retouradres en contactpunt binnen de EU ter beschikking te stellen, zodat consumenten hun rechten uit hoofde van het EU-consumentenrecht, zoals het herroepingsrecht bij onlineaankopen en het recht om niet-conforme goederen zonder extra rompslomp te kunnen terugsturen, effectief kunnen doen gelden en zodat de bevoegde autoriteiten op doeltreffende wijze inspecties kunnen uitvoeren; benadrukt dat het aan de onlinemarktplaatsen is om dit te controleren, en dat zij verantwoordelijk moeten worden gehouden voor de handhaving;</w:t>
      </w:r>
    </w:p>
    <w:p w14:paraId="15C0B477" w14:textId="77777777" w:rsidR="00C47B01" w:rsidRPr="008302C9" w:rsidRDefault="00C47B01" w:rsidP="00C47B01">
      <w:pPr>
        <w:pStyle w:val="NormalHanging12a"/>
        <w:keepNext/>
        <w:widowControl/>
        <w:rPr>
          <w:b/>
          <w:i/>
          <w:iCs/>
        </w:rPr>
      </w:pPr>
      <w:r w:rsidRPr="008302C9">
        <w:rPr>
          <w:b/>
          <w:i/>
        </w:rPr>
        <w:t>De behoefte aan hervormingen van de regelgeving</w:t>
      </w:r>
    </w:p>
    <w:p w14:paraId="1CD80762" w14:textId="77777777" w:rsidR="00C47B01" w:rsidRPr="008302C9" w:rsidRDefault="00C47B01" w:rsidP="00C47B01">
      <w:pPr>
        <w:pStyle w:val="NormalHanging12a"/>
        <w:widowControl/>
        <w:rPr>
          <w:bCs/>
        </w:rPr>
      </w:pPr>
      <w:r w:rsidRPr="008302C9">
        <w:t>20.</w:t>
      </w:r>
      <w:r w:rsidRPr="008302C9">
        <w:tab/>
        <w:t>dringt er bij de Commissie op aan om onverwijld doeltreffende maatregelen te nemen tegen onveilige en illegale producten op onlineplatforms, waaronder wetgevingsmaatregelen wanneer er duidelijk sprake is van mazen in de wetgeving, teneinde rechtszekerheid en een gelijk speelveld voor Europese bedrijven te waarborgen, met bijzondere aandacht voor kleine en middelgrote ondernemingen; wijst erop dat het huidige nalevingskader moet worden uitgevoerd en dat deze maatregelen moeten worden geëvalueerd wanneer nieuwe regelgeving wordt overwogen, waaronder nieuwe verplichtingen voor onlinemarktplaatsen;</w:t>
      </w:r>
    </w:p>
    <w:p w14:paraId="269FFF63" w14:textId="77777777" w:rsidR="00C47B01" w:rsidRPr="008302C9" w:rsidRDefault="00C47B01" w:rsidP="00C47B01">
      <w:pPr>
        <w:pStyle w:val="NormalHanging12a"/>
        <w:widowControl/>
      </w:pPr>
      <w:r w:rsidRPr="008302C9">
        <w:t>21.</w:t>
      </w:r>
      <w:r w:rsidRPr="008302C9">
        <w:tab/>
        <w:t>benadrukt dat de informatie over verantwoordelijke marktdeelnemers in de EU overeenkomstig de verordening algemene productveiligheid, die optreden namens een handelaar of platform van buiten de EU, vaak onjuist is of ontbreekt; wijst er evenwel op dat, als verkopers buiten de EU zijn gevestigd of niet traceerbaar zijn en als nepadressen worden gebruikt voor verantwoordelijke personen, er geen aansprakelijke rechtspersoon is en het voor markttoezichtautoriteiten onmogelijk is om handhavingsmaatregelen te nemen of voor consumenten om toegang te krijgen tot schadeloosstelling of rechtsmiddelen; merkt op dat zelfs wanneer deze informatie beschikbaar is, de verantwoordelijke persoon in de EU mogelijk niet aansprakelijk kan worden gesteld;</w:t>
      </w:r>
    </w:p>
    <w:p w14:paraId="63154910" w14:textId="77777777" w:rsidR="00C47B01" w:rsidRPr="008302C9" w:rsidRDefault="00C47B01" w:rsidP="00C47B01">
      <w:pPr>
        <w:pStyle w:val="NormalHanging12a"/>
        <w:widowControl/>
      </w:pPr>
      <w:r w:rsidRPr="008302C9">
        <w:t>22.</w:t>
      </w:r>
      <w:r w:rsidRPr="008302C9">
        <w:tab/>
        <w:t>is van mening dat de consument in alle gevallen verhaal moet kunnen halen; benadrukt in dit verband dat wanneer de fabrikant buiten de EU is gevestigd en er geen importeur, gemachtigde vertegenwoordiger of fulfilmentdienstverlener kan worden geïdentificeerd, onlinemarktplaatsen consumenten passende en evenredige rechtsmiddelen moeten bieden indien niet voldaan wordt aan de digitaledienstenverordening, met name de artikelen 30 en 31 daarvan, of aan artikel 22 van de verordening algemene productveiligheid;</w:t>
      </w:r>
    </w:p>
    <w:p w14:paraId="42A0CB52" w14:textId="77777777" w:rsidR="00C47B01" w:rsidRPr="008302C9" w:rsidRDefault="00C47B01" w:rsidP="00C47B01">
      <w:pPr>
        <w:pStyle w:val="NormalHanging12a"/>
        <w:widowControl/>
      </w:pPr>
      <w:r w:rsidRPr="008302C9">
        <w:t>23.</w:t>
      </w:r>
      <w:r w:rsidRPr="008302C9">
        <w:tab/>
        <w:t xml:space="preserve">neemt kennis van het voornemen van de Commissie om de verordening markttoezicht te herzien, en benadrukt dat daarbij een snelle en grondige beoordeling moet worden gemaakt van de huidige regels inzake de “verantwoordelijke persoon voor producten die in de Unie in de handel worden gebracht”, met name de regels voor handelaren van buiten de EU, voortbouwend op de resultaten van het evaluatieverslag over artikel 4 van </w:t>
      </w:r>
      <w:r w:rsidRPr="008302C9">
        <w:lastRenderedPageBreak/>
        <w:t>de verordening markttoezicht; verzoekt de Commissie vaart te zetten achter haar beoordeling van de invoering van een verplichting voor handelaren van buiten de EU om een verantwoordelijke persoon in de EU aan te wijzen die meer juridische en financiële aansprakelijkheid draagt;</w:t>
      </w:r>
    </w:p>
    <w:p w14:paraId="2DA4E0D5" w14:textId="77777777" w:rsidR="00C47B01" w:rsidRPr="008302C9" w:rsidRDefault="00C47B01" w:rsidP="00C47B01">
      <w:pPr>
        <w:pStyle w:val="NormalHanging12a"/>
        <w:widowControl/>
      </w:pPr>
      <w:r w:rsidRPr="008302C9">
        <w:t>24.</w:t>
      </w:r>
      <w:r w:rsidRPr="008302C9">
        <w:tab/>
        <w:t>is van mening dat de herziening van de verordening markttoezicht een uitgelezen kans biedt om het regelgevingskader van de EU te versterken door een duidelijker onderscheid te maken tussen de verantwoordelijkheden van platforms die producten op de markt brengen en die van platforms waarvan de activiteiten zich beperken tot het hosten van niet-productgebonden inhoud, zoals video’s, beelden of artikelen; herinnert eraan dat dit onderscheid al inherent is aan de verordening algemene productveiligheid, de verordening markttoezicht en het douanewetboek van de Unie, waarin specifieke bepalingen zijn vastgelegd voor onlinemarktplaatsen die producten verkopen; is evenwel van oordeel dat de verantwoordelijkheden van onlinemarktplaatsen die producten verkopen, moeten worden versterkt om consumenten verder te beschermen;</w:t>
      </w:r>
    </w:p>
    <w:p w14:paraId="29520F44" w14:textId="77777777" w:rsidR="00C47B01" w:rsidRPr="008302C9" w:rsidRDefault="00C47B01" w:rsidP="00C47B01">
      <w:pPr>
        <w:pStyle w:val="NormalHanging12a"/>
        <w:widowControl/>
      </w:pPr>
      <w:r w:rsidRPr="008302C9">
        <w:t>25.</w:t>
      </w:r>
      <w:r w:rsidRPr="008302C9">
        <w:tab/>
        <w:t>dringt er bij de Commissie op aan om onverwijld over te gaan tot een algehele herziening van de verordening betreffende samenwerking met betrekking tot consumentenbescherming</w:t>
      </w:r>
      <w:r w:rsidRPr="008302C9">
        <w:rPr>
          <w:rStyle w:val="FootnoteReference"/>
        </w:rPr>
        <w:footnoteReference w:id="10"/>
      </w:r>
      <w:r w:rsidRPr="008302C9">
        <w:t>, aangezien dit een voorwaarde is om tot een robuuste grensoverschrijdende handhaving van de EU-consumentenregels te komen en het verkeer van onveilige goederen te beteugelen; benadrukt dat bij de herziening concrete bepalingen moeten worden opgenomen om de handhavingscapaciteit ten aanzien van handelaren en platforms van buiten de EU te versterken, waarbij wordt gezorgd voor nauwere coördinatie en gestructureerde informatie-uitwisseling tussen EU- en nationale autoriteiten, en, in voorkomend geval, met bevoegde instanties in niet-EU-landen; onderstreept dat de Commissie directe onderzoeks- en sanctiebevoegdheden moet krijgen voor ernstige, ingrijpende inbreuken op het consumentenrecht, teneinde een consistente, gelijktijdige en afschrikkende handhaving in de hele EU te waarborgen;</w:t>
      </w:r>
    </w:p>
    <w:p w14:paraId="4C206CE8" w14:textId="77777777" w:rsidR="00C47B01" w:rsidRPr="008302C9" w:rsidRDefault="00C47B01" w:rsidP="00C47B01">
      <w:pPr>
        <w:pStyle w:val="NormalHanging12a"/>
        <w:widowControl/>
      </w:pPr>
      <w:r w:rsidRPr="008302C9">
        <w:t>26.</w:t>
      </w:r>
      <w:r w:rsidRPr="008302C9">
        <w:tab/>
        <w:t>is van mening dat mystery shopping door markttoezichtautoriteiten, zoals beschreven in de mededeling van de Commissie over e</w:t>
      </w:r>
      <w:r w:rsidRPr="008302C9">
        <w:noBreakHyphen/>
        <w:t>commerce, een essentieel middel is om te beoordelen of producten die via onlineplatforms worden aangeboden aan de wettelijke en veiligheidsregels voldoen; verzoekt om deze controles drastisch uit te breiden en regelmatiger uit te voeren met het oog op een doeltreffende handhaving, in combinatie met andere gecoördineerde handhavingsmaatregelen zoals sweeps en collegiale toetsingen; herinnert eraan dat er systematischer gebruik moet worden gemaakt van de corrigerende maatregelen waarin de verordening algemene productveiligheid voorziet om herhaalde of eerder bewezen gevallen van non-conformiteit van vergelijkbare producten aan te pakken;</w:t>
      </w:r>
    </w:p>
    <w:p w14:paraId="12FEEBE2" w14:textId="77777777" w:rsidR="00C47B01" w:rsidRPr="008302C9" w:rsidRDefault="00C47B01" w:rsidP="00C47B01">
      <w:pPr>
        <w:pStyle w:val="NormalHanging12a"/>
        <w:widowControl/>
      </w:pPr>
      <w:r w:rsidRPr="008302C9">
        <w:t>27.</w:t>
      </w:r>
      <w:r w:rsidRPr="008302C9">
        <w:tab/>
        <w:t xml:space="preserve">verzoekt de Commissie om te beoordelen of het haalbaar is om duidelijke en geharmoniseerde definities van “fast fashion” en “ultra-fast fashion” te ontwikkelen om de specifieke risico’s van deze bedrijfsmodellen aan te pakken, een gelijk speelveld voor alle marktdeelnemers te waarborgen en versnippering van de regelgeving binnen de interne markt te voorkomen; verzoekt de Commissie verder om te beoordelen of er </w:t>
      </w:r>
      <w:r w:rsidRPr="008302C9">
        <w:lastRenderedPageBreak/>
        <w:t>bepalingen vastgesteld kunnen worden die ervoor zorgen dat er uiterst doeltreffende instrumenten beschikbaar zijn om de uitdagingen aan te pakken die de toenemende verkoop van “ultrasnelle” en laagwaardige producten met zich brengt, waaronder krachtiger procedures voor conformiteitsbeoordeling en betere handhavingsinstrumenten, om te zorgen voor een interne markt waar het hoogste niveau van consumentenbescherming wordt gegarandeerd, terwijl innovatieve producten en ideeën de kans krijgen om te groeien en onnodige administratieve lasten voor verantwoordelijke bedrijven en conforme producten worden beperkt;</w:t>
      </w:r>
    </w:p>
    <w:p w14:paraId="58ABEA48" w14:textId="77777777" w:rsidR="00C47B01" w:rsidRPr="008302C9" w:rsidRDefault="00C47B01" w:rsidP="00C47B01">
      <w:pPr>
        <w:pStyle w:val="NormalHanging12a"/>
        <w:widowControl/>
      </w:pPr>
      <w:r w:rsidRPr="008302C9">
        <w:t>28.</w:t>
      </w:r>
      <w:r w:rsidRPr="008302C9">
        <w:tab/>
        <w:t>dringt er voorts bij de lidstaten op aan om de digitalisering van de invoerprocedures bij de douanediensten aanzienlijk te versnellen, met de steun van de EU-douanedatahub, teneinde de doeltreffende toepassing van de huidige wetgeving te waarborgen en de douaneafhandeling te versnellen, met name gezien de exponentiële groei van de pakketvolumes; roept de lidstaten op om meer gebruik te maken van geautomatiseerde processen, zoals het automatisch scannen van etiketten bij de verwerking van pakketten door douanediensten; benadrukt dat het wijdverbreide gebruik van het digitale productpaspoort het mogelijk zou maken om vooraf nalevingscontroles uit te voeren voor alle producten die via e-commerce worden ingevoerd, aangezien het paspoort gedetailleerde informatie over de kwaliteit en conformiteit zou bevatten en rechtstreeks in de EU-douanedatahub zou worden geïntegreerd; verzoekt de Commissie zo spoedig mogelijk alle fysieke goederen die in de EU in de handel worden gebracht van een digitaal productpaspoort te voorzien;</w:t>
      </w:r>
    </w:p>
    <w:p w14:paraId="5647BA4D" w14:textId="77777777" w:rsidR="00C47B01" w:rsidRPr="008302C9" w:rsidRDefault="00C47B01" w:rsidP="00C47B01">
      <w:pPr>
        <w:pStyle w:val="NormalHanging12a"/>
        <w:widowControl/>
      </w:pPr>
      <w:r w:rsidRPr="008302C9">
        <w:t>29.</w:t>
      </w:r>
      <w:r w:rsidRPr="008302C9">
        <w:tab/>
        <w:t>dringt er bij de lidstaten op aan om de douanecontroles aanzienlijk op te schroeven en de capaciteit voor risicoanalyse te versterken, daarbij ondersteund door de risicobeheertaken die door de Commissie en de EU-douaneautoriteit zullen worden uitgevoerd als gevolg van de hervorming van het douanewetboek van de Unie, zodat niet-conforme goederen snel worden opgespoord en onderschept, waardoor de schade voor EU-consumenten wordt beperkt en de economische belangen van EU-bedrijven worden beschermd; wijst erop dat de capaciteit van de douanecentra moet worden versterkt, zodat zij het zeer grote volume aan kleine pakketten dat aan de traditionele controlemethoden ontsnapt, op doeltreffende wijze kunnen verwerken, door onder meer geavanceerde screeningtechnologieën in te zetten om verdachte zendingen op de plaats van binnenkomst te identificeren; dringt aan op striktere nalevingscontroles, in combinatie met willekeurige inspecties, voor vervoer met een hoog tonnage;</w:t>
      </w:r>
    </w:p>
    <w:p w14:paraId="18C2F644" w14:textId="77777777" w:rsidR="00C47B01" w:rsidRPr="008302C9" w:rsidRDefault="00C47B01" w:rsidP="00C47B01">
      <w:pPr>
        <w:pStyle w:val="NormalHanging12a"/>
        <w:widowControl/>
      </w:pPr>
      <w:r w:rsidRPr="008302C9">
        <w:t>30.</w:t>
      </w:r>
      <w:r w:rsidRPr="008302C9">
        <w:tab/>
        <w:t>onderstreept dat, gezien de dringende noodzaak om de douanecontroles te versterken, het tijdschema voor de uitvoering van de belangrijkste verplichtingen in het kader van de herziening van het douanewetboek van de Unie moet worden vervroegd, met name wat betreft de oprichting van de EU-douanedatahub; verzoekt de Commissie met klem onverwijld alle voorbereidende maatregelen te nemen die nodig zijn voor de oprichting ervan en ervoor te zorgen dat de functionaliteiten voor e-commerce van de hub vóór de streefdatum van 2026 volledig operationeel zijn; is ingenomen met het politieke akkoord dat in de Raad is bereikt om de drempel van 150 EUR voor vrijstelling van douanerechten af te schaffen, aangezien dit een essentiële maatregel is om systematisch misbruik van zendingen van geringe waarde aan banden te leggen;</w:t>
      </w:r>
    </w:p>
    <w:p w14:paraId="0A6E3D76" w14:textId="77777777" w:rsidR="00C47B01" w:rsidRPr="008302C9" w:rsidRDefault="00C47B01" w:rsidP="00C47B01">
      <w:pPr>
        <w:pStyle w:val="NormalHanging12a"/>
        <w:widowControl/>
      </w:pPr>
      <w:r w:rsidRPr="008302C9">
        <w:t>31.</w:t>
      </w:r>
      <w:r w:rsidRPr="008302C9">
        <w:tab/>
        <w:t xml:space="preserve">stelt vast dat handelaren en platforms van buiten de EU in sommige gevallen niet-conforme en soms gevaarlijke goederen op de EU-markt brengen zonder daarvan enig gevolg te moeten dragen; merkt op dat de hervorming van het douanewetboek van de Unie moet helpen om de mazen in de wetgeving te dichten in verband met de </w:t>
      </w:r>
      <w:r w:rsidRPr="008302C9">
        <w:lastRenderedPageBreak/>
        <w:t>aansprakelijkheid voor niet-conforme producten die het douanegebied van de EU binnenkomen;</w:t>
      </w:r>
    </w:p>
    <w:p w14:paraId="42389888" w14:textId="77777777" w:rsidR="00C47B01" w:rsidRPr="008302C9" w:rsidRDefault="00C47B01" w:rsidP="00C47B01">
      <w:pPr>
        <w:pStyle w:val="NormalHanging12a"/>
        <w:widowControl/>
      </w:pPr>
      <w:r w:rsidRPr="008302C9">
        <w:t>32.</w:t>
      </w:r>
      <w:r w:rsidRPr="008302C9">
        <w:tab/>
        <w:t>roept consumentenautoriteiten, consumentenorganisaties, sectorale organen en kamers van koophandel op om hun gezamenlijke voorlichtingsactiviteiten te intensiveren, zodat consumenten duidelijke en toegankelijke informatie krijgen over hun rechten en de risico’s die verbonden zijn aan onlineaankopen, met name op platforms van buiten de EU; dringt er met klem op aan dat bij dergelijke initiatieven duidelijk wordt gewezen op de bestaande verhaalsmogelijkheden, met inbegrip van mechanismen voor collectief verhaal, om ervoor te zorgen dat consumenten over effectieve rechtsmiddelen beschikken wanneer zij te maken krijgen met onveilige of illegale producten;</w:t>
      </w:r>
    </w:p>
    <w:p w14:paraId="122AB9BA" w14:textId="77777777" w:rsidR="00C47B01" w:rsidRPr="008302C9" w:rsidRDefault="00C47B01" w:rsidP="00C47B01">
      <w:pPr>
        <w:pStyle w:val="NormalHanging12a"/>
        <w:keepNext/>
        <w:widowControl/>
        <w:jc w:val="center"/>
      </w:pPr>
      <w:r w:rsidRPr="008302C9">
        <w:t>°</w:t>
      </w:r>
    </w:p>
    <w:p w14:paraId="0C23D802" w14:textId="77777777" w:rsidR="00C47B01" w:rsidRPr="008302C9" w:rsidRDefault="00C47B01" w:rsidP="00C47B01">
      <w:pPr>
        <w:pStyle w:val="NormalHanging12a"/>
        <w:keepNext/>
        <w:widowControl/>
        <w:jc w:val="center"/>
      </w:pPr>
      <w:r w:rsidRPr="008302C9">
        <w:t>°</w:t>
      </w:r>
      <w:r w:rsidRPr="008302C9">
        <w:tab/>
        <w:t>°</w:t>
      </w:r>
    </w:p>
    <w:p w14:paraId="378C3F06" w14:textId="56FE1435" w:rsidR="006937FB" w:rsidRPr="008302C9" w:rsidRDefault="00C47B01" w:rsidP="006937FB">
      <w:pPr>
        <w:pStyle w:val="NormalHanging12a"/>
        <w:widowControl/>
      </w:pPr>
      <w:r w:rsidRPr="008302C9">
        <w:t>33.</w:t>
      </w:r>
      <w:r w:rsidR="00E66BD4" w:rsidRPr="008302C9">
        <w:tab/>
      </w:r>
      <w:r w:rsidRPr="008302C9">
        <w:t xml:space="preserve">verzoekt zijn Voorzitter deze resolutie te doen toekomen </w:t>
      </w:r>
      <w:r w:rsidR="006937FB" w:rsidRPr="008302C9">
        <w:t>aan de Raad en de Commissie.</w:t>
      </w:r>
    </w:p>
    <w:sectPr w:rsidR="006937FB" w:rsidRPr="008302C9" w:rsidSect="006937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83C68" w14:textId="77777777" w:rsidR="005C0156" w:rsidRPr="006937FB" w:rsidRDefault="005C0156">
      <w:r w:rsidRPr="006937FB">
        <w:separator/>
      </w:r>
    </w:p>
  </w:endnote>
  <w:endnote w:type="continuationSeparator" w:id="0">
    <w:p w14:paraId="2D986D86" w14:textId="77777777" w:rsidR="005C0156" w:rsidRPr="006937FB" w:rsidRDefault="005C0156">
      <w:r w:rsidRPr="006937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BE395" w14:textId="77777777" w:rsidR="00064002" w:rsidRPr="006937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BD41C" w14:textId="77777777" w:rsidR="00064002" w:rsidRPr="006937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95DE4" w14:textId="77777777" w:rsidR="00064002" w:rsidRPr="006937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54721" w14:textId="77777777" w:rsidR="005C0156" w:rsidRPr="006937FB" w:rsidRDefault="005C0156">
      <w:r w:rsidRPr="006937FB">
        <w:separator/>
      </w:r>
    </w:p>
  </w:footnote>
  <w:footnote w:type="continuationSeparator" w:id="0">
    <w:p w14:paraId="63F4CA44" w14:textId="77777777" w:rsidR="005C0156" w:rsidRPr="006937FB" w:rsidRDefault="005C0156">
      <w:r w:rsidRPr="006937FB">
        <w:continuationSeparator/>
      </w:r>
    </w:p>
  </w:footnote>
  <w:footnote w:id="1">
    <w:p w14:paraId="22A2A330" w14:textId="3CCDFDEF" w:rsidR="00C47B01" w:rsidRPr="008302C9" w:rsidRDefault="00C47B01" w:rsidP="006937FB">
      <w:pPr>
        <w:pStyle w:val="FootnoteText"/>
        <w:ind w:left="567" w:hanging="567"/>
        <w:rPr>
          <w:sz w:val="24"/>
          <w:lang w:val="fi-FI"/>
        </w:rPr>
      </w:pPr>
      <w:r w:rsidRPr="006937FB">
        <w:rPr>
          <w:rStyle w:val="FootnoteReference"/>
          <w:sz w:val="24"/>
          <w:lang w:val="nl-NL"/>
        </w:rPr>
        <w:footnoteRef/>
      </w:r>
      <w:r w:rsidR="006937FB" w:rsidRPr="008302C9">
        <w:rPr>
          <w:sz w:val="24"/>
          <w:lang w:val="fi-FI"/>
        </w:rPr>
        <w:t xml:space="preserve"> </w:t>
      </w:r>
      <w:r w:rsidR="006937FB" w:rsidRPr="008302C9">
        <w:rPr>
          <w:sz w:val="24"/>
          <w:lang w:val="fi-FI"/>
        </w:rPr>
        <w:tab/>
      </w:r>
      <w:r w:rsidRPr="008302C9">
        <w:rPr>
          <w:sz w:val="24"/>
          <w:lang w:val="fi-FI"/>
        </w:rPr>
        <w:t xml:space="preserve">PB C, C/2025/1035, 27.2.2025, ELI: </w:t>
      </w:r>
      <w:hyperlink r:id="rId1" w:history="1">
        <w:r w:rsidRPr="008302C9">
          <w:rPr>
            <w:rStyle w:val="Hyperlink"/>
            <w:sz w:val="24"/>
            <w:lang w:val="fi-FI"/>
          </w:rPr>
          <w:t>http://data.europa.eu/eli/C/2025/1035/oj</w:t>
        </w:r>
      </w:hyperlink>
      <w:r w:rsidRPr="008302C9">
        <w:rPr>
          <w:sz w:val="24"/>
          <w:lang w:val="fi-FI"/>
        </w:rPr>
        <w:t>.</w:t>
      </w:r>
    </w:p>
  </w:footnote>
  <w:footnote w:id="2">
    <w:p w14:paraId="545B3251" w14:textId="4A9A46A9" w:rsidR="00C47B01" w:rsidRPr="008302C9" w:rsidRDefault="00C47B01" w:rsidP="006937FB">
      <w:pPr>
        <w:pStyle w:val="FootnoteText"/>
        <w:ind w:left="567" w:hanging="567"/>
        <w:rPr>
          <w:sz w:val="24"/>
          <w:lang w:val="fi-FI"/>
        </w:rPr>
      </w:pPr>
      <w:r w:rsidRPr="006937FB">
        <w:rPr>
          <w:rStyle w:val="FootnoteReference"/>
          <w:sz w:val="24"/>
          <w:lang w:val="nl-NL"/>
        </w:rPr>
        <w:footnoteRef/>
      </w:r>
      <w:r w:rsidR="006937FB" w:rsidRPr="008302C9">
        <w:rPr>
          <w:sz w:val="24"/>
          <w:lang w:val="fi-FI"/>
        </w:rPr>
        <w:t xml:space="preserve"> </w:t>
      </w:r>
      <w:r w:rsidR="006937FB" w:rsidRPr="008302C9">
        <w:rPr>
          <w:sz w:val="24"/>
          <w:lang w:val="fi-FI"/>
        </w:rPr>
        <w:tab/>
      </w:r>
      <w:r w:rsidRPr="008302C9">
        <w:rPr>
          <w:sz w:val="24"/>
          <w:lang w:val="fi-FI"/>
        </w:rPr>
        <w:t xml:space="preserve">PB L, 2024/3015, 12.12.2024, ELI: </w:t>
      </w:r>
      <w:hyperlink r:id="rId2" w:history="1">
        <w:r w:rsidRPr="008302C9">
          <w:rPr>
            <w:rStyle w:val="Hyperlink"/>
            <w:sz w:val="24"/>
            <w:lang w:val="fi-FI"/>
          </w:rPr>
          <w:t>http://data.europa.eu/eli/reg/2024/3015/oj</w:t>
        </w:r>
      </w:hyperlink>
      <w:r w:rsidRPr="008302C9">
        <w:rPr>
          <w:sz w:val="24"/>
          <w:lang w:val="fi-FI"/>
        </w:rPr>
        <w:t>.</w:t>
      </w:r>
    </w:p>
  </w:footnote>
  <w:footnote w:id="3">
    <w:p w14:paraId="49A62B03" w14:textId="56AA705F" w:rsidR="00C47B01" w:rsidRPr="008302C9" w:rsidRDefault="00C47B01" w:rsidP="006937FB">
      <w:pPr>
        <w:pStyle w:val="FootnoteText"/>
        <w:ind w:left="567" w:hanging="567"/>
        <w:rPr>
          <w:sz w:val="24"/>
          <w:lang w:val="fi-FI"/>
        </w:rPr>
      </w:pPr>
      <w:r w:rsidRPr="006937FB">
        <w:rPr>
          <w:rStyle w:val="FootnoteReference"/>
          <w:sz w:val="24"/>
          <w:lang w:val="nl-NL"/>
        </w:rPr>
        <w:footnoteRef/>
      </w:r>
      <w:r w:rsidR="006937FB" w:rsidRPr="008302C9">
        <w:rPr>
          <w:sz w:val="24"/>
          <w:lang w:val="fi-FI"/>
        </w:rPr>
        <w:t xml:space="preserve"> </w:t>
      </w:r>
      <w:r w:rsidR="006937FB" w:rsidRPr="008302C9">
        <w:rPr>
          <w:sz w:val="24"/>
          <w:lang w:val="fi-FI"/>
        </w:rPr>
        <w:tab/>
      </w:r>
      <w:r w:rsidRPr="008302C9">
        <w:rPr>
          <w:sz w:val="24"/>
          <w:lang w:val="fi-FI"/>
        </w:rPr>
        <w:t xml:space="preserve">PB L, 2024/1760, 5.7.2024, ELI: </w:t>
      </w:r>
      <w:hyperlink r:id="rId3" w:history="1">
        <w:r w:rsidRPr="008302C9">
          <w:rPr>
            <w:rStyle w:val="Hyperlink"/>
            <w:sz w:val="24"/>
            <w:lang w:val="fi-FI"/>
          </w:rPr>
          <w:t>http://data.europa.eu/eli/dir/2024/1760/oj</w:t>
        </w:r>
      </w:hyperlink>
      <w:r w:rsidRPr="008302C9">
        <w:rPr>
          <w:sz w:val="24"/>
          <w:lang w:val="fi-FI"/>
        </w:rPr>
        <w:t>.</w:t>
      </w:r>
    </w:p>
  </w:footnote>
  <w:footnote w:id="4">
    <w:p w14:paraId="06CCE6EA" w14:textId="6B5249DF" w:rsidR="00C47B01" w:rsidRPr="008302C9" w:rsidRDefault="00C47B01" w:rsidP="006937FB">
      <w:pPr>
        <w:pStyle w:val="FootnoteText"/>
        <w:ind w:left="567" w:hanging="567"/>
        <w:rPr>
          <w:sz w:val="24"/>
          <w:lang w:val="en-GB"/>
        </w:rPr>
      </w:pPr>
      <w:r w:rsidRPr="006937FB">
        <w:rPr>
          <w:rStyle w:val="FootnoteReference"/>
          <w:sz w:val="24"/>
          <w:lang w:val="nl-NL"/>
        </w:rPr>
        <w:footnoteRef/>
      </w:r>
      <w:r w:rsidR="006937FB" w:rsidRPr="008302C9">
        <w:rPr>
          <w:sz w:val="24"/>
          <w:lang w:val="en-GB"/>
        </w:rPr>
        <w:t xml:space="preserve"> </w:t>
      </w:r>
      <w:r w:rsidR="006937FB" w:rsidRPr="008302C9">
        <w:rPr>
          <w:sz w:val="24"/>
          <w:lang w:val="en-GB"/>
        </w:rPr>
        <w:tab/>
      </w:r>
      <w:r w:rsidRPr="008302C9">
        <w:rPr>
          <w:sz w:val="24"/>
          <w:lang w:val="en-GB"/>
        </w:rPr>
        <w:t>Letta, E., “</w:t>
      </w:r>
      <w:hyperlink r:id="rId4" w:history="1">
        <w:r w:rsidRPr="008302C9">
          <w:rPr>
            <w:rStyle w:val="Hyperlink"/>
            <w:sz w:val="24"/>
            <w:lang w:val="en-GB"/>
          </w:rPr>
          <w:t>Much more than a market:</w:t>
        </w:r>
      </w:hyperlink>
      <w:hyperlink r:id="rId5" w:history="1">
        <w:r w:rsidRPr="008302C9">
          <w:rPr>
            <w:rStyle w:val="Hyperlink"/>
            <w:sz w:val="24"/>
            <w:lang w:val="en-GB"/>
          </w:rPr>
          <w:t xml:space="preserve"> Speed, Security, Solidarity – Empowering the Single Market to deliver a sustainable future and prosperity for all EU Citizens</w:t>
        </w:r>
      </w:hyperlink>
      <w:r w:rsidRPr="008302C9">
        <w:rPr>
          <w:sz w:val="24"/>
          <w:lang w:val="en-GB"/>
        </w:rPr>
        <w:t xml:space="preserve">”, </w:t>
      </w:r>
      <w:proofErr w:type="spellStart"/>
      <w:r w:rsidRPr="008302C9">
        <w:rPr>
          <w:sz w:val="24"/>
          <w:lang w:val="en-GB"/>
        </w:rPr>
        <w:t>april</w:t>
      </w:r>
      <w:proofErr w:type="spellEnd"/>
      <w:r w:rsidRPr="008302C9">
        <w:rPr>
          <w:sz w:val="24"/>
          <w:lang w:val="en-GB"/>
        </w:rPr>
        <w:t> 2024.</w:t>
      </w:r>
    </w:p>
  </w:footnote>
  <w:footnote w:id="5">
    <w:p w14:paraId="7DC343CB" w14:textId="572F385A" w:rsidR="00C47B01" w:rsidRPr="006937FB" w:rsidRDefault="00C47B01" w:rsidP="006937FB">
      <w:pPr>
        <w:pStyle w:val="FootnoteText"/>
        <w:ind w:left="567" w:hanging="567"/>
        <w:rPr>
          <w:sz w:val="24"/>
          <w:lang w:val="nl-NL"/>
        </w:rPr>
      </w:pPr>
      <w:r w:rsidRPr="006937FB">
        <w:rPr>
          <w:rStyle w:val="FootnoteReference"/>
          <w:sz w:val="24"/>
          <w:lang w:val="nl-NL"/>
        </w:rPr>
        <w:footnoteRef/>
      </w:r>
      <w:r w:rsidR="006937FB" w:rsidRPr="006937FB">
        <w:rPr>
          <w:sz w:val="24"/>
          <w:lang w:val="nl-NL"/>
        </w:rPr>
        <w:t xml:space="preserve"> </w:t>
      </w:r>
      <w:r w:rsidR="006937FB" w:rsidRPr="006937FB">
        <w:rPr>
          <w:sz w:val="24"/>
          <w:lang w:val="nl-NL"/>
        </w:rPr>
        <w:tab/>
      </w:r>
      <w:r w:rsidRPr="006937FB">
        <w:rPr>
          <w:sz w:val="24"/>
          <w:lang w:val="nl-NL"/>
        </w:rPr>
        <w:t>PB L 277 van 27.10.2022, blz. 1, ELI: </w:t>
      </w:r>
      <w:hyperlink r:id="rId6" w:tooltip="Geeft toegang tot dit document via de ELI‑URI." w:history="1">
        <w:r w:rsidRPr="006937FB">
          <w:rPr>
            <w:rStyle w:val="Hyperlink"/>
            <w:sz w:val="24"/>
            <w:lang w:val="nl-NL"/>
          </w:rPr>
          <w:t>http://data.europa.eu/eli/reg/2022/2065/oj</w:t>
        </w:r>
      </w:hyperlink>
      <w:r w:rsidRPr="006937FB">
        <w:rPr>
          <w:sz w:val="24"/>
          <w:lang w:val="nl-NL"/>
        </w:rPr>
        <w:t>.</w:t>
      </w:r>
    </w:p>
  </w:footnote>
  <w:footnote w:id="6">
    <w:p w14:paraId="470CCA11" w14:textId="77CA0DF1" w:rsidR="00C47B01" w:rsidRPr="006937FB" w:rsidRDefault="00C47B01" w:rsidP="006937FB">
      <w:pPr>
        <w:pStyle w:val="FootnoteText"/>
        <w:ind w:left="567" w:hanging="567"/>
        <w:rPr>
          <w:sz w:val="24"/>
          <w:lang w:val="nl-NL"/>
        </w:rPr>
      </w:pPr>
      <w:r w:rsidRPr="006937FB">
        <w:rPr>
          <w:rStyle w:val="FootnoteReference"/>
          <w:sz w:val="24"/>
          <w:lang w:val="nl-NL"/>
        </w:rPr>
        <w:footnoteRef/>
      </w:r>
      <w:r w:rsidR="006937FB" w:rsidRPr="006937FB">
        <w:rPr>
          <w:sz w:val="24"/>
          <w:lang w:val="nl-NL"/>
        </w:rPr>
        <w:t xml:space="preserve"> </w:t>
      </w:r>
      <w:r w:rsidR="006937FB" w:rsidRPr="006937FB">
        <w:rPr>
          <w:sz w:val="24"/>
          <w:lang w:val="nl-NL"/>
        </w:rPr>
        <w:tab/>
      </w:r>
      <w:r w:rsidRPr="006937FB">
        <w:rPr>
          <w:sz w:val="24"/>
          <w:lang w:val="nl-NL"/>
        </w:rPr>
        <w:t>PB L 265 van 12.10.2022, blz. 1, ELI: </w:t>
      </w:r>
      <w:hyperlink r:id="rId7" w:tooltip="Geeft toegang tot dit document via de ELI‑URI." w:history="1">
        <w:r w:rsidRPr="006937FB">
          <w:rPr>
            <w:rStyle w:val="Hyperlink"/>
            <w:sz w:val="24"/>
            <w:lang w:val="nl-NL"/>
          </w:rPr>
          <w:t>http://data.europa.eu/eli/reg/2022/1925/oj</w:t>
        </w:r>
      </w:hyperlink>
      <w:r w:rsidRPr="006937FB">
        <w:rPr>
          <w:sz w:val="24"/>
          <w:lang w:val="nl-NL"/>
        </w:rPr>
        <w:t>.</w:t>
      </w:r>
    </w:p>
  </w:footnote>
  <w:footnote w:id="7">
    <w:p w14:paraId="50B0C9D0" w14:textId="3380D0CB" w:rsidR="00C47B01" w:rsidRPr="006937FB" w:rsidRDefault="00C47B01" w:rsidP="006937FB">
      <w:pPr>
        <w:pStyle w:val="FootnoteText"/>
        <w:ind w:left="567" w:hanging="567"/>
        <w:rPr>
          <w:sz w:val="24"/>
          <w:lang w:val="nl-NL"/>
        </w:rPr>
      </w:pPr>
      <w:r w:rsidRPr="006937FB">
        <w:rPr>
          <w:rStyle w:val="FootnoteReference"/>
          <w:sz w:val="24"/>
          <w:lang w:val="nl-NL"/>
        </w:rPr>
        <w:footnoteRef/>
      </w:r>
      <w:r w:rsidR="006937FB" w:rsidRPr="006937FB">
        <w:rPr>
          <w:sz w:val="24"/>
          <w:lang w:val="nl-NL"/>
        </w:rPr>
        <w:t xml:space="preserve"> </w:t>
      </w:r>
      <w:r w:rsidR="006937FB" w:rsidRPr="006937FB">
        <w:rPr>
          <w:sz w:val="24"/>
          <w:lang w:val="nl-NL"/>
        </w:rPr>
        <w:tab/>
      </w:r>
      <w:r w:rsidRPr="006937FB">
        <w:rPr>
          <w:sz w:val="24"/>
          <w:lang w:val="nl-NL"/>
        </w:rPr>
        <w:t>PB L 135 van 23.5.2023, blz. 1, ELI: </w:t>
      </w:r>
      <w:hyperlink r:id="rId8" w:tooltip="Geeft toegang tot dit document via de ELI‑URI." w:history="1">
        <w:r w:rsidRPr="006937FB">
          <w:rPr>
            <w:rStyle w:val="Hyperlink"/>
            <w:sz w:val="24"/>
            <w:lang w:val="nl-NL"/>
          </w:rPr>
          <w:t>http://data.europa.eu/eli/reg/2023/988/oj</w:t>
        </w:r>
      </w:hyperlink>
      <w:r w:rsidRPr="006937FB">
        <w:rPr>
          <w:sz w:val="24"/>
          <w:lang w:val="nl-NL"/>
        </w:rPr>
        <w:t>.</w:t>
      </w:r>
    </w:p>
  </w:footnote>
  <w:footnote w:id="8">
    <w:p w14:paraId="293B1006" w14:textId="1EFAD69B" w:rsidR="00C47B01" w:rsidRPr="006937FB" w:rsidRDefault="00C47B01" w:rsidP="006937FB">
      <w:pPr>
        <w:pStyle w:val="FootnoteText"/>
        <w:ind w:left="567" w:hanging="567"/>
        <w:rPr>
          <w:sz w:val="24"/>
          <w:lang w:val="nl-NL"/>
        </w:rPr>
      </w:pPr>
      <w:r w:rsidRPr="006937FB">
        <w:rPr>
          <w:rStyle w:val="FootnoteReference"/>
          <w:sz w:val="24"/>
          <w:lang w:val="nl-NL"/>
        </w:rPr>
        <w:footnoteRef/>
      </w:r>
      <w:r w:rsidR="006937FB" w:rsidRPr="006937FB">
        <w:rPr>
          <w:sz w:val="24"/>
          <w:lang w:val="nl-NL"/>
        </w:rPr>
        <w:t xml:space="preserve"> </w:t>
      </w:r>
      <w:r w:rsidR="006937FB" w:rsidRPr="006937FB">
        <w:rPr>
          <w:sz w:val="24"/>
          <w:lang w:val="nl-NL"/>
        </w:rPr>
        <w:tab/>
      </w:r>
      <w:r w:rsidRPr="006937FB">
        <w:rPr>
          <w:sz w:val="24"/>
          <w:lang w:val="nl-NL"/>
        </w:rPr>
        <w:t>PB L 169 van 25.6.2019, blz. 1, ELI: </w:t>
      </w:r>
      <w:hyperlink r:id="rId9" w:tooltip="Geeft toegang tot dit document via de ELI‑URI." w:history="1">
        <w:r w:rsidRPr="006937FB">
          <w:rPr>
            <w:rStyle w:val="Hyperlink"/>
            <w:sz w:val="24"/>
            <w:lang w:val="nl-NL"/>
          </w:rPr>
          <w:t>http://data.europa.eu/eli/reg/2019/1020/oj</w:t>
        </w:r>
      </w:hyperlink>
      <w:r w:rsidRPr="006937FB">
        <w:rPr>
          <w:sz w:val="24"/>
          <w:lang w:val="nl-NL"/>
        </w:rPr>
        <w:t>.</w:t>
      </w:r>
    </w:p>
  </w:footnote>
  <w:footnote w:id="9">
    <w:p w14:paraId="59E27964" w14:textId="7E1E9898" w:rsidR="00C47B01" w:rsidRPr="008302C9" w:rsidRDefault="00C47B01" w:rsidP="006937FB">
      <w:pPr>
        <w:pStyle w:val="FootnoteText"/>
        <w:ind w:left="567" w:hanging="567"/>
        <w:rPr>
          <w:sz w:val="24"/>
          <w:lang w:val="da-DK"/>
        </w:rPr>
      </w:pPr>
      <w:r w:rsidRPr="006937FB">
        <w:rPr>
          <w:rStyle w:val="FootnoteReference"/>
          <w:sz w:val="24"/>
          <w:lang w:val="nl-NL"/>
        </w:rPr>
        <w:footnoteRef/>
      </w:r>
      <w:r w:rsidR="006937FB" w:rsidRPr="008302C9">
        <w:rPr>
          <w:sz w:val="24"/>
          <w:lang w:val="da-DK"/>
        </w:rPr>
        <w:t xml:space="preserve"> </w:t>
      </w:r>
      <w:r w:rsidR="006937FB" w:rsidRPr="008302C9">
        <w:rPr>
          <w:sz w:val="24"/>
          <w:lang w:val="da-DK"/>
        </w:rPr>
        <w:tab/>
      </w:r>
      <w:r w:rsidRPr="008302C9">
        <w:rPr>
          <w:sz w:val="24"/>
          <w:lang w:val="da-DK"/>
        </w:rPr>
        <w:t>PB L, 2024/2853, 18.11.2024, ELI: </w:t>
      </w:r>
      <w:hyperlink r:id="rId10" w:tgtFrame="_blank" w:tooltip="Geeft toegang tot dit document via de ELI‑URI." w:history="1">
        <w:r w:rsidRPr="008302C9">
          <w:rPr>
            <w:rStyle w:val="Hyperlink"/>
            <w:sz w:val="24"/>
            <w:lang w:val="da-DK"/>
          </w:rPr>
          <w:t>http://data.europa.eu/eli/dir/2024/2853/oj</w:t>
        </w:r>
      </w:hyperlink>
      <w:r w:rsidRPr="008302C9">
        <w:rPr>
          <w:sz w:val="24"/>
          <w:lang w:val="da-DK"/>
        </w:rPr>
        <w:t>.</w:t>
      </w:r>
    </w:p>
  </w:footnote>
  <w:footnote w:id="10">
    <w:p w14:paraId="6057C88B" w14:textId="4C3114FB" w:rsidR="00C47B01" w:rsidRPr="006937FB" w:rsidRDefault="00C47B01" w:rsidP="006937FB">
      <w:pPr>
        <w:pStyle w:val="FootnoteText"/>
        <w:ind w:left="567" w:hanging="567"/>
        <w:rPr>
          <w:sz w:val="24"/>
          <w:lang w:val="nl-NL"/>
        </w:rPr>
      </w:pPr>
      <w:r w:rsidRPr="006937FB">
        <w:rPr>
          <w:rStyle w:val="FootnoteReference"/>
          <w:sz w:val="24"/>
          <w:lang w:val="nl-NL"/>
        </w:rPr>
        <w:footnoteRef/>
      </w:r>
      <w:r w:rsidR="006937FB" w:rsidRPr="006937FB">
        <w:rPr>
          <w:sz w:val="24"/>
          <w:lang w:val="nl-NL"/>
        </w:rPr>
        <w:t xml:space="preserve"> </w:t>
      </w:r>
      <w:r w:rsidR="006937FB" w:rsidRPr="006937FB">
        <w:rPr>
          <w:sz w:val="24"/>
          <w:lang w:val="nl-NL"/>
        </w:rPr>
        <w:tab/>
      </w:r>
      <w:r w:rsidRPr="006937FB">
        <w:rPr>
          <w:sz w:val="24"/>
          <w:lang w:val="nl-NL"/>
        </w:rPr>
        <w:t>Verordening (EU) 2017/2394 van het Europees Parlement en de Raad van 12 december 2017 betreffende samenwerking tussen de nationale autoriteiten die verantwoordelijk zijn voor handhaving van de wetgeving inzake consumentenbescherming en tot intrekking van Verordening (EG) nr. 2006/2004 (PB L 345 van 27.12.2017, blz. 1, ELI: </w:t>
      </w:r>
      <w:hyperlink r:id="rId11" w:tooltip="Geeft toegang tot dit document via de ELI‑URI." w:history="1">
        <w:r w:rsidRPr="006937FB">
          <w:rPr>
            <w:rStyle w:val="Hyperlink"/>
            <w:sz w:val="24"/>
            <w:lang w:val="nl-NL"/>
          </w:rPr>
          <w:t>http://data.europa.eu/eli/reg/2017/2394/oj</w:t>
        </w:r>
      </w:hyperlink>
      <w:r w:rsidRPr="006937FB">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4D660" w14:textId="77777777" w:rsidR="00064002" w:rsidRPr="006937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375A" w14:textId="77777777" w:rsidR="00064002" w:rsidRPr="006937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42B77" w14:textId="77777777" w:rsidR="00064002" w:rsidRPr="006937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5783959">
    <w:abstractNumId w:val="9"/>
  </w:num>
  <w:num w:numId="2" w16cid:durableId="1196191282">
    <w:abstractNumId w:val="9"/>
  </w:num>
  <w:num w:numId="3" w16cid:durableId="469636202">
    <w:abstractNumId w:val="7"/>
  </w:num>
  <w:num w:numId="4" w16cid:durableId="9376058">
    <w:abstractNumId w:val="7"/>
  </w:num>
  <w:num w:numId="5" w16cid:durableId="635258068">
    <w:abstractNumId w:val="6"/>
  </w:num>
  <w:num w:numId="6" w16cid:durableId="546526959">
    <w:abstractNumId w:val="6"/>
  </w:num>
  <w:num w:numId="7" w16cid:durableId="1289125216">
    <w:abstractNumId w:val="5"/>
  </w:num>
  <w:num w:numId="8" w16cid:durableId="979308354">
    <w:abstractNumId w:val="5"/>
  </w:num>
  <w:num w:numId="9" w16cid:durableId="227692915">
    <w:abstractNumId w:val="4"/>
  </w:num>
  <w:num w:numId="10" w16cid:durableId="345985512">
    <w:abstractNumId w:val="4"/>
  </w:num>
  <w:num w:numId="11" w16cid:durableId="1903322041">
    <w:abstractNumId w:val="8"/>
  </w:num>
  <w:num w:numId="12" w16cid:durableId="1460760986">
    <w:abstractNumId w:val="8"/>
  </w:num>
  <w:num w:numId="13" w16cid:durableId="973024365">
    <w:abstractNumId w:val="3"/>
  </w:num>
  <w:num w:numId="14" w16cid:durableId="1783648963">
    <w:abstractNumId w:val="3"/>
  </w:num>
  <w:num w:numId="15" w16cid:durableId="103692047">
    <w:abstractNumId w:val="2"/>
  </w:num>
  <w:num w:numId="16" w16cid:durableId="1867987440">
    <w:abstractNumId w:val="2"/>
  </w:num>
  <w:num w:numId="17" w16cid:durableId="1461806916">
    <w:abstractNumId w:val="1"/>
  </w:num>
  <w:num w:numId="18" w16cid:durableId="512451389">
    <w:abstractNumId w:val="1"/>
  </w:num>
  <w:num w:numId="19" w16cid:durableId="2075351647">
    <w:abstractNumId w:val="0"/>
  </w:num>
  <w:num w:numId="20" w16cid:durableId="2014841311">
    <w:abstractNumId w:val="0"/>
  </w:num>
  <w:num w:numId="21" w16cid:durableId="1585459527">
    <w:abstractNumId w:val="9"/>
  </w:num>
  <w:num w:numId="22" w16cid:durableId="433938449">
    <w:abstractNumId w:val="7"/>
  </w:num>
  <w:num w:numId="23" w16cid:durableId="920019859">
    <w:abstractNumId w:val="6"/>
  </w:num>
  <w:num w:numId="24" w16cid:durableId="133791154">
    <w:abstractNumId w:val="5"/>
  </w:num>
  <w:num w:numId="25" w16cid:durableId="1069377291">
    <w:abstractNumId w:val="4"/>
  </w:num>
  <w:num w:numId="26" w16cid:durableId="2025397953">
    <w:abstractNumId w:val="8"/>
  </w:num>
  <w:num w:numId="27" w16cid:durableId="1215704037">
    <w:abstractNumId w:val="3"/>
  </w:num>
  <w:num w:numId="28" w16cid:durableId="111092549">
    <w:abstractNumId w:val="2"/>
  </w:num>
  <w:num w:numId="29" w16cid:durableId="1210922049">
    <w:abstractNumId w:val="1"/>
  </w:num>
  <w:num w:numId="30" w16cid:durableId="1471441093">
    <w:abstractNumId w:val="0"/>
  </w:num>
  <w:num w:numId="31" w16cid:durableId="2137478254">
    <w:abstractNumId w:val="9"/>
  </w:num>
  <w:num w:numId="32" w16cid:durableId="459808474">
    <w:abstractNumId w:val="7"/>
  </w:num>
  <w:num w:numId="33" w16cid:durableId="255987193">
    <w:abstractNumId w:val="6"/>
  </w:num>
  <w:num w:numId="34" w16cid:durableId="935400790">
    <w:abstractNumId w:val="5"/>
  </w:num>
  <w:num w:numId="35" w16cid:durableId="1142652764">
    <w:abstractNumId w:val="4"/>
  </w:num>
  <w:num w:numId="36" w16cid:durableId="1121344761">
    <w:abstractNumId w:val="8"/>
  </w:num>
  <w:num w:numId="37" w16cid:durableId="950088611">
    <w:abstractNumId w:val="3"/>
  </w:num>
  <w:num w:numId="38" w16cid:durableId="1304501629">
    <w:abstractNumId w:val="2"/>
  </w:num>
  <w:num w:numId="39" w16cid:durableId="14771233">
    <w:abstractNumId w:val="1"/>
  </w:num>
  <w:num w:numId="40" w16cid:durableId="213932336">
    <w:abstractNumId w:val="0"/>
  </w:num>
  <w:num w:numId="41" w16cid:durableId="1066032466">
    <w:abstractNumId w:val="10"/>
  </w:num>
  <w:num w:numId="42" w16cid:durableId="101271866">
    <w:abstractNumId w:val="10"/>
  </w:num>
  <w:num w:numId="43" w16cid:durableId="2146895007">
    <w:abstractNumId w:val="10"/>
  </w:num>
  <w:num w:numId="44" w16cid:durableId="7188940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NL"/>
    <w:docVar w:name="dvnumam" w:val="0"/>
    <w:docVar w:name="dvpe" w:val="778.971"/>
    <w:docVar w:name="dvtitre" w:val="Resolutie van het Europees Parlement van xx november 2025 over bescherming van EU-consumenten tegen de praktijken van bepaalde e_x001e_commerceplatforms: het geval van kindachtige sekspoppen, wapens en andere illegale producten en materialen(2025/2971(RSP))"/>
  </w:docVars>
  <w:rsids>
    <w:rsidRoot w:val="005C0156"/>
    <w:rsid w:val="00002272"/>
    <w:rsid w:val="00064002"/>
    <w:rsid w:val="000677B9"/>
    <w:rsid w:val="000831BA"/>
    <w:rsid w:val="000A42CC"/>
    <w:rsid w:val="000E7DD9"/>
    <w:rsid w:val="0010095E"/>
    <w:rsid w:val="00125B37"/>
    <w:rsid w:val="00187494"/>
    <w:rsid w:val="001F03BB"/>
    <w:rsid w:val="001F32AE"/>
    <w:rsid w:val="002767FF"/>
    <w:rsid w:val="002B18FE"/>
    <w:rsid w:val="002B5493"/>
    <w:rsid w:val="00343214"/>
    <w:rsid w:val="00361C00"/>
    <w:rsid w:val="00395FA1"/>
    <w:rsid w:val="0039612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0156"/>
    <w:rsid w:val="005C2568"/>
    <w:rsid w:val="005F1B17"/>
    <w:rsid w:val="006037C0"/>
    <w:rsid w:val="006631B6"/>
    <w:rsid w:val="00680577"/>
    <w:rsid w:val="006937FB"/>
    <w:rsid w:val="006F74FA"/>
    <w:rsid w:val="00731ADD"/>
    <w:rsid w:val="00734777"/>
    <w:rsid w:val="007362B5"/>
    <w:rsid w:val="00747932"/>
    <w:rsid w:val="00751A4A"/>
    <w:rsid w:val="00756632"/>
    <w:rsid w:val="00762C74"/>
    <w:rsid w:val="00786EC0"/>
    <w:rsid w:val="007D1690"/>
    <w:rsid w:val="007E22AD"/>
    <w:rsid w:val="00817416"/>
    <w:rsid w:val="008302C9"/>
    <w:rsid w:val="00842779"/>
    <w:rsid w:val="00865F67"/>
    <w:rsid w:val="00881A7B"/>
    <w:rsid w:val="008840E5"/>
    <w:rsid w:val="00887B3E"/>
    <w:rsid w:val="008C2AC6"/>
    <w:rsid w:val="00930C23"/>
    <w:rsid w:val="0093193B"/>
    <w:rsid w:val="00942E61"/>
    <w:rsid w:val="009509D8"/>
    <w:rsid w:val="00950B64"/>
    <w:rsid w:val="00967A6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B01"/>
    <w:rsid w:val="00C61C0C"/>
    <w:rsid w:val="00C941CB"/>
    <w:rsid w:val="00CC2357"/>
    <w:rsid w:val="00CF071A"/>
    <w:rsid w:val="00D058B8"/>
    <w:rsid w:val="00D24F33"/>
    <w:rsid w:val="00D56C11"/>
    <w:rsid w:val="00D834A0"/>
    <w:rsid w:val="00D872DF"/>
    <w:rsid w:val="00D91E21"/>
    <w:rsid w:val="00DA7FCD"/>
    <w:rsid w:val="00E365E1"/>
    <w:rsid w:val="00E66BD4"/>
    <w:rsid w:val="00E820A4"/>
    <w:rsid w:val="00E832F6"/>
    <w:rsid w:val="00EB006A"/>
    <w:rsid w:val="00EB4772"/>
    <w:rsid w:val="00EB7137"/>
    <w:rsid w:val="00ED169E"/>
    <w:rsid w:val="00ED4235"/>
    <w:rsid w:val="00EE483C"/>
    <w:rsid w:val="00F04346"/>
    <w:rsid w:val="00F04F3C"/>
    <w:rsid w:val="00F075DC"/>
    <w:rsid w:val="00F149E9"/>
    <w:rsid w:val="00F5134D"/>
    <w:rsid w:val="00F74202"/>
    <w:rsid w:val="00F85F4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D7A9E8"/>
  <w15:chartTrackingRefBased/>
  <w15:docId w15:val="{EC79AF34-252A-4EC4-A407-1AF1217D0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47B01"/>
    <w:pPr>
      <w:spacing w:before="480" w:after="240"/>
    </w:pPr>
  </w:style>
  <w:style w:type="paragraph" w:customStyle="1" w:styleId="NormalHanging12a">
    <w:name w:val="NormalHanging12a"/>
    <w:basedOn w:val="Normal"/>
    <w:link w:val="NormalHanging12aChar"/>
    <w:rsid w:val="00C47B01"/>
    <w:pPr>
      <w:spacing w:after="240"/>
      <w:ind w:left="567" w:hanging="567"/>
    </w:pPr>
  </w:style>
  <w:style w:type="character" w:styleId="Hyperlink">
    <w:name w:val="Hyperlink"/>
    <w:basedOn w:val="DefaultParagraphFont"/>
    <w:unhideWhenUsed/>
    <w:rsid w:val="00C47B01"/>
    <w:rPr>
      <w:color w:val="0563C1" w:themeColor="hyperlink"/>
      <w:u w:val="single"/>
    </w:rPr>
  </w:style>
  <w:style w:type="character" w:customStyle="1" w:styleId="NormalHanging12aChar">
    <w:name w:val="NormalHanging12a Char"/>
    <w:basedOn w:val="DefaultParagraphFont"/>
    <w:link w:val="NormalHanging12a"/>
    <w:rsid w:val="00C47B01"/>
    <w:rPr>
      <w:sz w:val="24"/>
      <w:lang w:val="nl-NL"/>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C47B01"/>
    <w:pPr>
      <w:widowControl/>
      <w:spacing w:after="160" w:line="240" w:lineRule="exact"/>
    </w:pPr>
    <w:rPr>
      <w:sz w:val="20"/>
      <w:vertAlign w:val="superscript"/>
      <w:lang w:val="en-GB"/>
    </w:rPr>
  </w:style>
  <w:style w:type="paragraph" w:styleId="Revision">
    <w:name w:val="Revision"/>
    <w:hidden/>
    <w:uiPriority w:val="99"/>
    <w:semiHidden/>
    <w:rsid w:val="00E66BD4"/>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988/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2/1925/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reg/2017/2394/oj" TargetMode="External"/><Relationship Id="rId5" Type="http://schemas.openxmlformats.org/officeDocument/2006/relationships/hyperlink" Target="https://www.consilium.europa.eu/media/ny3j24sm/much-more-than-a-market-report-by-enrico-letta.pdf" TargetMode="External"/><Relationship Id="rId10" Type="http://schemas.openxmlformats.org/officeDocument/2006/relationships/hyperlink" Target="http://data.europa.eu/eli/dir/2024/2853/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9/10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4023</Words>
  <Characters>24636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GERMAIN Caroline</cp:lastModifiedBy>
  <cp:revision>2</cp:revision>
  <cp:lastPrinted>2004-11-19T15:42:00Z</cp:lastPrinted>
  <dcterms:created xsi:type="dcterms:W3CDTF">2026-01-23T11:25:00Z</dcterms:created>
  <dcterms:modified xsi:type="dcterms:W3CDTF">2026-01-23T11:25:00Z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B10-0500/2025</vt:lpwstr>
  </property>
  <property fmtid="{D5CDD505-2E9C-101B-9397-08002B2CF9AE}" pid="4" name="&lt;Type&gt;">
    <vt:lpwstr>RR</vt:lpwstr>
  </property>
</Properties>
</file>