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524F" w14:paraId="6EDE887F" w14:textId="77777777" w:rsidTr="0010095E">
        <w:trPr>
          <w:trHeight w:hRule="exact" w:val="1418"/>
        </w:trPr>
        <w:tc>
          <w:tcPr>
            <w:tcW w:w="6804" w:type="dxa"/>
            <w:shd w:val="clear" w:color="auto" w:fill="auto"/>
            <w:vAlign w:val="center"/>
          </w:tcPr>
          <w:p w14:paraId="175C3C2C" w14:textId="77777777" w:rsidR="00751A4A" w:rsidRPr="0073524F" w:rsidRDefault="00F95E11" w:rsidP="0010095E">
            <w:pPr>
              <w:pStyle w:val="EPName"/>
            </w:pPr>
            <w:r w:rsidRPr="0073524F">
              <w:t>Parlament Europejski</w:t>
            </w:r>
          </w:p>
          <w:p w14:paraId="487D294B" w14:textId="77777777" w:rsidR="00751A4A" w:rsidRPr="0073524F" w:rsidRDefault="005F1B17" w:rsidP="005F1B17">
            <w:pPr>
              <w:pStyle w:val="EPTerm"/>
              <w:rPr>
                <w:rStyle w:val="HideTWBExt"/>
                <w:noProof w:val="0"/>
                <w:vanish w:val="0"/>
                <w:color w:val="auto"/>
              </w:rPr>
            </w:pPr>
            <w:r w:rsidRPr="0073524F">
              <w:t>2024</w:t>
            </w:r>
            <w:r w:rsidR="00817416" w:rsidRPr="0073524F">
              <w:t>-202</w:t>
            </w:r>
            <w:r w:rsidRPr="0073524F">
              <w:t>9</w:t>
            </w:r>
          </w:p>
        </w:tc>
        <w:tc>
          <w:tcPr>
            <w:tcW w:w="2268" w:type="dxa"/>
            <w:shd w:val="clear" w:color="auto" w:fill="auto"/>
          </w:tcPr>
          <w:p w14:paraId="04A5FCC3" w14:textId="77777777" w:rsidR="00751A4A" w:rsidRPr="0073524F" w:rsidRDefault="00187494" w:rsidP="0010095E">
            <w:pPr>
              <w:pStyle w:val="EPLogo"/>
            </w:pPr>
            <w:r w:rsidRPr="0073524F">
              <w:rPr>
                <w:noProof/>
                <w:lang w:eastAsia="ja-JP"/>
              </w:rPr>
              <w:drawing>
                <wp:inline distT="0" distB="0" distL="0" distR="0" wp14:anchorId="664BD1C3" wp14:editId="05BB12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277129" w14:textId="77777777" w:rsidR="00D058B8" w:rsidRPr="0073524F" w:rsidRDefault="00D058B8" w:rsidP="004C5D52">
      <w:pPr>
        <w:pStyle w:val="LineTop"/>
      </w:pPr>
    </w:p>
    <w:p w14:paraId="062D2A02" w14:textId="77777777" w:rsidR="00680577" w:rsidRPr="0073524F" w:rsidRDefault="00F95E11" w:rsidP="00680577">
      <w:pPr>
        <w:pStyle w:val="EPBodyTA1"/>
      </w:pPr>
      <w:r w:rsidRPr="0073524F">
        <w:t>TEKSTY PRZYJĘTE</w:t>
      </w:r>
    </w:p>
    <w:p w14:paraId="0DB148B9" w14:textId="77777777" w:rsidR="00D058B8" w:rsidRPr="0073524F" w:rsidRDefault="00D058B8" w:rsidP="00D058B8">
      <w:pPr>
        <w:pStyle w:val="LineBottom"/>
      </w:pPr>
    </w:p>
    <w:p w14:paraId="653FAB4F" w14:textId="25F2C4AD" w:rsidR="00F95E11" w:rsidRPr="0073524F" w:rsidRDefault="00F95E11" w:rsidP="00F95E11">
      <w:pPr>
        <w:pStyle w:val="ATHeading1"/>
      </w:pPr>
      <w:bookmarkStart w:id="0" w:name="TANumber"/>
      <w:r w:rsidRPr="0073524F">
        <w:t>P10_</w:t>
      </w:r>
      <w:proofErr w:type="gramStart"/>
      <w:r w:rsidRPr="0073524F">
        <w:t>TA(</w:t>
      </w:r>
      <w:proofErr w:type="gramEnd"/>
      <w:r w:rsidRPr="0073524F">
        <w:t>2025)0</w:t>
      </w:r>
      <w:bookmarkEnd w:id="0"/>
      <w:r w:rsidR="00CA60FF">
        <w:t>301</w:t>
      </w:r>
    </w:p>
    <w:p w14:paraId="569BE830" w14:textId="407C5348" w:rsidR="00F95E11" w:rsidRPr="0073524F" w:rsidRDefault="0006489A" w:rsidP="0006489A">
      <w:pPr>
        <w:pStyle w:val="ATHeading2"/>
      </w:pPr>
      <w:r w:rsidRPr="0006489A">
        <w:rPr>
          <w:bCs/>
        </w:rPr>
        <w:t>Ochrona konsumentów w UE przed praktykami niektórych platform handlu elektronicznego –</w:t>
      </w:r>
      <w:r>
        <w:rPr>
          <w:bCs/>
        </w:rPr>
        <w:t xml:space="preserve"> </w:t>
      </w:r>
      <w:r w:rsidRPr="0006489A">
        <w:rPr>
          <w:bCs/>
        </w:rPr>
        <w:t>sprawa lalek erotycznych wyglądających jak dzieci, broni i innych nielegalnych produktów i</w:t>
      </w:r>
      <w:r>
        <w:rPr>
          <w:bCs/>
        </w:rPr>
        <w:t xml:space="preserve"> </w:t>
      </w:r>
      <w:r w:rsidRPr="0006489A">
        <w:rPr>
          <w:bCs/>
        </w:rPr>
        <w:t>materiałów</w:t>
      </w:r>
    </w:p>
    <w:p w14:paraId="36276842" w14:textId="77777777" w:rsidR="00F95E11" w:rsidRPr="0073524F" w:rsidRDefault="00F95E11" w:rsidP="00F95E11">
      <w:pPr>
        <w:rPr>
          <w:i/>
          <w:vanish/>
        </w:rPr>
      </w:pPr>
      <w:r w:rsidRPr="0073524F">
        <w:rPr>
          <w:i/>
        </w:rPr>
        <w:fldChar w:fldCharType="begin"/>
      </w:r>
      <w:r w:rsidRPr="0073524F">
        <w:rPr>
          <w:i/>
        </w:rPr>
        <w:instrText xml:space="preserve"> TC"(</w:instrText>
      </w:r>
      <w:bookmarkStart w:id="1" w:name="DocNumber"/>
      <w:r w:rsidRPr="0073524F">
        <w:rPr>
          <w:i/>
        </w:rPr>
        <w:instrText>B10-0500/2025</w:instrText>
      </w:r>
      <w:bookmarkEnd w:id="1"/>
      <w:r w:rsidRPr="0073524F">
        <w:rPr>
          <w:i/>
        </w:rPr>
        <w:instrText xml:space="preserve">)"\l3 \n&gt; \* MERGEFORMAT </w:instrText>
      </w:r>
      <w:r w:rsidRPr="0073524F">
        <w:rPr>
          <w:i/>
        </w:rPr>
        <w:fldChar w:fldCharType="end"/>
      </w:r>
    </w:p>
    <w:p w14:paraId="20D77841" w14:textId="77777777" w:rsidR="00F95E11" w:rsidRPr="0073524F" w:rsidRDefault="00F95E11" w:rsidP="00F95E11">
      <w:pPr>
        <w:rPr>
          <w:vanish/>
        </w:rPr>
      </w:pPr>
      <w:bookmarkStart w:id="2" w:name="PE"/>
      <w:r w:rsidRPr="0073524F">
        <w:rPr>
          <w:vanish/>
        </w:rPr>
        <w:t>PE778.971</w:t>
      </w:r>
      <w:bookmarkEnd w:id="2"/>
    </w:p>
    <w:p w14:paraId="30FE0CC3" w14:textId="7C93C55F" w:rsidR="00F95E11" w:rsidRPr="0073524F" w:rsidRDefault="00F95E11" w:rsidP="0006489A">
      <w:pPr>
        <w:pStyle w:val="ATHeading3"/>
      </w:pPr>
      <w:bookmarkStart w:id="3" w:name="Sujet"/>
      <w:r w:rsidRPr="0073524F">
        <w:t xml:space="preserve">Rezolucja Parlamentu Europejskiego z dnia </w:t>
      </w:r>
      <w:r w:rsidR="0006489A">
        <w:t>26 listopada</w:t>
      </w:r>
      <w:r w:rsidRPr="0073524F">
        <w:t xml:space="preserve"> 2025 r. w sprawie ochrony konsumentów w UE przed praktykami niektórych platform handlu elektronicznego – sprawa lalek erotycznych wyglądających jak dzieci, broni i innych nielegalnych produktów i materiałów</w:t>
      </w:r>
      <w:bookmarkEnd w:id="3"/>
      <w:r w:rsidRPr="0073524F">
        <w:t xml:space="preserve"> </w:t>
      </w:r>
      <w:bookmarkStart w:id="4" w:name="References"/>
      <w:r w:rsidRPr="0073524F">
        <w:t>(2025/2971(RSP))</w:t>
      </w:r>
      <w:bookmarkEnd w:id="4"/>
    </w:p>
    <w:p w14:paraId="6D3946EE" w14:textId="77777777" w:rsidR="00C12FC1" w:rsidRPr="0073524F" w:rsidRDefault="00C12FC1" w:rsidP="00C12FC1">
      <w:pPr>
        <w:pStyle w:val="EPComma"/>
      </w:pPr>
      <w:bookmarkStart w:id="5" w:name="TextBodyBegin"/>
      <w:bookmarkEnd w:id="5"/>
      <w:r w:rsidRPr="0073524F">
        <w:rPr>
          <w:i/>
          <w:iCs/>
        </w:rPr>
        <w:t>Parlament Europejski</w:t>
      </w:r>
      <w:r w:rsidRPr="0073524F">
        <w:t>,</w:t>
      </w:r>
    </w:p>
    <w:p w14:paraId="4963179D" w14:textId="40EADD4D" w:rsidR="00C12FC1" w:rsidRPr="0073524F" w:rsidRDefault="00C12FC1" w:rsidP="00C12FC1">
      <w:pPr>
        <w:pStyle w:val="NormalHanging12a"/>
      </w:pPr>
      <w:r w:rsidRPr="0073524F">
        <w:t>–</w:t>
      </w:r>
      <w:r w:rsidRPr="0073524F">
        <w:tab/>
        <w:t xml:space="preserve">uwzględniając sprawozdanie grupy mędrców z </w:t>
      </w:r>
      <w:r w:rsidR="0006489A">
        <w:t xml:space="preserve">dnia </w:t>
      </w:r>
      <w:r w:rsidRPr="0073524F">
        <w:t>31 marca 2022 r. na temat reformy unii celnej UE zatytułowane „</w:t>
      </w:r>
      <w:proofErr w:type="spellStart"/>
      <w:r w:rsidRPr="0073524F">
        <w:t>Putting</w:t>
      </w:r>
      <w:proofErr w:type="spellEnd"/>
      <w:r w:rsidRPr="0073524F">
        <w:t xml:space="preserve"> </w:t>
      </w:r>
      <w:proofErr w:type="spellStart"/>
      <w:r w:rsidRPr="0073524F">
        <w:t>More</w:t>
      </w:r>
      <w:proofErr w:type="spellEnd"/>
      <w:r w:rsidRPr="0073524F">
        <w:t xml:space="preserve"> Union in the </w:t>
      </w:r>
      <w:proofErr w:type="spellStart"/>
      <w:r w:rsidRPr="0073524F">
        <w:t>European</w:t>
      </w:r>
      <w:proofErr w:type="spellEnd"/>
      <w:r w:rsidRPr="0073524F">
        <w:t xml:space="preserve"> </w:t>
      </w:r>
      <w:proofErr w:type="spellStart"/>
      <w:r w:rsidRPr="0073524F">
        <w:t>Customs</w:t>
      </w:r>
      <w:proofErr w:type="spellEnd"/>
      <w:r w:rsidRPr="0073524F">
        <w:t xml:space="preserve">: Ten </w:t>
      </w:r>
      <w:proofErr w:type="spellStart"/>
      <w:r w:rsidRPr="0073524F">
        <w:t>proposals</w:t>
      </w:r>
      <w:proofErr w:type="spellEnd"/>
      <w:r w:rsidRPr="0073524F">
        <w:t xml:space="preserve"> to </w:t>
      </w:r>
      <w:proofErr w:type="spellStart"/>
      <w:r w:rsidRPr="0073524F">
        <w:t>make</w:t>
      </w:r>
      <w:proofErr w:type="spellEnd"/>
      <w:r w:rsidRPr="0073524F">
        <w:t xml:space="preserve"> the EU </w:t>
      </w:r>
      <w:proofErr w:type="spellStart"/>
      <w:r w:rsidRPr="0073524F">
        <w:t>Customs</w:t>
      </w:r>
      <w:proofErr w:type="spellEnd"/>
      <w:r w:rsidRPr="0073524F">
        <w:t xml:space="preserve"> Union </w:t>
      </w:r>
      <w:proofErr w:type="spellStart"/>
      <w:r w:rsidRPr="0073524F">
        <w:t>fit</w:t>
      </w:r>
      <w:proofErr w:type="spellEnd"/>
      <w:r w:rsidRPr="0073524F">
        <w:t xml:space="preserve"> for a </w:t>
      </w:r>
      <w:proofErr w:type="spellStart"/>
      <w:r w:rsidRPr="0073524F">
        <w:t>Geopolitical</w:t>
      </w:r>
      <w:proofErr w:type="spellEnd"/>
      <w:r w:rsidRPr="0073524F">
        <w:t xml:space="preserve"> Europe” [Więcej Unii w europejskim systemie celnym: dziesięć propozycji mających na celu dostosowanie unii celnej UE do geopolitycznej Europy],</w:t>
      </w:r>
    </w:p>
    <w:p w14:paraId="798DC550" w14:textId="45C9041D" w:rsidR="00C12FC1" w:rsidRPr="0073524F" w:rsidRDefault="00C12FC1" w:rsidP="00C12FC1">
      <w:pPr>
        <w:pStyle w:val="NormalHanging12a"/>
      </w:pPr>
      <w:r w:rsidRPr="0073524F">
        <w:t>–</w:t>
      </w:r>
      <w:r w:rsidRPr="0073524F">
        <w:tab/>
        <w:t xml:space="preserve">uwzględniając swoje stanowisko z </w:t>
      </w:r>
      <w:r w:rsidR="0006489A">
        <w:t xml:space="preserve">dnia </w:t>
      </w:r>
      <w:r w:rsidRPr="0073524F">
        <w:t>13 marca 2024 r. w sprawie wniosku dotyczącego rozporządzenia Parlamentu Europejskiego i Rady ustanawiającego unijny kodeks celny i Urząd Unii Europejskiej ds. Celnych oraz uchylającego rozporządzenie (UE) nr 952/2013</w:t>
      </w:r>
      <w:r w:rsidRPr="0073524F">
        <w:rPr>
          <w:rStyle w:val="FootnoteReference"/>
        </w:rPr>
        <w:footnoteReference w:id="1"/>
      </w:r>
      <w:r w:rsidRPr="0073524F">
        <w:t>,</w:t>
      </w:r>
    </w:p>
    <w:p w14:paraId="4ED781C0" w14:textId="4BAFA074" w:rsidR="00C12FC1" w:rsidRPr="0073524F" w:rsidRDefault="00C12FC1" w:rsidP="00C12FC1">
      <w:pPr>
        <w:pStyle w:val="NormalHanging12a"/>
      </w:pPr>
      <w:r w:rsidRPr="0073524F">
        <w:t>–</w:t>
      </w:r>
      <w:r w:rsidRPr="0073524F">
        <w:tab/>
        <w:t xml:space="preserve">uwzględniając komunikat Komisji z </w:t>
      </w:r>
      <w:r w:rsidR="0006489A">
        <w:t xml:space="preserve">dnia </w:t>
      </w:r>
      <w:r w:rsidRPr="0073524F">
        <w:t>5 lutego 2025 r. zatytułowany „Kompleksowy unijny zestaw narzędzi na rzecz bezpiecznego i zrównoważonego handlu elektronicznego” (</w:t>
      </w:r>
      <w:proofErr w:type="gramStart"/>
      <w:r w:rsidRPr="0073524F">
        <w:t>COM(</w:t>
      </w:r>
      <w:proofErr w:type="gramEnd"/>
      <w:r w:rsidRPr="0073524F">
        <w:t>2025)0037),</w:t>
      </w:r>
    </w:p>
    <w:p w14:paraId="3C998DF9" w14:textId="2BAB6CC4" w:rsidR="00C12FC1" w:rsidRPr="0073524F" w:rsidRDefault="00C12FC1" w:rsidP="00C12FC1">
      <w:pPr>
        <w:pStyle w:val="NormalHanging12a"/>
      </w:pPr>
      <w:r w:rsidRPr="0073524F">
        <w:t>–</w:t>
      </w:r>
      <w:r w:rsidRPr="0073524F">
        <w:tab/>
        <w:t xml:space="preserve">uwzględniając rozporządzenie Parlamentu Europejskiego i Rady (UE) 2024/3015 z </w:t>
      </w:r>
      <w:r w:rsidR="0006489A">
        <w:t xml:space="preserve">dnia </w:t>
      </w:r>
      <w:r w:rsidRPr="0073524F">
        <w:t>27 listopada 2024 r. w sprawie zakazu produktów wytwarzanych z wykorzystaniem pracy przymusowej na rynku unijnym i zmiany dyrektywy (UE) 2019/1937</w:t>
      </w:r>
      <w:r w:rsidRPr="0073524F">
        <w:rPr>
          <w:rStyle w:val="FootnoteReference"/>
        </w:rPr>
        <w:footnoteReference w:id="2"/>
      </w:r>
      <w:r w:rsidRPr="0073524F">
        <w:t>,</w:t>
      </w:r>
    </w:p>
    <w:p w14:paraId="69E86085" w14:textId="6A7860E2" w:rsidR="00C12FC1" w:rsidRPr="0073524F" w:rsidRDefault="00C12FC1" w:rsidP="00C12FC1">
      <w:pPr>
        <w:pStyle w:val="NormalHanging12a"/>
      </w:pPr>
      <w:r w:rsidRPr="0073524F">
        <w:t>–</w:t>
      </w:r>
      <w:r w:rsidRPr="0073524F">
        <w:tab/>
        <w:t xml:space="preserve">uwzględniając dyrektywę Parlamentu Europejskiego i Rady (UE) 2024/1760 z </w:t>
      </w:r>
      <w:r w:rsidR="0006489A">
        <w:t xml:space="preserve">dnia </w:t>
      </w:r>
      <w:r w:rsidRPr="0073524F">
        <w:t>13 czerwca 2024 r. w sprawie należytej staranności przedsiębiorstw w zakresie zrównoważonego rozwoju oraz zmieniającą dyrektywę (UE) 2019/1937 i rozporządzenie (UE) 2023/2859</w:t>
      </w:r>
      <w:r w:rsidRPr="0073524F">
        <w:rPr>
          <w:rStyle w:val="FootnoteReference"/>
        </w:rPr>
        <w:footnoteReference w:id="3"/>
      </w:r>
      <w:r w:rsidRPr="0073524F">
        <w:t>,</w:t>
      </w:r>
    </w:p>
    <w:p w14:paraId="12CBD112" w14:textId="77777777" w:rsidR="00C12FC1" w:rsidRPr="0073524F" w:rsidRDefault="00C12FC1" w:rsidP="00C12FC1">
      <w:pPr>
        <w:pStyle w:val="NormalHanging12a"/>
      </w:pPr>
      <w:r w:rsidRPr="0073524F">
        <w:t>–</w:t>
      </w:r>
      <w:r w:rsidRPr="0073524F">
        <w:tab/>
        <w:t xml:space="preserve">uwzględniając sprawozdanie Enrica </w:t>
      </w:r>
      <w:proofErr w:type="spellStart"/>
      <w:r w:rsidRPr="0073524F">
        <w:t>Letty</w:t>
      </w:r>
      <w:proofErr w:type="spellEnd"/>
      <w:r w:rsidRPr="0073524F">
        <w:t xml:space="preserve"> z kwietnia 2024 r. pt.: „Much </w:t>
      </w:r>
      <w:proofErr w:type="spellStart"/>
      <w:r w:rsidRPr="0073524F">
        <w:t>more</w:t>
      </w:r>
      <w:proofErr w:type="spellEnd"/>
      <w:r w:rsidRPr="0073524F">
        <w:t xml:space="preserve"> </w:t>
      </w:r>
      <w:proofErr w:type="spellStart"/>
      <w:r w:rsidRPr="0073524F">
        <w:t>than</w:t>
      </w:r>
      <w:proofErr w:type="spellEnd"/>
      <w:r w:rsidRPr="0073524F">
        <w:t xml:space="preserve"> a </w:t>
      </w:r>
      <w:r w:rsidRPr="0073524F">
        <w:lastRenderedPageBreak/>
        <w:t xml:space="preserve">market, </w:t>
      </w:r>
      <w:proofErr w:type="spellStart"/>
      <w:r w:rsidRPr="0073524F">
        <w:t>Speed</w:t>
      </w:r>
      <w:proofErr w:type="spellEnd"/>
      <w:r w:rsidRPr="0073524F">
        <w:t xml:space="preserve">, Security, </w:t>
      </w:r>
      <w:proofErr w:type="spellStart"/>
      <w:r w:rsidRPr="0073524F">
        <w:t>Solidarity</w:t>
      </w:r>
      <w:proofErr w:type="spellEnd"/>
      <w:r w:rsidRPr="0073524F">
        <w:t xml:space="preserve">, </w:t>
      </w:r>
      <w:proofErr w:type="spellStart"/>
      <w:r w:rsidRPr="0073524F">
        <w:t>Empowering</w:t>
      </w:r>
      <w:proofErr w:type="spellEnd"/>
      <w:r w:rsidRPr="0073524F">
        <w:t xml:space="preserve"> the Single Market to </w:t>
      </w:r>
      <w:proofErr w:type="spellStart"/>
      <w:r w:rsidRPr="0073524F">
        <w:t>deliver</w:t>
      </w:r>
      <w:proofErr w:type="spellEnd"/>
      <w:r w:rsidRPr="0073524F">
        <w:t xml:space="preserve"> a </w:t>
      </w:r>
      <w:proofErr w:type="spellStart"/>
      <w:r w:rsidRPr="0073524F">
        <w:t>sustainable</w:t>
      </w:r>
      <w:proofErr w:type="spellEnd"/>
      <w:r w:rsidRPr="0073524F">
        <w:t xml:space="preserve"> </w:t>
      </w:r>
      <w:proofErr w:type="spellStart"/>
      <w:r w:rsidRPr="0073524F">
        <w:t>future</w:t>
      </w:r>
      <w:proofErr w:type="spellEnd"/>
      <w:r w:rsidRPr="0073524F">
        <w:t xml:space="preserve"> and prosperity for </w:t>
      </w:r>
      <w:proofErr w:type="spellStart"/>
      <w:r w:rsidRPr="0073524F">
        <w:t>all</w:t>
      </w:r>
      <w:proofErr w:type="spellEnd"/>
      <w:r w:rsidRPr="0073524F">
        <w:t xml:space="preserve"> EU </w:t>
      </w:r>
      <w:proofErr w:type="spellStart"/>
      <w:r w:rsidRPr="0073524F">
        <w:t>Citizens</w:t>
      </w:r>
      <w:proofErr w:type="spellEnd"/>
      <w:r w:rsidRPr="0073524F">
        <w:t>” [Znacznie więcej niż rynek. Szybkość, bezpieczeństwo, solidarność – wzmocnienie jednolitego rynku w celu zapewnienia zrównoważonej przyszłości i dobrobytu wszystkim obywatelom UE]</w:t>
      </w:r>
      <w:r w:rsidRPr="0073524F">
        <w:rPr>
          <w:rStyle w:val="FootnoteReference"/>
        </w:rPr>
        <w:footnoteReference w:id="4"/>
      </w:r>
      <w:r w:rsidRPr="0073524F">
        <w:t>,</w:t>
      </w:r>
    </w:p>
    <w:p w14:paraId="30205198" w14:textId="77777777" w:rsidR="00C12FC1" w:rsidRPr="0073524F" w:rsidRDefault="00C12FC1" w:rsidP="00C12FC1">
      <w:pPr>
        <w:pStyle w:val="NormalHanging12a"/>
      </w:pPr>
      <w:r w:rsidRPr="0073524F">
        <w:t>–</w:t>
      </w:r>
      <w:r w:rsidRPr="0073524F">
        <w:tab/>
        <w:t>uwzględniając rozporządzenie (UE) 2022/2065 w sprawie jednolitego rynku usług cyfrowych oraz zmiany dyrektywy 2000/31/WE (akt o usługach cyfrowych)</w:t>
      </w:r>
      <w:r w:rsidRPr="0073524F">
        <w:rPr>
          <w:rStyle w:val="FootnoteReference"/>
        </w:rPr>
        <w:footnoteReference w:id="5"/>
      </w:r>
      <w:r w:rsidRPr="0073524F">
        <w:t xml:space="preserve"> (DSA),</w:t>
      </w:r>
    </w:p>
    <w:p w14:paraId="62E6F495" w14:textId="2729BB75" w:rsidR="00C12FC1" w:rsidRPr="0073524F" w:rsidRDefault="00C12FC1" w:rsidP="00C12FC1">
      <w:pPr>
        <w:pStyle w:val="NormalHanging12a"/>
        <w:rPr>
          <w:szCs w:val="24"/>
        </w:rPr>
      </w:pPr>
      <w:r w:rsidRPr="0073524F">
        <w:t>–</w:t>
      </w:r>
      <w:r w:rsidRPr="0073524F">
        <w:tab/>
        <w:t xml:space="preserve">uwzględniając rozporządzenie Parlamentu Europejskiego i Rady (UE) 2022/1925 z </w:t>
      </w:r>
      <w:r w:rsidR="0006489A">
        <w:t xml:space="preserve">dnia </w:t>
      </w:r>
      <w:r w:rsidRPr="0073524F">
        <w:t xml:space="preserve">14 września 2022 r. w sprawie </w:t>
      </w:r>
      <w:proofErr w:type="spellStart"/>
      <w:r w:rsidRPr="0073524F">
        <w:t>kontestowalnych</w:t>
      </w:r>
      <w:proofErr w:type="spellEnd"/>
      <w:r w:rsidRPr="0073524F">
        <w:t xml:space="preserve"> i uczciwych rynków w sektorze cyfrowym oraz zmiany dyrektyw (UE) 2019/1937 i (UE) 2020/1828 (akt o rynkach cyfrowych)</w:t>
      </w:r>
      <w:r w:rsidRPr="0073524F">
        <w:rPr>
          <w:rStyle w:val="FootnoteReference"/>
          <w:szCs w:val="24"/>
        </w:rPr>
        <w:footnoteReference w:id="6"/>
      </w:r>
      <w:r w:rsidRPr="0073524F">
        <w:t xml:space="preserve"> (DMA),</w:t>
      </w:r>
    </w:p>
    <w:p w14:paraId="5141D317" w14:textId="07094CED" w:rsidR="00C12FC1" w:rsidRPr="0073524F" w:rsidRDefault="00C12FC1" w:rsidP="00C12FC1">
      <w:pPr>
        <w:pStyle w:val="NormalHanging12a"/>
      </w:pPr>
      <w:r w:rsidRPr="0073524F">
        <w:t>–</w:t>
      </w:r>
      <w:r w:rsidRPr="0073524F">
        <w:tab/>
        <w:t xml:space="preserve">uwzględniając rozporządzenie Parlamentu Europejskiego i Rady (UE) 2023/988 z </w:t>
      </w:r>
      <w:r w:rsidR="0006489A">
        <w:t xml:space="preserve">dnia </w:t>
      </w:r>
      <w:r w:rsidRPr="0073524F">
        <w:t>10 maja 2023 r. w sprawie ogólnego bezpieczeństwa produktów, zmieniające rozporządzenie Parlamentu Europejskiego i Rady (UE) nr 1025/2012 i dyrektywę Parlamentu Europejskiego i Rady (UE) 2020/1828 oraz uchylające dyrektywę 2001/95/WE Parlamentu Europejskiego i Rady i dyrektywę Rady 87/357/EWG (GPSR)</w:t>
      </w:r>
      <w:r w:rsidRPr="0073524F">
        <w:rPr>
          <w:rStyle w:val="FootnoteReference"/>
        </w:rPr>
        <w:footnoteReference w:id="7"/>
      </w:r>
      <w:r w:rsidRPr="0073524F">
        <w:t>,</w:t>
      </w:r>
    </w:p>
    <w:p w14:paraId="654C06D3" w14:textId="0AD8D646" w:rsidR="00C12FC1" w:rsidRPr="0073524F" w:rsidRDefault="00C12FC1" w:rsidP="00C12FC1">
      <w:pPr>
        <w:pStyle w:val="NormalHanging12a"/>
      </w:pPr>
      <w:r w:rsidRPr="0073524F">
        <w:t>–</w:t>
      </w:r>
      <w:r w:rsidRPr="0073524F">
        <w:tab/>
        <w:t xml:space="preserve">uwzględniając rozporządzenie Parlamentu Europejskiego i Rady (UE) 2019/1020 z </w:t>
      </w:r>
      <w:r w:rsidR="0006489A">
        <w:t xml:space="preserve">dnia </w:t>
      </w:r>
      <w:r w:rsidRPr="0073524F">
        <w:t>20 czerwca 2019 r. w sprawie nadzoru rynku i zgodności produktów oraz zmieniające dyrektywę 2004/42/WE oraz rozporządzenia (WE) nr 765/2008 i (UE) nr 305/2011</w:t>
      </w:r>
      <w:r w:rsidRPr="0073524F">
        <w:rPr>
          <w:rStyle w:val="FootnoteReference"/>
        </w:rPr>
        <w:footnoteReference w:id="8"/>
      </w:r>
      <w:r w:rsidRPr="0073524F">
        <w:t xml:space="preserve"> (MSR),</w:t>
      </w:r>
    </w:p>
    <w:p w14:paraId="30AEB4F4" w14:textId="3BA0FB6B" w:rsidR="00C12FC1" w:rsidRPr="0073524F" w:rsidRDefault="00C12FC1" w:rsidP="00C12FC1">
      <w:pPr>
        <w:pStyle w:val="NormalHanging12a"/>
      </w:pPr>
      <w:r w:rsidRPr="0073524F">
        <w:t>–</w:t>
      </w:r>
      <w:r w:rsidRPr="0073524F">
        <w:tab/>
        <w:t xml:space="preserve">uwzględniając dyrektywę Parlamentu Europejskiego i Rady (UE) 2024/2853 z </w:t>
      </w:r>
      <w:r w:rsidR="0006489A">
        <w:t xml:space="preserve">dnia </w:t>
      </w:r>
      <w:r w:rsidRPr="0073524F">
        <w:t>23 października 2024 r. w sprawie odpowiedzialności za produkty wadliwe i uchylenia dyrektywy Rady 85/374/EWG</w:t>
      </w:r>
      <w:r w:rsidRPr="0073524F">
        <w:rPr>
          <w:rStyle w:val="FootnoteReference"/>
        </w:rPr>
        <w:footnoteReference w:id="9"/>
      </w:r>
      <w:r w:rsidRPr="0073524F">
        <w:t>,</w:t>
      </w:r>
    </w:p>
    <w:p w14:paraId="3960C87C" w14:textId="77777777" w:rsidR="00C12FC1" w:rsidRPr="0073524F" w:rsidRDefault="00C12FC1" w:rsidP="00C12FC1">
      <w:pPr>
        <w:pStyle w:val="NormalHanging12a"/>
      </w:pPr>
      <w:r w:rsidRPr="0073524F">
        <w:t>–</w:t>
      </w:r>
      <w:r w:rsidRPr="0073524F">
        <w:tab/>
        <w:t>uwzględniając art. 136 ust. 2 Regulaminu,</w:t>
      </w:r>
    </w:p>
    <w:p w14:paraId="50F820B3" w14:textId="77777777" w:rsidR="00C12FC1" w:rsidRPr="0073524F" w:rsidRDefault="00C12FC1" w:rsidP="00C12FC1">
      <w:pPr>
        <w:pStyle w:val="NormalHanging12a"/>
      </w:pPr>
      <w:r w:rsidRPr="0073524F">
        <w:t>–</w:t>
      </w:r>
      <w:r w:rsidRPr="0073524F">
        <w:tab/>
        <w:t>uwzględniając opinię przedstawioną przez Komisję Handlu Międzynarodowego,</w:t>
      </w:r>
    </w:p>
    <w:p w14:paraId="5A0B6332" w14:textId="77777777" w:rsidR="00C12FC1" w:rsidRPr="0073524F" w:rsidRDefault="00C12FC1" w:rsidP="00C12FC1">
      <w:pPr>
        <w:pStyle w:val="NormalHanging12a"/>
      </w:pPr>
      <w:r w:rsidRPr="0073524F">
        <w:t>–</w:t>
      </w:r>
      <w:r w:rsidRPr="0073524F">
        <w:tab/>
        <w:t>uwzględniając sprawozdanie Komisji Rynku Wewnętrznego i Ochrony Konsumentów (A10-0133/2025),</w:t>
      </w:r>
    </w:p>
    <w:p w14:paraId="01E94BC9" w14:textId="77777777" w:rsidR="00C12FC1" w:rsidRPr="0073524F" w:rsidRDefault="00C12FC1" w:rsidP="00C12FC1">
      <w:pPr>
        <w:pStyle w:val="NormalHanging12a"/>
      </w:pPr>
      <w:r w:rsidRPr="0073524F">
        <w:t>A.</w:t>
      </w:r>
      <w:r w:rsidRPr="0073524F">
        <w:tab/>
        <w:t xml:space="preserve">mając na uwadze, że 31 października 2025 r. we Francji pojawiły się poważne kontrowersje – które szybko rozprzestrzeniły się w całej Europie – dotyczące sprzedaży na chińskiej platformie handlu elektronicznego SHEIN lalek seksualnych przypominających dzieci i innych nielegalnych produktów, w tym broni; mając na uwadze, że francuski organ monitorujący prawo konsumenckie przekazał doniesienia o „sprzedaży przedmiotów o charakterze seksualnym podobnych do dzieci” prokuraturze w Paryżu, która 3 listopada 2025 r. wszczęła dochodzenie w sprawie platformy SHEIN i </w:t>
      </w:r>
      <w:r w:rsidRPr="0073524F">
        <w:lastRenderedPageBreak/>
        <w:t xml:space="preserve">trzech innych internetowych platform handlowych spoza UE, a mianowicie Temu, </w:t>
      </w:r>
      <w:proofErr w:type="spellStart"/>
      <w:r w:rsidRPr="0073524F">
        <w:t>AliExpress</w:t>
      </w:r>
      <w:proofErr w:type="spellEnd"/>
      <w:r w:rsidRPr="0073524F">
        <w:t xml:space="preserve"> i </w:t>
      </w:r>
      <w:proofErr w:type="spellStart"/>
      <w:r w:rsidRPr="0073524F">
        <w:t>Wish</w:t>
      </w:r>
      <w:proofErr w:type="spellEnd"/>
      <w:r w:rsidRPr="0073524F">
        <w:t>;</w:t>
      </w:r>
    </w:p>
    <w:p w14:paraId="6E0D1098" w14:textId="77777777" w:rsidR="00C12FC1" w:rsidRDefault="00C12FC1" w:rsidP="00C12FC1">
      <w:pPr>
        <w:pStyle w:val="NormalHanging12a"/>
      </w:pPr>
      <w:r w:rsidRPr="0073524F">
        <w:t>B.</w:t>
      </w:r>
      <w:r w:rsidRPr="0073524F">
        <w:tab/>
        <w:t>mając na uwadze, że po początkowej akcji kontrolnej władz francuskich przedstawiciele platformy SHEIN twierdzili, że platforma wycofała wszystkie powiązane reklamy i materiały wizualne oraz tymczasowo usunęła kategorię „produkty dla dorosłych”; mając na uwadze, że nadal istnieją poważne wątpliwości co do zdolności lub gotowości platformy SHEIN do podjęcia skutecznych i zdecydowanych działań przeciwko nielegalnym treściom oraz do zagwarantowania, że będą na niej udostępniane wyłącznie produkty zgodne z przepisami; mając na uwadze, że wątpliwości te zostały dodatkowo poparte dowodami na to, że kwestionowane produkty nadal były dostępne w innych państwach członkowskich, w tym za pośrednictwem dostępu VPN, dwa dni po rzekomym zawieszeniu ich sprzedaży we Francji;</w:t>
      </w:r>
    </w:p>
    <w:p w14:paraId="19A717A8" w14:textId="490B775F" w:rsidR="00CA60FF" w:rsidRPr="00A303B3" w:rsidRDefault="00A303B3" w:rsidP="00CA60FF">
      <w:pPr>
        <w:pStyle w:val="NormalHanging12a"/>
      </w:pPr>
      <w:bookmarkStart w:id="6" w:name="_Hlk215059546"/>
      <w:r w:rsidRPr="00A303B3">
        <w:t>C</w:t>
      </w:r>
      <w:r w:rsidR="00CA60FF" w:rsidRPr="00A303B3">
        <w:t xml:space="preserve">. </w:t>
      </w:r>
      <w:r w:rsidR="00CA60FF" w:rsidRPr="00A303B3">
        <w:tab/>
      </w:r>
      <w:r w:rsidR="00CA60FF" w:rsidRPr="00A303B3">
        <w:t xml:space="preserve">mając </w:t>
      </w:r>
      <w:r w:rsidR="00CA60FF" w:rsidRPr="00A303B3">
        <w:t>na uwadze</w:t>
      </w:r>
      <w:r w:rsidR="00CA60FF" w:rsidRPr="00A303B3">
        <w:t xml:space="preserve">, że </w:t>
      </w:r>
      <w:r w:rsidR="00DC2589" w:rsidRPr="00A303B3">
        <w:t xml:space="preserve">dnia </w:t>
      </w:r>
      <w:r w:rsidR="00CA60FF" w:rsidRPr="00A303B3">
        <w:t xml:space="preserve">26 listopada 2025 r. francuskie władze ogłosiły, że złożą skargę przeciwko </w:t>
      </w:r>
      <w:proofErr w:type="spellStart"/>
      <w:r w:rsidR="00CA60FF" w:rsidRPr="00A303B3">
        <w:t>AliExpress</w:t>
      </w:r>
      <w:proofErr w:type="spellEnd"/>
      <w:r w:rsidR="00CA60FF" w:rsidRPr="00A303B3">
        <w:t xml:space="preserve"> i </w:t>
      </w:r>
      <w:proofErr w:type="spellStart"/>
      <w:r w:rsidR="00CA60FF" w:rsidRPr="00A303B3">
        <w:t>Joom</w:t>
      </w:r>
      <w:proofErr w:type="spellEnd"/>
      <w:r w:rsidR="00CA60FF" w:rsidRPr="00A303B3">
        <w:t xml:space="preserve">, które również są zaangażowane w sprzedaż </w:t>
      </w:r>
      <w:r w:rsidR="00BF7057" w:rsidRPr="00A303B3">
        <w:t>lal</w:t>
      </w:r>
      <w:r w:rsidR="00BF7057" w:rsidRPr="00A303B3">
        <w:t>e</w:t>
      </w:r>
      <w:r w:rsidR="00BF7057" w:rsidRPr="00A303B3">
        <w:t>k seksualn</w:t>
      </w:r>
      <w:r w:rsidR="00BF7057" w:rsidRPr="00A303B3">
        <w:t>ych</w:t>
      </w:r>
      <w:r w:rsidR="00BF7057" w:rsidRPr="00A303B3">
        <w:t xml:space="preserve"> przypominając</w:t>
      </w:r>
      <w:r w:rsidR="00BF7057" w:rsidRPr="00A303B3">
        <w:t>ych</w:t>
      </w:r>
      <w:r w:rsidR="00BF7057" w:rsidRPr="00A303B3">
        <w:t xml:space="preserve"> dzieci</w:t>
      </w:r>
      <w:r w:rsidR="00CA60FF" w:rsidRPr="00A303B3">
        <w:t>, co ilustruje skalę i powagę tego zjawiska</w:t>
      </w:r>
      <w:bookmarkEnd w:id="6"/>
      <w:r>
        <w:t>;</w:t>
      </w:r>
    </w:p>
    <w:p w14:paraId="0642885E" w14:textId="4C5365A5" w:rsidR="00C12FC1" w:rsidRPr="0073524F" w:rsidRDefault="00A303B3" w:rsidP="00C12FC1">
      <w:pPr>
        <w:pStyle w:val="NormalHanging12a"/>
      </w:pPr>
      <w:r>
        <w:t>D</w:t>
      </w:r>
      <w:r w:rsidR="00C12FC1" w:rsidRPr="0073524F">
        <w:t>.</w:t>
      </w:r>
      <w:r w:rsidR="00C12FC1" w:rsidRPr="0073524F">
        <w:tab/>
        <w:t>mając na uwadze, że w świetle tych doniesień rząd francuski publicznie ostrzegł, że powtarzające się naruszenia spowodują, że zablokuje on dostęp do platformy SHEIN na rynku francuskim; mając na uwadze, że wydaje się, iż w odpowiedzi firma SHEIN usunęła ze swoich platform na całym świecie wszystkie lalki seksualne przypominające dzieci oraz ogłosiła ogólnoświatowy zakaz sprzedaży wszelkich lalek seksualnych, wycofała odnośne przedmioty ze sprzedaży i wszczęła wewnętrzne dochodzenie wyjaśniające, jak takie produkty mogły pojawiać się na jej internetowych platformach handlowych;</w:t>
      </w:r>
    </w:p>
    <w:p w14:paraId="41762CFB" w14:textId="6701AF11" w:rsidR="00C12FC1" w:rsidRPr="0073524F" w:rsidRDefault="00A303B3" w:rsidP="00C12FC1">
      <w:pPr>
        <w:pStyle w:val="NormalHanging12a"/>
      </w:pPr>
      <w:r>
        <w:t>E</w:t>
      </w:r>
      <w:r w:rsidR="00C12FC1" w:rsidRPr="0073524F">
        <w:t>.</w:t>
      </w:r>
      <w:r w:rsidR="00C12FC1" w:rsidRPr="0073524F">
        <w:tab/>
        <w:t>mając na uwadze, że zdecydowana reakcja społeczna we Francji jest związana z wcześniejszymi kontrowersjami z udziałem platformy SHEIN, w tym z ustaleniami z lipca 2025 r., że przedsiębiorstwo stosowało wprowadzające w błąd praktyki rabatowe i formułowało nieuzasadnione twierdzenia dotyczące ekologiczności; mając na uwadze, że te nieuczciwe praktyki ujawniają charakter modeli biznesowych takich platform internetowych i budzą wątpliwości co do wzorców konsumpcji;</w:t>
      </w:r>
    </w:p>
    <w:p w14:paraId="6DA860D0" w14:textId="6A1ACB6E" w:rsidR="00C12FC1" w:rsidRPr="0073524F" w:rsidRDefault="00A303B3" w:rsidP="00C12FC1">
      <w:pPr>
        <w:pStyle w:val="NormalHanging12a"/>
      </w:pPr>
      <w:r>
        <w:t>F</w:t>
      </w:r>
      <w:r w:rsidR="00C12FC1" w:rsidRPr="0073524F">
        <w:t>.</w:t>
      </w:r>
      <w:r w:rsidR="00C12FC1" w:rsidRPr="0073524F">
        <w:tab/>
        <w:t>mając na uwadze, że sprawa platformy SHEIN we Francji ponownie zwróciła uwagę na szerszy problem niebezpiecznych i nielegalnych produktów krążących za pośrednictwem internetowych platform handlowych w całej UE oraz wywołała szerszą debatę na temat wzorców konsumpcji, nieuczciwej konkurencji ze strony platform internetowych spoza UE, regulacji internetowych platform handlowych i praw konsumentów;</w:t>
      </w:r>
    </w:p>
    <w:p w14:paraId="6F96FE46" w14:textId="77777777" w:rsidR="00C12FC1" w:rsidRPr="0073524F" w:rsidRDefault="00C12FC1" w:rsidP="00C12FC1">
      <w:pPr>
        <w:pStyle w:val="NormalHanging12a"/>
        <w:rPr>
          <w:b/>
          <w:i/>
          <w:iCs/>
        </w:rPr>
      </w:pPr>
      <w:r w:rsidRPr="0073524F">
        <w:rPr>
          <w:b/>
          <w:i/>
        </w:rPr>
        <w:t>Uwagi wstępne</w:t>
      </w:r>
    </w:p>
    <w:p w14:paraId="0EA5C73B" w14:textId="77777777" w:rsidR="00C12FC1" w:rsidRPr="0073524F" w:rsidRDefault="00C12FC1" w:rsidP="00C12FC1">
      <w:pPr>
        <w:pStyle w:val="NormalHanging12a"/>
      </w:pPr>
      <w:r w:rsidRPr="0073524F">
        <w:t>1.</w:t>
      </w:r>
      <w:r w:rsidRPr="0073524F">
        <w:tab/>
        <w:t>potępia niedawno ujawnioną we Francji dostępność na platformie SHEIN przedmiotów seksualnych przypominających dzieci oraz innych nielegalnych lub niebezpiecznych towarów, takich jak broń, które były dostępne w całej UE; podkreśla, że praktyki te stanowią poważne naruszenie prawa UE oraz bezpośrednie zagrożenie dla bezpieczeństwa konsumentów i ochrony małoletnich;</w:t>
      </w:r>
    </w:p>
    <w:p w14:paraId="08D8E965" w14:textId="77777777" w:rsidR="00C12FC1" w:rsidRPr="0073524F" w:rsidRDefault="00C12FC1" w:rsidP="00C12FC1">
      <w:pPr>
        <w:pStyle w:val="NormalHanging12a"/>
      </w:pPr>
      <w:r w:rsidRPr="0073524F">
        <w:t>2.</w:t>
      </w:r>
      <w:r w:rsidRPr="0073524F">
        <w:tab/>
        <w:t>podkreśla, że sprawa SHEIN nie jest odosobnionym przypadkiem, lecz odzwierciedla systemowy schemat nieodpowiedniego nadzoru i niewystarczających mechanizmów zapobiegawczych; zwraca uwagę na niedawne ustalenia organizacji konsumenckich wskazujące, że znaczna część produktów oferowanych przez główne platformy handlu elektronicznego spoza UE nie spełnia unijnych wymogów bezpieczeństwa, a wiele z nich stanowi poważne zagrożenie dla konsumentów;</w:t>
      </w:r>
    </w:p>
    <w:p w14:paraId="047E7BB2" w14:textId="77777777" w:rsidR="00C12FC1" w:rsidRPr="0073524F" w:rsidRDefault="00C12FC1" w:rsidP="00C12FC1">
      <w:pPr>
        <w:pStyle w:val="NormalHanging12a"/>
      </w:pPr>
      <w:r w:rsidRPr="0073524F">
        <w:lastRenderedPageBreak/>
        <w:t>3.</w:t>
      </w:r>
      <w:r w:rsidRPr="0073524F">
        <w:tab/>
        <w:t>odnotowuje trwające dochodzenia wszczęte przez Komisję w sprawie praktyk bardzo dużych platform internetowych, w tym niedawne wnioski o udzielenie informacji skierowane do SHEIN, ale wzywa Komisję do przejścia od dialogu do zdecydowanego egzekwowania przepisów;</w:t>
      </w:r>
    </w:p>
    <w:p w14:paraId="035C1164" w14:textId="77777777" w:rsidR="00C12FC1" w:rsidRPr="0073524F" w:rsidRDefault="00C12FC1" w:rsidP="00C12FC1">
      <w:pPr>
        <w:pStyle w:val="NormalHanging12a"/>
      </w:pPr>
      <w:r w:rsidRPr="0073524F">
        <w:t>4.</w:t>
      </w:r>
      <w:r w:rsidRPr="0073524F">
        <w:tab/>
        <w:t>podkreśla, że większość niebezpiecznych i nielegalnych produktów jest wysyłana do UE w dużych ilościach w postaci pojedynczych i często niewielkich rozmiarami paczek sprzedawanych konsumentom w UE za pośrednictwem platform internetowych z krajów spoza UE, w szczególności z Chin; ostrzega, że gwałtowny wzrost liczby małych przesyłek w połączeniu z ograniczonymi zdolnościami kontrolnymi prowadzi do niedostatecznego przechwytywania towarów niebezpiecznych; podkreśla, że sytuacja ta zagraża konsumentom i zakłóca konkurencję;</w:t>
      </w:r>
    </w:p>
    <w:p w14:paraId="7E13E5DE" w14:textId="77777777" w:rsidR="00C12FC1" w:rsidRPr="0073524F" w:rsidRDefault="00C12FC1" w:rsidP="00C12FC1">
      <w:pPr>
        <w:pStyle w:val="NormalHanging12a"/>
      </w:pPr>
      <w:r w:rsidRPr="0073524F">
        <w:t>5.</w:t>
      </w:r>
      <w:r w:rsidRPr="0073524F">
        <w:tab/>
        <w:t>wyraża głębokie zaniepokojenie tym, że udokumentowaną rosnącą liczbę przypadków nieprzestrzegania przepisów przez SHEIN i inne platformy internetowe spoza UE potęguje model biznesowy, w którym liczy się szybkość, maksymalizacja zysków i nadmierna konsumpcja kosztem praw człowieka, ochrony środowiska, bezpieczeństwa konsumentów i podstawowych wartości; ubolewa, że za sztucznie zaniżonymi cenami kryją się problemy, w tym źle opłacana siła robocza, bezprawne imitacje pracy projektantów, wprowadzanie do obrotu niebezpiecznych i niezgodnych z wymogami produktów oraz akumulacja odpadów włókienniczych;</w:t>
      </w:r>
    </w:p>
    <w:p w14:paraId="5C666CDC" w14:textId="77777777" w:rsidR="00C12FC1" w:rsidRPr="0073524F" w:rsidRDefault="00C12FC1" w:rsidP="00C12FC1">
      <w:pPr>
        <w:pStyle w:val="NormalHanging12a"/>
        <w:rPr>
          <w:b/>
          <w:i/>
          <w:iCs/>
        </w:rPr>
      </w:pPr>
      <w:r w:rsidRPr="0073524F">
        <w:rPr>
          <w:b/>
          <w:i/>
        </w:rPr>
        <w:t>Wyzwania związane ze zgodnością z przepisami</w:t>
      </w:r>
    </w:p>
    <w:p w14:paraId="606B0D76" w14:textId="77777777" w:rsidR="00C12FC1" w:rsidRPr="0073524F" w:rsidRDefault="00C12FC1" w:rsidP="00C12FC1">
      <w:pPr>
        <w:pStyle w:val="NormalHanging12a"/>
      </w:pPr>
      <w:r w:rsidRPr="0073524F">
        <w:t>6.</w:t>
      </w:r>
      <w:r w:rsidRPr="0073524F">
        <w:tab/>
        <w:t xml:space="preserve">przyznaje, że UE ustanowiła solidne ramy zgodności, w tym akt o usługach cyfrowych, akt o rynkach cyfrowych, rezerwę stabilności rynkowej, rozporządzenie w sprawie ogólnego bezpieczeństwa produktów, przepisy dotyczące ochrony konsumentów oraz różne przepisy dotyczące produktów i ochrony środowiska, które mają również zastosowanie do produktów sprzedawanych przez </w:t>
      </w:r>
      <w:proofErr w:type="spellStart"/>
      <w:r w:rsidRPr="0073524F">
        <w:t>internet</w:t>
      </w:r>
      <w:proofErr w:type="spellEnd"/>
      <w:r w:rsidRPr="0073524F">
        <w:t>; dostrzega jednak, że nadal potrzebne są większe wysiłki na rzecz pełnego i skoordynowanego egzekwowania ram zgodności z przepisami;</w:t>
      </w:r>
    </w:p>
    <w:p w14:paraId="05F04408" w14:textId="77777777" w:rsidR="00C12FC1" w:rsidRPr="0073524F" w:rsidRDefault="00C12FC1" w:rsidP="00C12FC1">
      <w:pPr>
        <w:pStyle w:val="NormalHanging12a"/>
      </w:pPr>
      <w:r w:rsidRPr="0073524F">
        <w:t xml:space="preserve">7. </w:t>
      </w:r>
      <w:r w:rsidRPr="0073524F">
        <w:tab/>
        <w:t>uważa, że rygorystyczne, spójne i terminowe wdrożenie dorobku prawnego UE jest niezbędne, aby zapobiec wprowadzaniu na rynek wewnętrzny niebezpiecznych, niespełniających wymogów i podrobionych produktów oraz utrzymać wysoki poziom ochrony konsumentów; wzywa wszystkie właściwe organy w państwach członkowskich do sięgania po wszelkie dostępne im narzędzia egzekwowania prawa, by reagować skutecznie i na czas;</w:t>
      </w:r>
    </w:p>
    <w:p w14:paraId="6D6EAA6A" w14:textId="77777777" w:rsidR="00C12FC1" w:rsidRPr="0073524F" w:rsidRDefault="00C12FC1" w:rsidP="00C12FC1">
      <w:pPr>
        <w:pStyle w:val="NormalHanging12a"/>
      </w:pPr>
      <w:r w:rsidRPr="0073524F">
        <w:t>8.</w:t>
      </w:r>
      <w:r w:rsidRPr="0073524F">
        <w:tab/>
        <w:t xml:space="preserve">przypomina, że akt o usługach cyfrowych zapewnia jasne podstawy prawne do interwencji, w tym prawo do nakładania grzywien na mocy art. 74 oraz prawo do nakazania usunięcia nielegalnych produktów na mocy art. 9; wzywa Komisję do pełnego i terminowego wykorzystania tych instrumentów w celu zapewnienia, aby platformy wywiązywały się ze swoich zobowiązań; podkreśla, że obywatele muszą widzieć, że UE jest w stanie zagwarantować im bezpieczeństwo w </w:t>
      </w:r>
      <w:proofErr w:type="spellStart"/>
      <w:r w:rsidRPr="0073524F">
        <w:t>internecie</w:t>
      </w:r>
      <w:proofErr w:type="spellEnd"/>
      <w:r w:rsidRPr="0073524F">
        <w:t>, i oczekuje skoordynowanego i zdecydowanego egzekwowania przepisów na całym rynku wewnętrznym;</w:t>
      </w:r>
    </w:p>
    <w:p w14:paraId="498C9799" w14:textId="77777777" w:rsidR="00C12FC1" w:rsidRPr="0073524F" w:rsidRDefault="00C12FC1" w:rsidP="00C12FC1">
      <w:pPr>
        <w:pStyle w:val="NormalHanging12a"/>
      </w:pPr>
      <w:r w:rsidRPr="0073524F">
        <w:t>9.</w:t>
      </w:r>
      <w:r w:rsidRPr="0073524F">
        <w:tab/>
        <w:t xml:space="preserve">ostrzega, że utrzymują się poważne niedociągnięcia w egzekwowaniu przepisów ze względu na stale niewystarczające zasoby i niewystarczające zdolności cyfrowe organów celnych i organów nadzoru rynku, niedobór wyspecjalizowanego personelu </w:t>
      </w:r>
      <w:r w:rsidRPr="0073524F">
        <w:lastRenderedPageBreak/>
        <w:t xml:space="preserve">oraz brak zharmonizowanych i </w:t>
      </w:r>
      <w:proofErr w:type="spellStart"/>
      <w:r w:rsidRPr="0073524F">
        <w:t>interoperacyjnych</w:t>
      </w:r>
      <w:proofErr w:type="spellEnd"/>
      <w:r w:rsidRPr="0073524F">
        <w:t xml:space="preserve"> narzędzi technologicznych we wszystkich państwach członkowskich, co jest spotęgowane ograniczoną wymianą danych i słabą koordynacją operacyjną między organami celnymi, organami nadzoru rynku i organami ochrony konsumentów;</w:t>
      </w:r>
    </w:p>
    <w:p w14:paraId="31A0A26C" w14:textId="77777777" w:rsidR="00C12FC1" w:rsidRPr="0073524F" w:rsidRDefault="00C12FC1" w:rsidP="00C12FC1">
      <w:pPr>
        <w:pStyle w:val="NormalHanging12a"/>
      </w:pPr>
      <w:r w:rsidRPr="0073524F">
        <w:t>10.</w:t>
      </w:r>
      <w:r w:rsidRPr="0073524F">
        <w:tab/>
        <w:t>podkreśla, że ogromna ilość wprowadzanych do UE przesyłek w handlu elektronicznym sprawia, iż kontrole fizyczne są z natury niewystarczające; wzywa do podjęcia pilnych działań, w tym do wprowadzenia zharmonizowanej, zgodnej z zasadami WTO opłaty manipulacyjnej na szczeblu UE, aby pokryć zwiększone koszty nadzoru ponoszone przez organy celne, oraz do jasnego określenia odpowiedzialności platform i sprzedawców mających siedzibę w państwach trzecich za bezpieczeństwo i zgodność z przepisami produktów, które kierują oni do konsumentów w UE; uważa, że powinno to towarzyszyć zniesieniu zwolnienia z VAT i cła dla przesyłek o niskiej wartości, co zostało niedawno uzgodnione w Radzie; wzywa Komisję do znacznego zwiększenia wsparcia finansowego i operacyjnego dla organów celnych i organów nadzoru rynku, w tym przez zwiększenie środków w przyszłych wieloletnich ramach finansowych, aby zapewnić wystarczające zasoby i odpowiedni personel;</w:t>
      </w:r>
    </w:p>
    <w:p w14:paraId="7A83DAE7" w14:textId="77777777" w:rsidR="00C12FC1" w:rsidRPr="0073524F" w:rsidRDefault="00C12FC1" w:rsidP="00C12FC1">
      <w:pPr>
        <w:pStyle w:val="NormalHanging12a"/>
        <w:rPr>
          <w:b/>
          <w:i/>
          <w:iCs/>
        </w:rPr>
      </w:pPr>
      <w:r w:rsidRPr="0073524F">
        <w:rPr>
          <w:b/>
          <w:i/>
        </w:rPr>
        <w:t>Dochodzenia w sprawie platform internetowych i dalsze działania</w:t>
      </w:r>
    </w:p>
    <w:p w14:paraId="2F71CFAC" w14:textId="77777777" w:rsidR="00C12FC1" w:rsidRPr="0073524F" w:rsidRDefault="00C12FC1" w:rsidP="00C12FC1">
      <w:pPr>
        <w:pStyle w:val="NormalHanging12a"/>
      </w:pPr>
      <w:r w:rsidRPr="0073524F">
        <w:t>11.</w:t>
      </w:r>
      <w:r w:rsidRPr="0073524F">
        <w:tab/>
        <w:t xml:space="preserve">wyraża ubolewanie z powodu powolnych postępów w dochodzeniach wszczętych przez Komisję i sieć współpracy w zakresie ochrony konsumentów w sprawie platform internetowych spoza UE w związku z zarzucanymi naruszeniami unijnych przepisów dotyczących bezpieczeństwa produktów i praw konsumentów oraz w sprawie bardzo dużych platform, w szczególności na mocy aktu o usługach cyfrowych; ubolewa, że procedury dochodzeniowe często trwają wiele miesięcy, a nawet lat, co podważa zaufanie obywateli i ogranicza zdolność ustawodawców do reagowania na szybko pojawiające się zagrożenia w </w:t>
      </w:r>
      <w:proofErr w:type="spellStart"/>
      <w:r w:rsidRPr="0073524F">
        <w:t>internecie</w:t>
      </w:r>
      <w:proofErr w:type="spellEnd"/>
      <w:r w:rsidRPr="0073524F">
        <w:t>; podkreśla pilną potrzebę zakończenia tych dochodzeń i zajęcia się strukturalnymi przyczynami tego szkodliwego spowolnienia; podkreśla, że w praktyce zawieszenie działalności platform, o co obecnie zabiega Francja, pozostaje w dużej mierze nieosiągalne, nawet w przypadku oczywistego i powtarzającego się nieprzestrzegania przepisów; podkreśla, że konieczne są działania na szczeblu UE, aby zapewnić spójne egzekwowanie przepisów, a także zapobiegać wszelkim zakłóceniom na rynku wewnętrznym;</w:t>
      </w:r>
    </w:p>
    <w:p w14:paraId="3C38C7C9" w14:textId="77777777" w:rsidR="00C12FC1" w:rsidRPr="0073524F" w:rsidRDefault="00C12FC1" w:rsidP="00C12FC1">
      <w:pPr>
        <w:pStyle w:val="NormalHanging12a"/>
      </w:pPr>
      <w:r w:rsidRPr="0073524F">
        <w:t>12.</w:t>
      </w:r>
      <w:r w:rsidRPr="0073524F">
        <w:tab/>
        <w:t>apeluje zatem o silniejsze, szybsze i skuteczniejsze instrumenty egzekwowania przepisów, aby zapewnić efektywne stosowanie przepisów UE w środowisku cyfrowym; domaga się stałego i systematycznego monitorowania realizacji zobowiązań podejmowanych przez platformy internetowe;</w:t>
      </w:r>
    </w:p>
    <w:p w14:paraId="69553CBD" w14:textId="77777777" w:rsidR="00C12FC1" w:rsidRPr="0073524F" w:rsidRDefault="00C12FC1" w:rsidP="00C12FC1">
      <w:pPr>
        <w:pStyle w:val="NormalHanging12a"/>
      </w:pPr>
      <w:r w:rsidRPr="0073524F">
        <w:t>13.</w:t>
      </w:r>
      <w:r w:rsidRPr="0073524F">
        <w:tab/>
        <w:t>podkreśla, że ostatnie ustalenia dotyczące platformy SHEIN wskazują na błędy systemowe, a nie pojedyncze incydenty, a zatem nie można im zaradzić jedynie przez wycofanie produktu lub publiczne przeprosiny;</w:t>
      </w:r>
    </w:p>
    <w:p w14:paraId="06080CE2" w14:textId="77777777" w:rsidR="00C12FC1" w:rsidRPr="0073524F" w:rsidRDefault="00C12FC1" w:rsidP="00C12FC1">
      <w:pPr>
        <w:pStyle w:val="NormalHanging12a"/>
      </w:pPr>
      <w:r w:rsidRPr="0073524F">
        <w:t>14.</w:t>
      </w:r>
      <w:r w:rsidRPr="0073524F">
        <w:tab/>
        <w:t xml:space="preserve">apeluje o szybsze i łatwiejsze procedury uruchamiania środków tymczasowych na mocy aktu o usługach cyfrowych oraz innych środków na mocy rozporządzenia w sprawie ogólnego bezpieczeństwa produktów i rezerwy stabilności rynkowej, w tym tymczasowego zawieszenia funkcjonowania internetowych platform handlowych w przypadku powtarzających się, poważnych lub systemowych naruszeń prawa UE, takich jak sprawa dotycząca platformy SHEIN we Francji, w celu zapewnienia, aby platformy nieprzestrzegające przepisów nie mogły uniknąć konsekwencji; podkreśla, że </w:t>
      </w:r>
      <w:r w:rsidRPr="0073524F">
        <w:lastRenderedPageBreak/>
        <w:t>zawieszenie funkcjonowania internetowych platform handlowych nie powinno być dłużej traktowane jako środek wyjątkowy, po który sięga się w ostateczności;</w:t>
      </w:r>
    </w:p>
    <w:p w14:paraId="7DE2F4FE" w14:textId="77777777" w:rsidR="00C12FC1" w:rsidRPr="0073524F" w:rsidRDefault="00C12FC1" w:rsidP="00C12FC1">
      <w:pPr>
        <w:pStyle w:val="NormalHanging12a"/>
      </w:pPr>
      <w:r w:rsidRPr="0073524F">
        <w:t>15.</w:t>
      </w:r>
      <w:r w:rsidRPr="0073524F">
        <w:tab/>
        <w:t>podkreśla, że sankcje powinny być skuteczniejsze i powinny być stosowane w odpowiednim czasie, przy pełnym wykorzystaniu wszystkich instrumentów przewidzianych w prawodawstwie UE; podkreśla, że takie sankcje muszą być wystarczająco odstraszające, aby zapewnić pełną zgodność platform, które nie przestrzegają przepisów, z prawem UE;</w:t>
      </w:r>
    </w:p>
    <w:p w14:paraId="06DDABA3" w14:textId="77777777" w:rsidR="00C12FC1" w:rsidRPr="0073524F" w:rsidRDefault="00C12FC1" w:rsidP="00C12FC1">
      <w:pPr>
        <w:pStyle w:val="NormalHanging12a"/>
      </w:pPr>
      <w:r w:rsidRPr="0073524F">
        <w:t>16.</w:t>
      </w:r>
      <w:r w:rsidRPr="0073524F">
        <w:tab/>
        <w:t xml:space="preserve">zauważa, że obecny system jest bardziej reaktywny niż prewencyjny, ponieważ władze interweniują dopiero po tym, jak niebezpieczne produkty zostaną już sprzedane konsumentom, zamiast zapobiegać ich dystrybucji; przypomina, że zgodnie z rozporządzeniem w sprawie ogólnego bezpieczeństwa produktów internetowe platformy handlowe muszą usunąć ofertę produktu niebezpiecznego w ciągu dwóch dni, jeżeli wiedzą, że produkt jest niebezpieczny, lub jeżeli muszą zastosować się do nakazu usunięcia wydanego przez organ rządowy, lub w ciągu trzech dni, jeżeli muszą zastosować się do nakazu uznanej strony trzeciej; podkreśla ponadto, że zachęca się dostawców internetowych platform handlowych do weryfikowania produktów w portalu </w:t>
      </w:r>
      <w:proofErr w:type="spellStart"/>
      <w:r w:rsidRPr="0073524F">
        <w:t>Safety</w:t>
      </w:r>
      <w:proofErr w:type="spellEnd"/>
      <w:r w:rsidRPr="0073524F">
        <w:t xml:space="preserve"> </w:t>
      </w:r>
      <w:proofErr w:type="spellStart"/>
      <w:r w:rsidRPr="0073524F">
        <w:t>Gate</w:t>
      </w:r>
      <w:proofErr w:type="spellEnd"/>
      <w:r w:rsidRPr="0073524F">
        <w:t xml:space="preserve"> przed wyświetleniem ich w ofercie; podkreśla, że badania prób losowo wybranych produktów mogą służyć jako skuteczny środek odstraszający tylko wtedy, gdy są przeprowadzane systematycznie i z wystarczającą częstotliwością;</w:t>
      </w:r>
    </w:p>
    <w:p w14:paraId="010E4D55" w14:textId="77777777" w:rsidR="00C12FC1" w:rsidRPr="0073524F" w:rsidRDefault="00C12FC1" w:rsidP="00C12FC1">
      <w:pPr>
        <w:pStyle w:val="NormalHanging12a"/>
      </w:pPr>
      <w:r w:rsidRPr="0073524F">
        <w:t>17.</w:t>
      </w:r>
      <w:r w:rsidRPr="0073524F">
        <w:tab/>
        <w:t xml:space="preserve">wzywa Komisję i właściwe organy krajowe do zdecydowanego egzekwowania DSA w odniesieniu do odpowiedzialności internetowych platform handlowych, w szczególności ich obowiązków w zakresie systemów rekomendacji, projektowania interfejsów, prawa do informacji, zasad zgodności w fazie projektowania w celu zwiększenia ogólnej identyfikowalności, a także obowiązku „znaj swojego klienta biznesowego”; podkreśla potrzebę stworzenia opartej na DSA sieci zaufanych podmiotów sygnalizujących nielegalne produkty i handel elektroniczny w celu zadbania o to, aby platformy rzeczywiście wypełniały swoje obowiązki; przypomina, że SHEIN i inne platformy internetowe, takie jak Temu i </w:t>
      </w:r>
      <w:proofErr w:type="spellStart"/>
      <w:r w:rsidRPr="0073524F">
        <w:t>AliExpress</w:t>
      </w:r>
      <w:proofErr w:type="spellEnd"/>
      <w:r w:rsidRPr="0073524F">
        <w:t>, zostały uznane za bardzo duże platformy internetowe i podlegają rozszerzonym obowiązkom;</w:t>
      </w:r>
    </w:p>
    <w:p w14:paraId="1CB96370" w14:textId="77777777" w:rsidR="00C12FC1" w:rsidRPr="0073524F" w:rsidRDefault="00C12FC1" w:rsidP="00C12FC1">
      <w:pPr>
        <w:pStyle w:val="NormalHanging12a"/>
      </w:pPr>
      <w:r w:rsidRPr="0073524F">
        <w:t>18.</w:t>
      </w:r>
      <w:r w:rsidRPr="0073524F">
        <w:tab/>
        <w:t xml:space="preserve">zauważa, że Komisja kontroluje niektóre internetowe platformy handlowe spoza UE pod kątem stosowania przez nie technik manipulacyjnych, w tym zwodniczych interfejsów, uzależniających rozwiązań projektowych, nieuczciwego marketingu </w:t>
      </w:r>
      <w:proofErr w:type="spellStart"/>
      <w:r w:rsidRPr="0073524F">
        <w:t>influencerskiego</w:t>
      </w:r>
      <w:proofErr w:type="spellEnd"/>
      <w:r w:rsidRPr="0073524F">
        <w:t xml:space="preserve"> oraz rozpowszechniania fałszywych lub wprowadzających w błąd opinii umieszczanych w </w:t>
      </w:r>
      <w:proofErr w:type="spellStart"/>
      <w:r w:rsidRPr="0073524F">
        <w:t>internecie</w:t>
      </w:r>
      <w:proofErr w:type="spellEnd"/>
      <w:r w:rsidRPr="0073524F">
        <w:t xml:space="preserve">; przypomina, że zgodnie z oceną adekwatności w zakresie sprawiedliwości cyfrowej straty konsumentów  z powodu nieuczciwych praktyk handlowych szacuje się na prawie 8 mld EUR rocznie, i podkreśla, że takie metody wyzysku, które szczególnie dotykają użytkowników podatnych na zagrożenia i małoletnich, napędzają impulsywne zachowania zakupowe i niezrównoważoną konsumpcję; wzywa Komisję do dopilnowania, aby w przyszłym akcie w sprawie sprawiedliwości cyfrowej zajęto się tymi praktykami przez wyeliminowanie luk regulacyjnych w obowiązujących przepisach; </w:t>
      </w:r>
    </w:p>
    <w:p w14:paraId="0F2883F4" w14:textId="77777777" w:rsidR="00C12FC1" w:rsidRPr="0073524F" w:rsidRDefault="00C12FC1" w:rsidP="00C12FC1">
      <w:pPr>
        <w:pStyle w:val="NormalHanging12a"/>
      </w:pPr>
      <w:r w:rsidRPr="0073524F">
        <w:t>19.</w:t>
      </w:r>
      <w:r w:rsidRPr="0073524F">
        <w:tab/>
        <w:t xml:space="preserve">apeluje, aby wszyscy sprzedawcy działający na internetowych platformach handlowych byli zobowiązani do podania możliwego do zweryfikowania adresu zwrotnego i punktu kontaktowego w UE, co zapewni konsumentom możliwość skutecznego egzekwowania ich praw wynikających z unijnego prawa ochrony konsumentów (takich jak prawo do wycofania się z zakupu w przypadku zakupów przez </w:t>
      </w:r>
      <w:proofErr w:type="spellStart"/>
      <w:r w:rsidRPr="0073524F">
        <w:t>internet</w:t>
      </w:r>
      <w:proofErr w:type="spellEnd"/>
      <w:r w:rsidRPr="0073524F">
        <w:t xml:space="preserve">, a także do zwrotu </w:t>
      </w:r>
      <w:r w:rsidRPr="0073524F">
        <w:lastRenderedPageBreak/>
        <w:t>towarów, które nie spełniają wymogów, bez dodatkowych obciążeń) oraz umożliwi właściwym organom skuteczne przeprowadzanie kontroli; podkreśla, że internetowe platformy handlowe powinny mieć obowiązek sprawdzania tego i ponosić odpowiedzialność za egzekwowanie przepisów;</w:t>
      </w:r>
    </w:p>
    <w:p w14:paraId="205AD277" w14:textId="77777777" w:rsidR="00C12FC1" w:rsidRPr="0073524F" w:rsidRDefault="00C12FC1" w:rsidP="00C12FC1">
      <w:pPr>
        <w:pStyle w:val="NormalHanging12a"/>
        <w:rPr>
          <w:b/>
          <w:i/>
          <w:iCs/>
        </w:rPr>
      </w:pPr>
      <w:r w:rsidRPr="0073524F">
        <w:rPr>
          <w:b/>
          <w:i/>
        </w:rPr>
        <w:t>Potrzeba reform regulacyjnych</w:t>
      </w:r>
    </w:p>
    <w:p w14:paraId="5748DE82" w14:textId="77777777" w:rsidR="00C12FC1" w:rsidRPr="0073524F" w:rsidRDefault="00C12FC1" w:rsidP="00C12FC1">
      <w:pPr>
        <w:pStyle w:val="NormalHanging12a"/>
        <w:rPr>
          <w:bCs/>
        </w:rPr>
      </w:pPr>
      <w:r w:rsidRPr="0073524F">
        <w:t>20.</w:t>
      </w:r>
      <w:r w:rsidRPr="0073524F">
        <w:tab/>
        <w:t>wzywa Komisję do niezwłocznego podjęcia skutecznych środków przeciwko niebezpiecznym i nielegalnym produktom na platformach internetowych, w tym środków ustawodawczych, tam gdzie jednoznacznie wskazano luki prawne, w celu zapewnienia pewności prawa i równych warunków działania dla europejskich przedsiębiorstw, ze szczególnym uwzględnieniem małych i średnich przedsiębiorstw; podkreśla potrzebę wdrożenia istniejących ram zgodności i oceny tych środków podczas refleksji nad nowymi przepisami, w tym nad nowymi obowiązkami internetowych platform handlowych;</w:t>
      </w:r>
    </w:p>
    <w:p w14:paraId="218CF70F" w14:textId="77777777" w:rsidR="00C12FC1" w:rsidRPr="0073524F" w:rsidRDefault="00C12FC1" w:rsidP="00C12FC1">
      <w:pPr>
        <w:pStyle w:val="NormalHanging12a"/>
      </w:pPr>
      <w:r w:rsidRPr="0073524F">
        <w:t>21.</w:t>
      </w:r>
      <w:r w:rsidRPr="0073524F">
        <w:tab/>
        <w:t>zwraca uwagę, że informacje dotyczące odpowiedzialnego podmiotu gospodarczego w UE – na mocy rozporządzenia w sprawie ogólnego bezpieczeństwa produktów – działającego w imieniu przedsiębiorcy lub platformy spoza UE, są często błędne lub ich brakuje; podkreśla jednak, że jeżeli sprzedawcy mają siedzibę poza UE lub nie można ich zidentyfikować i jeżeli osoby odpowiedzialne wykorzystują fałszywe adresy, nie istnieje podmiot prawny, który ponosi odpowiedzialność, a organy nadzoru rynku nie są w stanie podjąć działań w zakresie egzekwowania prawa ani zapewnić konsumentom dostępu do odszkodowania lub środków ochrony prawnej; zauważa, że nawet jeśli informacje te są dostępne, pociągnięcie do odpowiedzialności osoby odpowiedzialnej w UE może nie być możliwe;</w:t>
      </w:r>
    </w:p>
    <w:p w14:paraId="37EEC3BB" w14:textId="77777777" w:rsidR="00C12FC1" w:rsidRPr="0073524F" w:rsidRDefault="00C12FC1" w:rsidP="00C12FC1">
      <w:pPr>
        <w:pStyle w:val="NormalHanging12a"/>
      </w:pPr>
      <w:r w:rsidRPr="0073524F">
        <w:t>22.</w:t>
      </w:r>
      <w:r w:rsidRPr="0073524F">
        <w:tab/>
        <w:t>uważa, że należy zapewnić konsumentom możliwość dochodzenia roszczeń we wszystkich przypadkach; podkreśla w związku z tym, że w przypadku gdy producent ma siedzibę poza UE i nie można zidentyfikować importera, upoważnionego przedstawiciela ani dostawcy usług realizacji zamówień, internetowe platformy handlowe, gdy wejdą w konflikt z aktem o usługach cyfrowych, w szczególności z jego art. 30 i 31, lub z art. 22 rozporządzenia w sprawie ogólnego bezpieczeństwa produktów, powinny zapewnić konsumentom odpowiednie i proporcjonalne środki odwoławcze;</w:t>
      </w:r>
    </w:p>
    <w:p w14:paraId="5DD7A922" w14:textId="77777777" w:rsidR="00C12FC1" w:rsidRPr="0073524F" w:rsidRDefault="00C12FC1" w:rsidP="00C12FC1">
      <w:pPr>
        <w:pStyle w:val="NormalHanging12a"/>
      </w:pPr>
      <w:r w:rsidRPr="0073524F">
        <w:t>23.</w:t>
      </w:r>
      <w:r w:rsidRPr="0073524F">
        <w:tab/>
        <w:t>odnotowuje, że Komisja ma zamiar przeprowadzić przegląd rozporządzenia w sprawie nadzoru rynku, i podkreśla, że proces ten musi umożliwiać szybką i dogłębną ocenę obecnych przepisów dotyczących „osoby odpowiedzialnej za produkty wprowadzane do obrotu w Unii”, w szczególności przepisów dotyczących przedsiębiorców spoza UE, w oparciu o wyniki sprawozdania z oceny dotyczącego art. 4 rozporządzenia w sprawie nadzoru rynku; wzywa Komisję, aby przyspieszyła ocenę wprowadzenia obowiązkowego wymogu wyznaczenia przez podmioty handlowe spoza UE osoby odpowiedzialnej w UE, która powinna ponosić większą odpowiedzialność prawną i finansową;</w:t>
      </w:r>
    </w:p>
    <w:p w14:paraId="35807324" w14:textId="77777777" w:rsidR="00C12FC1" w:rsidRPr="0073524F" w:rsidRDefault="00C12FC1" w:rsidP="00C12FC1">
      <w:pPr>
        <w:pStyle w:val="NormalHanging12a"/>
      </w:pPr>
      <w:r w:rsidRPr="0073524F">
        <w:t>24.</w:t>
      </w:r>
      <w:r w:rsidRPr="0073524F">
        <w:tab/>
        <w:t xml:space="preserve">uważa, że przegląd rozporządzenia w sprawie nadzoru rynku stanowi doskonałą okazję do wzmocnienia ram regulacyjnych UE przez wyraźniejsze rozróżnienie odpowiedzialności platform, które wprowadzają produkty do obrotu, od platform, których działalność ogranicza się do przechowywania treści </w:t>
      </w:r>
      <w:proofErr w:type="spellStart"/>
      <w:r w:rsidRPr="0073524F">
        <w:t>nieproduktowych</w:t>
      </w:r>
      <w:proofErr w:type="spellEnd"/>
      <w:r w:rsidRPr="0073524F">
        <w:t xml:space="preserve">, takich jak filmy wideo, obrazy lub artykuły; przypomina, że rozróżnienie to jest już obecne w </w:t>
      </w:r>
      <w:r w:rsidRPr="0073524F">
        <w:lastRenderedPageBreak/>
        <w:t>rozporządzeniu w sprawie ogólnego bezpieczeństwa produktów, rozporządzeniu w sprawie nadzoru rynku i unijnym kodeksie celnym, które zawierają szczegółowe przepisy dotyczące internetowych platform handlowych sprzedających produkty; uważa jednak, że zwiększenie odpowiedzialności internetowych platform handlowych sprzedających produkty jest niezbędne do dalszej ochrony konsumentów;</w:t>
      </w:r>
    </w:p>
    <w:p w14:paraId="1BCDF43D" w14:textId="77777777" w:rsidR="00C12FC1" w:rsidRPr="0073524F" w:rsidRDefault="00C12FC1" w:rsidP="00C12FC1">
      <w:pPr>
        <w:pStyle w:val="NormalHanging12a"/>
      </w:pPr>
      <w:r w:rsidRPr="0073524F">
        <w:t>25.</w:t>
      </w:r>
      <w:r w:rsidRPr="0073524F">
        <w:tab/>
        <w:t>wzywa Komisję, aby niezwłocznie przystąpiła do kompleksowego przeglądu rozporządzenia w sprawie współpracy w dziedzinie ochrony konsumentów</w:t>
      </w:r>
      <w:r w:rsidRPr="0073524F">
        <w:rPr>
          <w:rStyle w:val="FootnoteReference"/>
        </w:rPr>
        <w:footnoteReference w:id="10"/>
      </w:r>
      <w:r w:rsidRPr="0073524F">
        <w:t>, ponieważ jest to warunek zapewnienia ścisłego transgranicznego egzekwowania unijnych przepisów konsumenckich i ograniczenia obrotu towarami niebezpiecznymi; podkreśla, że w ramach tego przeglądu należy wprowadzić konkretne przepisy zwiększające zdolności do egzekwowania przepisów w odniesieniu do przedsiębiorców i platform spoza UE, a zarazem zapewnić ściślejszą koordynację i zorganizowaną wymianę informacji między organami unijnymi i krajowymi oraz, w stosownych przypadkach, z właściwymi organami w państwach spoza UE; podkreśla potrzebę przyznania Komisji bezpośrednich uprawnień do prowadzenia dochodzeń i nakładania sankcji w przypadku poważnych naruszeń prawa ochrony konsumentów o istotnych konsekwencjach, aby zapewnić spójne, jednoczesne i odstraszające egzekwowanie prawa w całej UE;</w:t>
      </w:r>
    </w:p>
    <w:p w14:paraId="471F7890" w14:textId="77777777" w:rsidR="00C12FC1" w:rsidRPr="0073524F" w:rsidRDefault="00C12FC1" w:rsidP="00C12FC1">
      <w:pPr>
        <w:pStyle w:val="NormalHanging12a"/>
      </w:pPr>
      <w:r w:rsidRPr="0073524F">
        <w:t>26.</w:t>
      </w:r>
      <w:r w:rsidRPr="0073524F">
        <w:tab/>
        <w:t>uważa, że operacje typu „tajemniczy klient” prowadzone przez organy nadzoru rynku, jak wskazano w komunikacie Komisji w sprawie handlu elektronicznego, stanowią kluczowy środek oceny legalności i bezpieczeństwa produktów oferowanych za pośrednictwem platform internetowych; wzywa do drastycznego rozszerzenia tych operacji i przeprowadzania ich z większą regularnością, aby zapewnić skuteczne egzekwowanie przepisów, wraz z innymi skoordynowanymi działaniami w zakresie egzekwowania prawa, takimi jak akcje kontrolne i wzajemne oceny; przypomina, że środki naprawcze ukierunkowane na powtarzające się lub wcześniej udokumentowane niezgodności w odniesieniu do porównywalnych produktów przewidziane w rozporządzeniu w sprawie ogólnego bezpieczeństwa produktów powinny być stosowane bardziej systematycznie;</w:t>
      </w:r>
    </w:p>
    <w:p w14:paraId="1D611331" w14:textId="77777777" w:rsidR="00C12FC1" w:rsidRPr="0073524F" w:rsidRDefault="00C12FC1" w:rsidP="00C12FC1">
      <w:pPr>
        <w:pStyle w:val="NormalHanging12a"/>
      </w:pPr>
      <w:r w:rsidRPr="0073524F">
        <w:t>27.</w:t>
      </w:r>
      <w:r w:rsidRPr="0073524F">
        <w:tab/>
        <w:t>wzywa Komisję do oceny wykonalności opracowania jasnych i zharmonizowanych definicji „szybkiej mody” i „ultraszybkiej mody” w celu uwzględnienia szczególnych zagrożeń związanych z tymi modelami biznesowymi, zapewnienia równych warunków działania wszystkim uczestnikom rynku oraz zapobiegania fragmentacji regulacyjnej na rynku wewnętrznym; wzywa również Komisję do oceny przepisów, które zapewniłyby dostępność w pełni skutecznych narzędzi pozwalających sprostać wyzwaniom związanym z rozprzestrzenianiem się „ultraszybkich” produktów niskiej jakości, w tym bardziej rygorystycznych procedur oceny zgodności i ulepszonych narzędzi egzekwowania prawa, aby zapewnić funkcjonowanie rynku wewnętrznego gwarantującego najwyższy poziom ochrony konsumentów, a jednocześnie umożliwiającego rozwój innowacyjnych produktów i pomysłów oraz zmniejszenie zbędnych obciążeń administracyjnych dla odpowiedzialnych przedsiębiorstw i produktów zgodnych z przepisami;</w:t>
      </w:r>
    </w:p>
    <w:p w14:paraId="302A0157" w14:textId="77777777" w:rsidR="00C12FC1" w:rsidRPr="0073524F" w:rsidRDefault="00C12FC1" w:rsidP="00C12FC1">
      <w:pPr>
        <w:pStyle w:val="NormalHanging12a"/>
      </w:pPr>
      <w:r w:rsidRPr="0073524F">
        <w:lastRenderedPageBreak/>
        <w:t>28.</w:t>
      </w:r>
      <w:r w:rsidRPr="0073524F">
        <w:tab/>
        <w:t xml:space="preserve">wzywa ponadto państwa członkowskie do znacznego przyspieszenia cyfryzacji procedur przywozowych w administracjach celnych, przy wsparciu unijnego centrum danych celnych, aby zapewnić skuteczne stosowanie obowiązujących przepisów i przyspieszyć odprawę celną, zwłaszcza mając na uwadze wykładniczy wzrost przepływu paczek; wzywa państwa członkowskie do większego wykorzystania procesów zautomatyzowanych, takich jak automatyczne skanowanie etykiet podczas obsługi przesyłek w urzędach celnych; podkreśla, że szerokie stosowanie cyfrowego paszportu produktu umożliwiłoby weryfikację zgodności ex </w:t>
      </w:r>
      <w:proofErr w:type="spellStart"/>
      <w:r w:rsidRPr="0073524F">
        <w:t>ante</w:t>
      </w:r>
      <w:proofErr w:type="spellEnd"/>
      <w:r w:rsidRPr="0073524F">
        <w:t xml:space="preserve"> wszystkich produktów przywożonych za pośrednictwem handlu elektronicznego, ponieważ zawiera on szczegółowe informacje na temat jakości i zgodności, które zostałyby włączone bezpośrednio do unijnego centrum danych celnych; wzywa Komisję do jak najszybszego objęcia cyfrowym paszportem produktu wszystkich towarów fizycznych wprowadzanych do obrotu na rynku UE;</w:t>
      </w:r>
    </w:p>
    <w:p w14:paraId="56822578" w14:textId="77777777" w:rsidR="00C12FC1" w:rsidRPr="0073524F" w:rsidRDefault="00C12FC1" w:rsidP="00C12FC1">
      <w:pPr>
        <w:pStyle w:val="NormalHanging12a"/>
      </w:pPr>
      <w:r w:rsidRPr="0073524F">
        <w:t>29.</w:t>
      </w:r>
      <w:r w:rsidRPr="0073524F">
        <w:tab/>
        <w:t>wzywa państwa członkowskie do znacznego wzmocnienia kontroli celnych i zwiększenia zdolności do analizy ryzyka, przy wsparciu ze strony Komisji i Urzędu UE ds. Celnych w postaci działań w zakresie zarządzania ryzykiem, które mają zostać wprowadzone w ramach reformy unijnego kodeksu celnego, tak aby szybko wykrywać i przechwytywać towary niespełniające wymogów, co ograniczy szkody dla konsumentów w UE i zabezpieczy interesy gospodarcze unijnych przedsiębiorstw; podkreśla, że aby w punktach celnych można było skutecznie obsługiwać bardzo dużą liczbę małych paczek, które wymykają się tradycyjnym metodom kontroli, należy usprawnić te punkty celne, między innymi przez wdrożenie zaawansowanych technologii kontroli umożliwiających identyfikację podejrzanych przesyłek w miejscu ich wprowadzenia; domaga się bardziej rygorystycznych kontroli zgodności w odniesieniu do transportu wysokotonażowego, uzupełnionych kontrolami wyrywkowymi;</w:t>
      </w:r>
    </w:p>
    <w:p w14:paraId="59E455A4" w14:textId="77777777" w:rsidR="00C12FC1" w:rsidRPr="0073524F" w:rsidRDefault="00C12FC1" w:rsidP="00C12FC1">
      <w:pPr>
        <w:pStyle w:val="NormalHanging12a"/>
      </w:pPr>
      <w:r w:rsidRPr="0073524F">
        <w:t>30.</w:t>
      </w:r>
      <w:r w:rsidRPr="0073524F">
        <w:tab/>
        <w:t>podkreśla, że z uwagi na pilną potrzebę wzmocnienia kontroli celnych należy przyspieszyć harmonogram wdrażania podstawowych obowiązków wynikających z przeglądu unijnego kodeksu celnego, w szczególności utworzenia unijnego centrum danych celnych; wzywa Komisję do niezwłocznego rozpoczęcia wszystkich działań przygotowawczych niezbędnych do utworzenia tego centrum danych, tak aby było ono w pełni operacyjne w odniesieniu do handlu elektronicznego jeszcze przed terminem wyznaczonym na 2026 r.; z zadowoleniem przyjmuje porozumienie polityczne osiągnięte w Radzie w sprawie zniesienia progu zwolnienia z należności celnych wynoszącego 150 EUR, ponieważ stanowi to kluczowy środek służący ograniczeniu systematycznych nadużyć w przesyłkach o niskiej wartości;</w:t>
      </w:r>
    </w:p>
    <w:p w14:paraId="27B667BF" w14:textId="77777777" w:rsidR="00C12FC1" w:rsidRPr="0073524F" w:rsidRDefault="00C12FC1" w:rsidP="00C12FC1">
      <w:pPr>
        <w:pStyle w:val="NormalHanging12a"/>
      </w:pPr>
      <w:r w:rsidRPr="0073524F">
        <w:t>31.</w:t>
      </w:r>
      <w:r w:rsidRPr="0073524F">
        <w:tab/>
        <w:t>zauważa, że w niektórych przypadkach przedsiębiorcy i platformy spoza UE wprowadzają na rynek UE towary niespełniające wymogów, a czasem niebezpieczne, nie ponosząc za to konsekwencji; zauważa, że reforma unijnego kodeksu celnego powinna przyczynić się do wyeliminowania luk w zakresie odpowiedzialności za produkty niespełniające wymogów wprowadzane na obszar celny UE;</w:t>
      </w:r>
    </w:p>
    <w:p w14:paraId="4DA9ECEE" w14:textId="780CCD54" w:rsidR="00C12FC1" w:rsidRPr="0073524F" w:rsidRDefault="00C12FC1" w:rsidP="0006489A">
      <w:pPr>
        <w:pStyle w:val="NormalHanging12a"/>
      </w:pPr>
      <w:r w:rsidRPr="0073524F">
        <w:t>32.</w:t>
      </w:r>
      <w:r w:rsidRPr="0073524F">
        <w:tab/>
        <w:t xml:space="preserve">wzywa organy ochrony konsumentów, organizacje, organy branżowe i izby handlowe, aby zintensyfikowały wspólne działania informacyjne mające na celu zapewnienie konsumentom jasnych i dostępnych wytycznych dotyczących ich praw i ryzyka związanego z zakupami przez </w:t>
      </w:r>
      <w:proofErr w:type="spellStart"/>
      <w:r w:rsidRPr="0073524F">
        <w:t>internet</w:t>
      </w:r>
      <w:proofErr w:type="spellEnd"/>
      <w:r w:rsidRPr="0073524F">
        <w:t xml:space="preserve">, w szczególności w przypadku zakupów na platformach spoza UE; usilnie apeluje, aby takie inicjatywy wyraźnie podkreślały dostępność dróg dochodzenia roszczeń, w tym roszczeń zbiorowych, w celu </w:t>
      </w:r>
      <w:r w:rsidRPr="0073524F">
        <w:lastRenderedPageBreak/>
        <w:t>zapewnienia konsumentom możliwości skutecznego korzystania ze środków zaradczych w przypadku produktów niebezpiecznych lub niezgodnych z prawem;</w:t>
      </w:r>
    </w:p>
    <w:p w14:paraId="0AF3403B" w14:textId="77777777" w:rsidR="00C12FC1" w:rsidRPr="0073524F" w:rsidRDefault="00C12FC1" w:rsidP="00C12FC1">
      <w:pPr>
        <w:pStyle w:val="NormalHanging12a"/>
        <w:jc w:val="center"/>
      </w:pPr>
      <w:r w:rsidRPr="0073524F">
        <w:t>°</w:t>
      </w:r>
    </w:p>
    <w:p w14:paraId="30F3BBC6" w14:textId="77777777" w:rsidR="00C12FC1" w:rsidRPr="0073524F" w:rsidRDefault="00C12FC1" w:rsidP="00C12FC1">
      <w:pPr>
        <w:pStyle w:val="NormalHanging12a"/>
        <w:jc w:val="center"/>
      </w:pPr>
      <w:r w:rsidRPr="0073524F">
        <w:t>°</w:t>
      </w:r>
      <w:r w:rsidRPr="0073524F">
        <w:tab/>
        <w:t>°</w:t>
      </w:r>
    </w:p>
    <w:p w14:paraId="2F5454E7" w14:textId="7EE9939D" w:rsidR="0073524F" w:rsidRPr="0073524F" w:rsidRDefault="00C12FC1" w:rsidP="0073524F">
      <w:pPr>
        <w:pStyle w:val="NormalHanging12a"/>
      </w:pPr>
      <w:r w:rsidRPr="0073524F">
        <w:t xml:space="preserve">33. </w:t>
      </w:r>
      <w:r w:rsidR="0006489A">
        <w:tab/>
      </w:r>
      <w:r w:rsidRPr="0073524F">
        <w:t>zobowiązuje swoją przewodniczącą do przekazania niniejszej rezolucji Radzie i Komisji.</w:t>
      </w:r>
    </w:p>
    <w:p w14:paraId="32075F8A" w14:textId="1980A1DB" w:rsidR="00E365E1" w:rsidRPr="0073524F" w:rsidRDefault="00E365E1" w:rsidP="00F95E11"/>
    <w:sectPr w:rsidR="00E365E1" w:rsidRPr="0073524F" w:rsidSect="007352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2C190" w14:textId="77777777" w:rsidR="00F95E11" w:rsidRPr="0073524F" w:rsidRDefault="00F95E11">
      <w:r w:rsidRPr="0073524F">
        <w:separator/>
      </w:r>
    </w:p>
  </w:endnote>
  <w:endnote w:type="continuationSeparator" w:id="0">
    <w:p w14:paraId="41117BC7" w14:textId="77777777" w:rsidR="00F95E11" w:rsidRPr="0073524F" w:rsidRDefault="00F95E11">
      <w:r w:rsidRPr="007352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D9D8" w14:textId="77777777" w:rsidR="00064002" w:rsidRPr="007352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1ABD" w14:textId="77777777" w:rsidR="00064002" w:rsidRPr="007352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12B17" w14:textId="77777777" w:rsidR="00064002" w:rsidRPr="007352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9D2B7" w14:textId="77777777" w:rsidR="00F95E11" w:rsidRPr="0073524F" w:rsidRDefault="00F95E11">
      <w:r w:rsidRPr="0073524F">
        <w:separator/>
      </w:r>
    </w:p>
  </w:footnote>
  <w:footnote w:type="continuationSeparator" w:id="0">
    <w:p w14:paraId="3B369D6C" w14:textId="77777777" w:rsidR="00F95E11" w:rsidRPr="0073524F" w:rsidRDefault="00F95E11">
      <w:r w:rsidRPr="0073524F">
        <w:continuationSeparator/>
      </w:r>
    </w:p>
  </w:footnote>
  <w:footnote w:id="1">
    <w:p w14:paraId="2ABF1F9D" w14:textId="2DEB64E9" w:rsidR="00C12FC1" w:rsidRPr="00CA60FF" w:rsidRDefault="00C12FC1" w:rsidP="0073524F">
      <w:pPr>
        <w:pStyle w:val="FootnoteText"/>
        <w:ind w:left="567" w:hanging="567"/>
        <w:rPr>
          <w:sz w:val="24"/>
          <w:lang w:val="fi-FI"/>
        </w:rPr>
      </w:pPr>
      <w:r w:rsidRPr="0073524F">
        <w:rPr>
          <w:rStyle w:val="FootnoteReference"/>
          <w:sz w:val="24"/>
          <w:lang w:val="pl-PL"/>
        </w:rPr>
        <w:footnoteRef/>
      </w:r>
      <w:r w:rsidR="0073524F" w:rsidRPr="00CA60FF">
        <w:rPr>
          <w:sz w:val="24"/>
          <w:lang w:val="fi-FI"/>
        </w:rPr>
        <w:t xml:space="preserve"> </w:t>
      </w:r>
      <w:r w:rsidR="0073524F" w:rsidRPr="00CA60FF">
        <w:rPr>
          <w:sz w:val="24"/>
          <w:lang w:val="fi-FI"/>
        </w:rPr>
        <w:tab/>
      </w:r>
      <w:proofErr w:type="spellStart"/>
      <w:r w:rsidRPr="00CA60FF">
        <w:rPr>
          <w:sz w:val="24"/>
          <w:lang w:val="fi-FI"/>
        </w:rPr>
        <w:t>Dz.U</w:t>
      </w:r>
      <w:proofErr w:type="spellEnd"/>
      <w:r w:rsidRPr="00CA60FF">
        <w:rPr>
          <w:sz w:val="24"/>
          <w:lang w:val="fi-FI"/>
        </w:rPr>
        <w:t xml:space="preserve">. C, C/2025/1035, 27.2.2025, ELI: </w:t>
      </w:r>
      <w:hyperlink r:id="rId1" w:history="1">
        <w:r w:rsidRPr="00CA60FF">
          <w:rPr>
            <w:rStyle w:val="Hyperlink"/>
            <w:sz w:val="24"/>
            <w:lang w:val="fi-FI"/>
          </w:rPr>
          <w:t>http://data.europa.eu/eli/C/2025/1035/oj</w:t>
        </w:r>
      </w:hyperlink>
      <w:r w:rsidRPr="00CA60FF">
        <w:rPr>
          <w:sz w:val="24"/>
          <w:lang w:val="fi-FI"/>
        </w:rPr>
        <w:t>.</w:t>
      </w:r>
    </w:p>
  </w:footnote>
  <w:footnote w:id="2">
    <w:p w14:paraId="012C89CE" w14:textId="030977D0" w:rsidR="00C12FC1" w:rsidRPr="00CA60FF" w:rsidRDefault="00C12FC1" w:rsidP="0073524F">
      <w:pPr>
        <w:pStyle w:val="FootnoteText"/>
        <w:ind w:left="567" w:hanging="567"/>
        <w:rPr>
          <w:sz w:val="24"/>
          <w:lang w:val="fi-FI"/>
        </w:rPr>
      </w:pPr>
      <w:r w:rsidRPr="0073524F">
        <w:rPr>
          <w:rStyle w:val="FootnoteReference"/>
          <w:sz w:val="24"/>
          <w:lang w:val="pl-PL"/>
        </w:rPr>
        <w:footnoteRef/>
      </w:r>
      <w:r w:rsidR="0073524F" w:rsidRPr="00CA60FF">
        <w:rPr>
          <w:sz w:val="24"/>
          <w:lang w:val="fi-FI"/>
        </w:rPr>
        <w:t xml:space="preserve"> </w:t>
      </w:r>
      <w:r w:rsidR="0073524F" w:rsidRPr="00CA60FF">
        <w:rPr>
          <w:sz w:val="24"/>
          <w:lang w:val="fi-FI"/>
        </w:rPr>
        <w:tab/>
      </w:r>
      <w:r w:rsidRPr="00CA60FF">
        <w:rPr>
          <w:sz w:val="24"/>
          <w:lang w:val="fi-FI"/>
        </w:rPr>
        <w:t xml:space="preserve">Dz.U. L, 2024/3015, 12.12.2024, ELI: </w:t>
      </w:r>
      <w:r w:rsidR="00A303B3">
        <w:fldChar w:fldCharType="begin"/>
      </w:r>
      <w:r w:rsidR="00A303B3" w:rsidRPr="00CA60FF">
        <w:rPr>
          <w:lang w:val="fi-FI"/>
        </w:rPr>
        <w:instrText>HYPERLINK "http://data.europa.eu/eli/reg/2024/3015/oj"</w:instrText>
      </w:r>
      <w:r w:rsidR="00A303B3">
        <w:fldChar w:fldCharType="separate"/>
      </w:r>
      <w:r w:rsidRPr="00CA60FF">
        <w:rPr>
          <w:rStyle w:val="Hyperlink"/>
          <w:sz w:val="24"/>
          <w:lang w:val="fi-FI"/>
        </w:rPr>
        <w:t>http://data.europa.eu/eli/reg/2024/3015/oj</w:t>
      </w:r>
      <w:r w:rsidR="00A303B3">
        <w:rPr>
          <w:rStyle w:val="Hyperlink"/>
          <w:sz w:val="24"/>
          <w:lang w:val="pl-PL"/>
        </w:rPr>
        <w:fldChar w:fldCharType="end"/>
      </w:r>
      <w:r w:rsidRPr="00CA60FF">
        <w:rPr>
          <w:sz w:val="24"/>
          <w:lang w:val="fi-FI"/>
        </w:rPr>
        <w:t>.</w:t>
      </w:r>
    </w:p>
  </w:footnote>
  <w:footnote w:id="3">
    <w:p w14:paraId="24AF470E" w14:textId="2464CEB1" w:rsidR="00C12FC1" w:rsidRPr="00CA60FF" w:rsidRDefault="00C12FC1" w:rsidP="0073524F">
      <w:pPr>
        <w:pStyle w:val="FootnoteText"/>
        <w:ind w:left="567" w:hanging="567"/>
        <w:rPr>
          <w:sz w:val="24"/>
          <w:lang w:val="fi-FI"/>
        </w:rPr>
      </w:pPr>
      <w:r w:rsidRPr="0073524F">
        <w:rPr>
          <w:rStyle w:val="FootnoteReference"/>
          <w:sz w:val="24"/>
          <w:lang w:val="pl-PL"/>
        </w:rPr>
        <w:footnoteRef/>
      </w:r>
      <w:r w:rsidR="0073524F" w:rsidRPr="00CA60FF">
        <w:rPr>
          <w:sz w:val="24"/>
          <w:lang w:val="fi-FI"/>
        </w:rPr>
        <w:t xml:space="preserve"> </w:t>
      </w:r>
      <w:r w:rsidR="0073524F" w:rsidRPr="00CA60FF">
        <w:rPr>
          <w:sz w:val="24"/>
          <w:lang w:val="fi-FI"/>
        </w:rPr>
        <w:tab/>
      </w:r>
      <w:proofErr w:type="spellStart"/>
      <w:r w:rsidRPr="00CA60FF">
        <w:rPr>
          <w:sz w:val="24"/>
          <w:lang w:val="fi-FI"/>
        </w:rPr>
        <w:t>Dz.U</w:t>
      </w:r>
      <w:proofErr w:type="spellEnd"/>
      <w:r w:rsidRPr="00CA60FF">
        <w:rPr>
          <w:sz w:val="24"/>
          <w:lang w:val="fi-FI"/>
        </w:rPr>
        <w:t xml:space="preserve">. L, 2024/1760, 5.7.2024, ELI: </w:t>
      </w:r>
      <w:hyperlink r:id="rId2" w:history="1">
        <w:r w:rsidRPr="00CA60FF">
          <w:rPr>
            <w:rStyle w:val="Hyperlink"/>
            <w:sz w:val="24"/>
            <w:lang w:val="fi-FI"/>
          </w:rPr>
          <w:t>http://data.europa.eu/eli/dir/2024/1760/oj</w:t>
        </w:r>
      </w:hyperlink>
      <w:r w:rsidRPr="00CA60FF">
        <w:rPr>
          <w:sz w:val="24"/>
          <w:lang w:val="fi-FI"/>
        </w:rPr>
        <w:t>.</w:t>
      </w:r>
    </w:p>
  </w:footnote>
  <w:footnote w:id="4">
    <w:p w14:paraId="7345A5CC" w14:textId="7C58743F" w:rsidR="00C12FC1" w:rsidRPr="00CA60FF" w:rsidRDefault="00C12FC1" w:rsidP="0073524F">
      <w:pPr>
        <w:pStyle w:val="FootnoteText"/>
        <w:ind w:left="567" w:hanging="567"/>
        <w:rPr>
          <w:sz w:val="24"/>
          <w:lang w:val="en-GB"/>
        </w:rPr>
      </w:pPr>
      <w:r w:rsidRPr="0073524F">
        <w:rPr>
          <w:rStyle w:val="FootnoteReference"/>
          <w:sz w:val="24"/>
          <w:lang w:val="pl-PL"/>
        </w:rPr>
        <w:footnoteRef/>
      </w:r>
      <w:r w:rsidR="0073524F" w:rsidRPr="00CA60FF">
        <w:rPr>
          <w:sz w:val="24"/>
          <w:lang w:val="en-GB"/>
        </w:rPr>
        <w:t xml:space="preserve"> </w:t>
      </w:r>
      <w:r w:rsidR="0073524F" w:rsidRPr="00CA60FF">
        <w:rPr>
          <w:sz w:val="24"/>
          <w:lang w:val="en-GB"/>
        </w:rPr>
        <w:tab/>
      </w:r>
      <w:r w:rsidRPr="00CA60FF">
        <w:rPr>
          <w:sz w:val="24"/>
          <w:lang w:val="en-GB"/>
        </w:rPr>
        <w:t xml:space="preserve">Letta, E., </w:t>
      </w:r>
      <w:r w:rsidR="00A303B3">
        <w:fldChar w:fldCharType="begin"/>
      </w:r>
      <w:r w:rsidR="00A303B3" w:rsidRPr="00CA60FF">
        <w:rPr>
          <w:lang w:val="en-GB"/>
        </w:rPr>
        <w:instrText>HYPERLINK "https://www.consilium.europa.eu/media/ny3j24sm/much-more-than-a-market-report-by-enrico-letta.pdf"</w:instrText>
      </w:r>
      <w:r w:rsidR="00A303B3">
        <w:fldChar w:fldCharType="separate"/>
      </w:r>
      <w:r w:rsidRPr="00CA60FF">
        <w:rPr>
          <w:rStyle w:val="Hyperlink"/>
          <w:sz w:val="24"/>
          <w:lang w:val="en-GB"/>
        </w:rPr>
        <w:t>Much more than a market:</w:t>
      </w:r>
      <w:r w:rsidR="00A303B3">
        <w:rPr>
          <w:rStyle w:val="Hyperlink"/>
          <w:sz w:val="24"/>
          <w:lang w:val="pl-PL"/>
        </w:rPr>
        <w:fldChar w:fldCharType="end"/>
      </w:r>
      <w:r w:rsidR="00A303B3">
        <w:fldChar w:fldCharType="begin"/>
      </w:r>
      <w:r w:rsidR="00A303B3" w:rsidRPr="00CA60FF">
        <w:rPr>
          <w:lang w:val="en-GB"/>
        </w:rPr>
        <w:instrText>HYPERLINK "https://www.consilium.europa.eu/media/ny3j24sm/much-more-than-a-market-report-by-enrico-letta.pdf"</w:instrText>
      </w:r>
      <w:r w:rsidR="00A303B3">
        <w:fldChar w:fldCharType="separate"/>
      </w:r>
      <w:r w:rsidRPr="00CA60FF">
        <w:rPr>
          <w:rStyle w:val="Hyperlink"/>
          <w:sz w:val="24"/>
          <w:lang w:val="en-GB"/>
        </w:rPr>
        <w:t xml:space="preserve"> Speed, Security, Solidarity – Empowering the Single Market to deliver a sustainable future and prosperity for all EU Citizens</w:t>
      </w:r>
      <w:r w:rsidR="00A303B3">
        <w:rPr>
          <w:rStyle w:val="Hyperlink"/>
          <w:sz w:val="24"/>
          <w:lang w:val="pl-PL"/>
        </w:rPr>
        <w:fldChar w:fldCharType="end"/>
      </w:r>
      <w:r w:rsidRPr="00CA60FF">
        <w:rPr>
          <w:sz w:val="24"/>
          <w:lang w:val="en-GB"/>
        </w:rPr>
        <w:t>, kwiecień 2024 r.</w:t>
      </w:r>
    </w:p>
  </w:footnote>
  <w:footnote w:id="5">
    <w:p w14:paraId="51F673EA" w14:textId="408A96E5"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Dz.U. L 277 z 27.10.2022, s. 1, ELI: </w:t>
      </w:r>
      <w:r w:rsidR="00A303B3">
        <w:fldChar w:fldCharType="begin"/>
      </w:r>
      <w:r w:rsidR="00A303B3" w:rsidRPr="00CA60FF">
        <w:rPr>
          <w:lang w:val="pl-PL"/>
        </w:rPr>
        <w:instrText>HYPERLINK "http://data.europa.eu/eli/reg/2022/2065/oj" \o "Gives access to this document through its ELI URI."</w:instrText>
      </w:r>
      <w:r w:rsidR="00A303B3">
        <w:fldChar w:fldCharType="separate"/>
      </w:r>
      <w:r w:rsidRPr="0073524F">
        <w:rPr>
          <w:rStyle w:val="Hyperlink"/>
          <w:sz w:val="24"/>
          <w:lang w:val="pl-PL"/>
        </w:rPr>
        <w:t>http://data.europa.eu/eli/reg/2022/2065/oj</w:t>
      </w:r>
      <w:r w:rsidR="00A303B3">
        <w:rPr>
          <w:rStyle w:val="Hyperlink"/>
          <w:sz w:val="24"/>
          <w:lang w:val="pl-PL"/>
        </w:rPr>
        <w:fldChar w:fldCharType="end"/>
      </w:r>
      <w:r w:rsidRPr="0073524F">
        <w:rPr>
          <w:sz w:val="24"/>
          <w:lang w:val="pl-PL"/>
        </w:rPr>
        <w:t>.</w:t>
      </w:r>
    </w:p>
  </w:footnote>
  <w:footnote w:id="6">
    <w:p w14:paraId="76C9B058" w14:textId="6385050D"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Dz.U. L 265 z 12.10.2022, s. 1, ELI: </w:t>
      </w:r>
      <w:r w:rsidR="00A303B3">
        <w:fldChar w:fldCharType="begin"/>
      </w:r>
      <w:r w:rsidR="00A303B3" w:rsidRPr="00CA60FF">
        <w:rPr>
          <w:lang w:val="pl-PL"/>
        </w:rPr>
        <w:instrText>HYPERLINK "http://data.europa.eu/eli/reg/2022/1925/oj" \o "Gives access to this document through its ELI URI."</w:instrText>
      </w:r>
      <w:r w:rsidR="00A303B3">
        <w:fldChar w:fldCharType="separate"/>
      </w:r>
      <w:r w:rsidRPr="0073524F">
        <w:rPr>
          <w:rStyle w:val="Hyperlink"/>
          <w:sz w:val="24"/>
          <w:lang w:val="pl-PL"/>
        </w:rPr>
        <w:t>http://data.europa.eu/eli/reg/2022/1925/oj</w:t>
      </w:r>
      <w:r w:rsidR="00A303B3">
        <w:rPr>
          <w:rStyle w:val="Hyperlink"/>
          <w:sz w:val="24"/>
          <w:lang w:val="pl-PL"/>
        </w:rPr>
        <w:fldChar w:fldCharType="end"/>
      </w:r>
      <w:r w:rsidRPr="0073524F">
        <w:rPr>
          <w:sz w:val="24"/>
          <w:lang w:val="pl-PL"/>
        </w:rPr>
        <w:t>.</w:t>
      </w:r>
    </w:p>
  </w:footnote>
  <w:footnote w:id="7">
    <w:p w14:paraId="327F2617" w14:textId="363CBFDB"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 xml:space="preserve">Dz.U. L 135 z </w:t>
      </w:r>
      <w:proofErr w:type="gramStart"/>
      <w:r w:rsidRPr="0073524F">
        <w:rPr>
          <w:sz w:val="24"/>
          <w:lang w:val="pl-PL"/>
        </w:rPr>
        <w:t>23.5.2023</w:t>
      </w:r>
      <w:proofErr w:type="gramEnd"/>
      <w:r w:rsidRPr="0073524F">
        <w:rPr>
          <w:sz w:val="24"/>
          <w:lang w:val="pl-PL"/>
        </w:rPr>
        <w:t>, s. 1, ELI: </w:t>
      </w:r>
      <w:hyperlink r:id="rId3" w:tooltip="Gives access to this document through its ELI URI." w:history="1">
        <w:r w:rsidRPr="0073524F">
          <w:rPr>
            <w:rStyle w:val="Hyperlink"/>
            <w:sz w:val="24"/>
            <w:lang w:val="pl-PL"/>
          </w:rPr>
          <w:t>http://data.europa.eu/eli/reg/2023/988/oj</w:t>
        </w:r>
      </w:hyperlink>
      <w:r w:rsidRPr="0073524F">
        <w:rPr>
          <w:sz w:val="24"/>
          <w:lang w:val="pl-PL"/>
        </w:rPr>
        <w:t>.</w:t>
      </w:r>
    </w:p>
  </w:footnote>
  <w:footnote w:id="8">
    <w:p w14:paraId="52E51F97" w14:textId="2E74829A"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 xml:space="preserve">Dz.U. L 169 z </w:t>
      </w:r>
      <w:proofErr w:type="gramStart"/>
      <w:r w:rsidRPr="0073524F">
        <w:rPr>
          <w:sz w:val="24"/>
          <w:lang w:val="pl-PL"/>
        </w:rPr>
        <w:t>25.6.2019</w:t>
      </w:r>
      <w:proofErr w:type="gramEnd"/>
      <w:r w:rsidRPr="0073524F">
        <w:rPr>
          <w:sz w:val="24"/>
          <w:lang w:val="pl-PL"/>
        </w:rPr>
        <w:t>, s. 1, ELI: </w:t>
      </w:r>
      <w:hyperlink r:id="rId4" w:tooltip="Gives access to this document through its ELI URI." w:history="1">
        <w:r w:rsidRPr="0073524F">
          <w:rPr>
            <w:rStyle w:val="Hyperlink"/>
            <w:sz w:val="24"/>
            <w:lang w:val="pl-PL"/>
          </w:rPr>
          <w:t>http://data.europa.eu/eli/reg/2019/1020/oj</w:t>
        </w:r>
      </w:hyperlink>
      <w:r w:rsidRPr="0073524F">
        <w:rPr>
          <w:sz w:val="24"/>
          <w:lang w:val="pl-PL"/>
        </w:rPr>
        <w:t>.</w:t>
      </w:r>
    </w:p>
  </w:footnote>
  <w:footnote w:id="9">
    <w:p w14:paraId="3AF9B886" w14:textId="1A8439D8"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Dz.U. L, 2024/2853, 18.11.2024, ELI: </w:t>
      </w:r>
      <w:r w:rsidR="00A303B3">
        <w:fldChar w:fldCharType="begin"/>
      </w:r>
      <w:r w:rsidR="00A303B3" w:rsidRPr="00CA60FF">
        <w:rPr>
          <w:lang w:val="pl-PL"/>
        </w:rPr>
        <w:instrText>HYPERLINK "http://data.europa.eu/eli/dir/2024/2853/oj"</w:instrText>
      </w:r>
      <w:r w:rsidR="00A303B3">
        <w:fldChar w:fldCharType="separate"/>
      </w:r>
      <w:r w:rsidR="0006489A" w:rsidRPr="00D119FE">
        <w:rPr>
          <w:rStyle w:val="Hyperlink"/>
          <w:sz w:val="24"/>
          <w:lang w:val="pl-PL"/>
        </w:rPr>
        <w:t>http://data.europa.eu/eli/dir/2024/2853/oj</w:t>
      </w:r>
      <w:r w:rsidR="00A303B3">
        <w:rPr>
          <w:rStyle w:val="Hyperlink"/>
          <w:sz w:val="24"/>
          <w:lang w:val="pl-PL"/>
        </w:rPr>
        <w:fldChar w:fldCharType="end"/>
      </w:r>
      <w:r w:rsidRPr="0073524F">
        <w:rPr>
          <w:sz w:val="24"/>
          <w:lang w:val="pl-PL"/>
        </w:rPr>
        <w:t>.</w:t>
      </w:r>
    </w:p>
  </w:footnote>
  <w:footnote w:id="10">
    <w:p w14:paraId="1928D043" w14:textId="4F7249AD" w:rsidR="00C12FC1" w:rsidRPr="0073524F" w:rsidRDefault="00C12FC1" w:rsidP="0073524F">
      <w:pPr>
        <w:pStyle w:val="FootnoteText"/>
        <w:ind w:left="567" w:hanging="567"/>
        <w:rPr>
          <w:sz w:val="24"/>
          <w:lang w:val="pl-PL"/>
        </w:rPr>
      </w:pPr>
      <w:r w:rsidRPr="0073524F">
        <w:rPr>
          <w:rStyle w:val="FootnoteReference"/>
          <w:sz w:val="24"/>
          <w:lang w:val="pl-PL"/>
        </w:rPr>
        <w:footnoteRef/>
      </w:r>
      <w:r w:rsidR="0073524F" w:rsidRPr="0073524F">
        <w:rPr>
          <w:sz w:val="24"/>
          <w:lang w:val="pl-PL"/>
        </w:rPr>
        <w:t xml:space="preserve"> </w:t>
      </w:r>
      <w:r w:rsidR="0073524F" w:rsidRPr="0073524F">
        <w:rPr>
          <w:sz w:val="24"/>
          <w:lang w:val="pl-PL"/>
        </w:rPr>
        <w:tab/>
      </w:r>
      <w:r w:rsidRPr="0073524F">
        <w:rPr>
          <w:sz w:val="24"/>
          <w:lang w:val="pl-PL"/>
        </w:rPr>
        <w:t>Rozporządzenie Parlamentu Europejskiego i Rady (UE) 2017/2394 z 12 grudnia 2017 r. w sprawie współpracy między organami krajowymi odpowiedzialnymi za egzekwowanie przepisów prawa w zakresie ochrony konsumentów i uchylające rozporządzenie (WE) nr 2006/2004 (Dz.U. L 345 z 27.12.2017, s. 1, ELI: </w:t>
      </w:r>
      <w:r w:rsidR="00A303B3">
        <w:fldChar w:fldCharType="begin"/>
      </w:r>
      <w:r w:rsidR="00A303B3" w:rsidRPr="00CA60FF">
        <w:rPr>
          <w:lang w:val="pl-PL"/>
        </w:rPr>
        <w:instrText>HYPERLINK "http://data.europa.eu/eli/reg/2017/2394/oj" \o "Gives access to this document through its ELI URI."</w:instrText>
      </w:r>
      <w:r w:rsidR="00A303B3">
        <w:fldChar w:fldCharType="separate"/>
      </w:r>
      <w:r w:rsidRPr="0073524F">
        <w:rPr>
          <w:rStyle w:val="Hyperlink"/>
          <w:sz w:val="24"/>
          <w:lang w:val="pl-PL"/>
        </w:rPr>
        <w:t>http://data.europa.eu/eli/reg/2017/2394/oj</w:t>
      </w:r>
      <w:r w:rsidR="00A303B3">
        <w:rPr>
          <w:rStyle w:val="Hyperlink"/>
          <w:sz w:val="24"/>
          <w:lang w:val="pl-PL"/>
        </w:rPr>
        <w:fldChar w:fldCharType="end"/>
      </w:r>
      <w:r w:rsidRPr="0073524F">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0FD8" w14:textId="77777777" w:rsidR="00064002" w:rsidRPr="007352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D1AA" w14:textId="77777777" w:rsidR="00064002" w:rsidRPr="007352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BA09" w14:textId="77777777" w:rsidR="00064002" w:rsidRPr="007352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5112509">
    <w:abstractNumId w:val="9"/>
  </w:num>
  <w:num w:numId="2" w16cid:durableId="1298101937">
    <w:abstractNumId w:val="9"/>
  </w:num>
  <w:num w:numId="3" w16cid:durableId="6252398">
    <w:abstractNumId w:val="7"/>
  </w:num>
  <w:num w:numId="4" w16cid:durableId="1278104076">
    <w:abstractNumId w:val="7"/>
  </w:num>
  <w:num w:numId="5" w16cid:durableId="1738093273">
    <w:abstractNumId w:val="6"/>
  </w:num>
  <w:num w:numId="6" w16cid:durableId="1242563929">
    <w:abstractNumId w:val="6"/>
  </w:num>
  <w:num w:numId="7" w16cid:durableId="271326075">
    <w:abstractNumId w:val="5"/>
  </w:num>
  <w:num w:numId="8" w16cid:durableId="1972899502">
    <w:abstractNumId w:val="5"/>
  </w:num>
  <w:num w:numId="9" w16cid:durableId="1068306003">
    <w:abstractNumId w:val="4"/>
  </w:num>
  <w:num w:numId="10" w16cid:durableId="2025088100">
    <w:abstractNumId w:val="4"/>
  </w:num>
  <w:num w:numId="11" w16cid:durableId="1674062714">
    <w:abstractNumId w:val="8"/>
  </w:num>
  <w:num w:numId="12" w16cid:durableId="540560220">
    <w:abstractNumId w:val="8"/>
  </w:num>
  <w:num w:numId="13" w16cid:durableId="399408675">
    <w:abstractNumId w:val="3"/>
  </w:num>
  <w:num w:numId="14" w16cid:durableId="1323124662">
    <w:abstractNumId w:val="3"/>
  </w:num>
  <w:num w:numId="15" w16cid:durableId="306518112">
    <w:abstractNumId w:val="2"/>
  </w:num>
  <w:num w:numId="16" w16cid:durableId="1231306378">
    <w:abstractNumId w:val="2"/>
  </w:num>
  <w:num w:numId="17" w16cid:durableId="153038282">
    <w:abstractNumId w:val="1"/>
  </w:num>
  <w:num w:numId="18" w16cid:durableId="834346114">
    <w:abstractNumId w:val="1"/>
  </w:num>
  <w:num w:numId="19" w16cid:durableId="1777209797">
    <w:abstractNumId w:val="0"/>
  </w:num>
  <w:num w:numId="20" w16cid:durableId="877014330">
    <w:abstractNumId w:val="0"/>
  </w:num>
  <w:num w:numId="21" w16cid:durableId="793716868">
    <w:abstractNumId w:val="9"/>
  </w:num>
  <w:num w:numId="22" w16cid:durableId="1315910897">
    <w:abstractNumId w:val="7"/>
  </w:num>
  <w:num w:numId="23" w16cid:durableId="153642314">
    <w:abstractNumId w:val="6"/>
  </w:num>
  <w:num w:numId="24" w16cid:durableId="1072851647">
    <w:abstractNumId w:val="5"/>
  </w:num>
  <w:num w:numId="25" w16cid:durableId="161819908">
    <w:abstractNumId w:val="4"/>
  </w:num>
  <w:num w:numId="26" w16cid:durableId="1752504631">
    <w:abstractNumId w:val="8"/>
  </w:num>
  <w:num w:numId="27" w16cid:durableId="12802350">
    <w:abstractNumId w:val="3"/>
  </w:num>
  <w:num w:numId="28" w16cid:durableId="1304844207">
    <w:abstractNumId w:val="2"/>
  </w:num>
  <w:num w:numId="29" w16cid:durableId="751508650">
    <w:abstractNumId w:val="1"/>
  </w:num>
  <w:num w:numId="30" w16cid:durableId="747729408">
    <w:abstractNumId w:val="0"/>
  </w:num>
  <w:num w:numId="31" w16cid:durableId="107896978">
    <w:abstractNumId w:val="9"/>
  </w:num>
  <w:num w:numId="32" w16cid:durableId="1965302953">
    <w:abstractNumId w:val="7"/>
  </w:num>
  <w:num w:numId="33" w16cid:durableId="606431878">
    <w:abstractNumId w:val="6"/>
  </w:num>
  <w:num w:numId="34" w16cid:durableId="1652100228">
    <w:abstractNumId w:val="5"/>
  </w:num>
  <w:num w:numId="35" w16cid:durableId="2070765010">
    <w:abstractNumId w:val="4"/>
  </w:num>
  <w:num w:numId="36" w16cid:durableId="1512990859">
    <w:abstractNumId w:val="8"/>
  </w:num>
  <w:num w:numId="37" w16cid:durableId="1734347451">
    <w:abstractNumId w:val="3"/>
  </w:num>
  <w:num w:numId="38" w16cid:durableId="1723865061">
    <w:abstractNumId w:val="2"/>
  </w:num>
  <w:num w:numId="39" w16cid:durableId="1445614757">
    <w:abstractNumId w:val="1"/>
  </w:num>
  <w:num w:numId="40" w16cid:durableId="781388111">
    <w:abstractNumId w:val="0"/>
  </w:num>
  <w:num w:numId="41" w16cid:durableId="1126897623">
    <w:abstractNumId w:val="10"/>
  </w:num>
  <w:num w:numId="42" w16cid:durableId="292827903">
    <w:abstractNumId w:val="10"/>
  </w:num>
  <w:num w:numId="43" w16cid:durableId="780419064">
    <w:abstractNumId w:val="10"/>
  </w:num>
  <w:num w:numId="44" w16cid:durableId="516385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PL"/>
    <w:docVar w:name="dvnumam" w:val="0"/>
    <w:docVar w:name="dvpe" w:val="778.971"/>
    <w:docVar w:name="dvtitre" w:val="Rezolucja Parlamentu Europejskiego z dnia  2025 r. w sprawie ochrony konsumentów w UE przed praktykami niektórych platform handlu elektronicznego – sprawa lalek erotycznych wyglądających jak dzieci, broni i innych nielegalnych produktów i materiałów(2025/2971(RSP))"/>
  </w:docVars>
  <w:rsids>
    <w:rsidRoot w:val="00F95E11"/>
    <w:rsid w:val="00002272"/>
    <w:rsid w:val="00064002"/>
    <w:rsid w:val="0006489A"/>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24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3B3"/>
    <w:rsid w:val="00A43E52"/>
    <w:rsid w:val="00A4678D"/>
    <w:rsid w:val="00A778C7"/>
    <w:rsid w:val="00AB441E"/>
    <w:rsid w:val="00AB6293"/>
    <w:rsid w:val="00AE0928"/>
    <w:rsid w:val="00AF3B82"/>
    <w:rsid w:val="00B12E95"/>
    <w:rsid w:val="00B22876"/>
    <w:rsid w:val="00B558F0"/>
    <w:rsid w:val="00BD48FE"/>
    <w:rsid w:val="00BD7BD8"/>
    <w:rsid w:val="00BE6ADC"/>
    <w:rsid w:val="00BF7057"/>
    <w:rsid w:val="00C05BFE"/>
    <w:rsid w:val="00C12FC1"/>
    <w:rsid w:val="00C23CD4"/>
    <w:rsid w:val="00C61C0C"/>
    <w:rsid w:val="00C941CB"/>
    <w:rsid w:val="00CA60FF"/>
    <w:rsid w:val="00CC2357"/>
    <w:rsid w:val="00CF071A"/>
    <w:rsid w:val="00D058B8"/>
    <w:rsid w:val="00D56C11"/>
    <w:rsid w:val="00D834A0"/>
    <w:rsid w:val="00D872DF"/>
    <w:rsid w:val="00D91E21"/>
    <w:rsid w:val="00DA7FCD"/>
    <w:rsid w:val="00DC2589"/>
    <w:rsid w:val="00E365E1"/>
    <w:rsid w:val="00E820A4"/>
    <w:rsid w:val="00EB000E"/>
    <w:rsid w:val="00EB006A"/>
    <w:rsid w:val="00EB4772"/>
    <w:rsid w:val="00ED169E"/>
    <w:rsid w:val="00ED4235"/>
    <w:rsid w:val="00F04346"/>
    <w:rsid w:val="00F075DC"/>
    <w:rsid w:val="00F149E9"/>
    <w:rsid w:val="00F5134D"/>
    <w:rsid w:val="00F74202"/>
    <w:rsid w:val="00F87713"/>
    <w:rsid w:val="00F95E1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CED8F"/>
  <w15:chartTrackingRefBased/>
  <w15:docId w15:val="{2EB7091E-7FA7-446F-A713-F9E1B93B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2FC1"/>
    <w:pPr>
      <w:spacing w:before="480" w:after="240"/>
    </w:pPr>
  </w:style>
  <w:style w:type="paragraph" w:customStyle="1" w:styleId="NormalHanging12a">
    <w:name w:val="NormalHanging12a"/>
    <w:basedOn w:val="Normal"/>
    <w:link w:val="NormalHanging12aChar"/>
    <w:rsid w:val="00C12FC1"/>
    <w:pPr>
      <w:spacing w:after="240"/>
      <w:ind w:left="567" w:hanging="567"/>
    </w:pPr>
  </w:style>
  <w:style w:type="character" w:styleId="Hyperlink">
    <w:name w:val="Hyperlink"/>
    <w:basedOn w:val="DefaultParagraphFont"/>
    <w:unhideWhenUsed/>
    <w:rsid w:val="00C12FC1"/>
    <w:rPr>
      <w:color w:val="0563C1" w:themeColor="hyperlink"/>
      <w:u w:val="single"/>
    </w:rPr>
  </w:style>
  <w:style w:type="character" w:customStyle="1" w:styleId="NormalHanging12aChar">
    <w:name w:val="NormalHanging12a Char"/>
    <w:basedOn w:val="DefaultParagraphFont"/>
    <w:link w:val="NormalHanging12a"/>
    <w:rsid w:val="00C12FC1"/>
    <w:rPr>
      <w:sz w:val="24"/>
      <w:lang w:val="pl-PL"/>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12FC1"/>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06489A"/>
    <w:rPr>
      <w:color w:val="605E5C"/>
      <w:shd w:val="clear" w:color="auto" w:fill="E1DFDD"/>
    </w:rPr>
  </w:style>
  <w:style w:type="paragraph" w:styleId="Revision">
    <w:name w:val="Revision"/>
    <w:hidden/>
    <w:uiPriority w:val="99"/>
    <w:semiHidden/>
    <w:rsid w:val="00CA60F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769341">
      <w:bodyDiv w:val="1"/>
      <w:marLeft w:val="0"/>
      <w:marRight w:val="0"/>
      <w:marTop w:val="0"/>
      <w:marBottom w:val="0"/>
      <w:divBdr>
        <w:top w:val="none" w:sz="0" w:space="0" w:color="auto"/>
        <w:left w:val="none" w:sz="0" w:space="0" w:color="auto"/>
        <w:bottom w:val="none" w:sz="0" w:space="0" w:color="auto"/>
        <w:right w:val="none" w:sz="0" w:space="0" w:color="auto"/>
      </w:divBdr>
    </w:div>
    <w:div w:id="168928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988/oj" TargetMode="External"/><Relationship Id="rId2" Type="http://schemas.openxmlformats.org/officeDocument/2006/relationships/hyperlink" Target="http://data.europa.eu/eli/dir/2024/1760/oj" TargetMode="External"/><Relationship Id="rId1" Type="http://schemas.openxmlformats.org/officeDocument/2006/relationships/hyperlink" Target="http://data.europa.eu/eli/C/2025/1035/oj" TargetMode="External"/><Relationship Id="rId4"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3557</Words>
  <Characters>24370</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2025-11-26T13:46:00Z</dcterms:created>
  <dcterms:modified xsi:type="dcterms:W3CDTF">2025-11-26T13:46:00Z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B10-0500/2025</vt:lpwstr>
  </property>
  <property fmtid="{D5CDD505-2E9C-101B-9397-08002B2CF9AE}" pid="4" name="&lt;Type&gt;">
    <vt:lpwstr>RR</vt:lpwstr>
  </property>
</Properties>
</file>