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194C" w14:paraId="2F34069F" w14:textId="77777777" w:rsidTr="0010095E">
        <w:trPr>
          <w:trHeight w:hRule="exact" w:val="1418"/>
        </w:trPr>
        <w:tc>
          <w:tcPr>
            <w:tcW w:w="6804" w:type="dxa"/>
            <w:shd w:val="clear" w:color="auto" w:fill="auto"/>
            <w:vAlign w:val="center"/>
          </w:tcPr>
          <w:p w14:paraId="365799D4" w14:textId="77777777" w:rsidR="00751A4A" w:rsidRPr="00F4194C" w:rsidRDefault="00B71438" w:rsidP="0010095E">
            <w:pPr>
              <w:pStyle w:val="EPName"/>
            </w:pPr>
            <w:r w:rsidRPr="00F4194C">
              <w:t>Parlamentul European</w:t>
            </w:r>
          </w:p>
          <w:p w14:paraId="59B52FE2" w14:textId="77777777" w:rsidR="00751A4A" w:rsidRPr="00F4194C" w:rsidRDefault="005F1B17" w:rsidP="005F1B17">
            <w:pPr>
              <w:pStyle w:val="EPTerm"/>
              <w:rPr>
                <w:rStyle w:val="HideTWBExt"/>
                <w:noProof w:val="0"/>
                <w:vanish w:val="0"/>
                <w:color w:val="auto"/>
              </w:rPr>
            </w:pPr>
            <w:r w:rsidRPr="00F4194C">
              <w:t>2024</w:t>
            </w:r>
            <w:r w:rsidR="00817416" w:rsidRPr="00F4194C">
              <w:t>-202</w:t>
            </w:r>
            <w:r w:rsidRPr="00F4194C">
              <w:t>9</w:t>
            </w:r>
          </w:p>
        </w:tc>
        <w:tc>
          <w:tcPr>
            <w:tcW w:w="2268" w:type="dxa"/>
            <w:shd w:val="clear" w:color="auto" w:fill="auto"/>
          </w:tcPr>
          <w:p w14:paraId="16FAD116" w14:textId="77777777" w:rsidR="00751A4A" w:rsidRPr="00F4194C" w:rsidRDefault="00187494" w:rsidP="0010095E">
            <w:pPr>
              <w:pStyle w:val="EPLogo"/>
            </w:pPr>
            <w:r w:rsidRPr="00F4194C">
              <w:rPr>
                <w:noProof/>
                <w:lang w:eastAsia="ja-JP"/>
              </w:rPr>
              <w:drawing>
                <wp:inline distT="0" distB="0" distL="0" distR="0" wp14:anchorId="68BA4CAD" wp14:editId="4E1C65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EEBC21" w14:textId="77777777" w:rsidR="00D058B8" w:rsidRPr="00F4194C" w:rsidRDefault="00D058B8" w:rsidP="004C5D52">
      <w:pPr>
        <w:pStyle w:val="LineTop"/>
      </w:pPr>
    </w:p>
    <w:p w14:paraId="56B42AEF" w14:textId="77777777" w:rsidR="00680577" w:rsidRPr="00F4194C" w:rsidRDefault="00B71438" w:rsidP="00680577">
      <w:pPr>
        <w:pStyle w:val="EPBodyTA1"/>
      </w:pPr>
      <w:r w:rsidRPr="00F4194C">
        <w:t>TEXTE ADOPTATE</w:t>
      </w:r>
    </w:p>
    <w:p w14:paraId="58DFF0DC" w14:textId="77777777" w:rsidR="00D058B8" w:rsidRPr="00F4194C" w:rsidRDefault="00D058B8" w:rsidP="00D058B8">
      <w:pPr>
        <w:pStyle w:val="LineBottom"/>
      </w:pPr>
    </w:p>
    <w:p w14:paraId="22280031" w14:textId="097C2D0A" w:rsidR="00B71438" w:rsidRPr="00F4194C" w:rsidRDefault="00B71438" w:rsidP="00B71438">
      <w:pPr>
        <w:pStyle w:val="ATHeading1"/>
      </w:pPr>
      <w:bookmarkStart w:id="0" w:name="TANumber"/>
      <w:r w:rsidRPr="00F4194C">
        <w:t>P10_TA(2025)0</w:t>
      </w:r>
      <w:r w:rsidR="00C11234" w:rsidRPr="00F4194C">
        <w:t>301</w:t>
      </w:r>
      <w:bookmarkEnd w:id="0"/>
    </w:p>
    <w:p w14:paraId="739C0A3A" w14:textId="77777777" w:rsidR="00B71438" w:rsidRPr="00F4194C" w:rsidRDefault="00B71438" w:rsidP="00B71438">
      <w:pPr>
        <w:pStyle w:val="ATHeading2"/>
      </w:pPr>
      <w:bookmarkStart w:id="1" w:name="title"/>
      <w:r w:rsidRPr="00F4194C">
        <w:t>Protejarea consumatorilor din UE împotriva practicilor anumitor platforme de comerț electronic: cazul păpușilor sexuale cu înfățișare de copil, al armelor și al altor produse și materiale ilegale</w:t>
      </w:r>
      <w:bookmarkEnd w:id="1"/>
    </w:p>
    <w:p w14:paraId="44413647" w14:textId="77777777" w:rsidR="00B71438" w:rsidRPr="00F4194C" w:rsidRDefault="00B71438" w:rsidP="00B71438">
      <w:pPr>
        <w:rPr>
          <w:i/>
          <w:vanish/>
        </w:rPr>
      </w:pPr>
      <w:r w:rsidRPr="00F4194C">
        <w:rPr>
          <w:i/>
        </w:rPr>
        <w:fldChar w:fldCharType="begin"/>
      </w:r>
      <w:r w:rsidRPr="00F4194C">
        <w:rPr>
          <w:i/>
        </w:rPr>
        <w:instrText xml:space="preserve"> TC"(</w:instrText>
      </w:r>
      <w:bookmarkStart w:id="2" w:name="DocNumber"/>
      <w:r w:rsidRPr="00F4194C">
        <w:rPr>
          <w:i/>
        </w:rPr>
        <w:instrText>B10-0500/2025</w:instrText>
      </w:r>
      <w:bookmarkEnd w:id="2"/>
      <w:r w:rsidRPr="00F4194C">
        <w:rPr>
          <w:i/>
        </w:rPr>
        <w:instrText xml:space="preserve">)"\l3 \n&gt; \* MERGEFORMAT </w:instrText>
      </w:r>
      <w:r w:rsidRPr="00F4194C">
        <w:rPr>
          <w:i/>
        </w:rPr>
        <w:fldChar w:fldCharType="end"/>
      </w:r>
    </w:p>
    <w:p w14:paraId="14CC0827" w14:textId="77777777" w:rsidR="00B71438" w:rsidRPr="00F4194C" w:rsidRDefault="00B71438" w:rsidP="00B71438">
      <w:pPr>
        <w:rPr>
          <w:vanish/>
        </w:rPr>
      </w:pPr>
      <w:bookmarkStart w:id="3" w:name="PE"/>
      <w:r w:rsidRPr="00F4194C">
        <w:rPr>
          <w:vanish/>
        </w:rPr>
        <w:t>PE778.971</w:t>
      </w:r>
      <w:bookmarkEnd w:id="3"/>
    </w:p>
    <w:p w14:paraId="72618925" w14:textId="77777777" w:rsidR="00B71438" w:rsidRPr="00F4194C" w:rsidRDefault="00B71438" w:rsidP="00B71438">
      <w:pPr>
        <w:pStyle w:val="ATHeading3"/>
      </w:pPr>
      <w:bookmarkStart w:id="4" w:name="Sujet"/>
      <w:r w:rsidRPr="00F4194C">
        <w:t>Rezoluția Parlamentului European din 26 noiembrie 2025 referitoare la protejarea consumatorilor din UE împotriva practicilor anumitor platforme de comerț electronic: cazul păpușilor sexuale cu înfățișare de copil, al armelor și al altor produse și materiale ilegale</w:t>
      </w:r>
      <w:bookmarkEnd w:id="4"/>
      <w:r w:rsidRPr="00F4194C">
        <w:t xml:space="preserve"> </w:t>
      </w:r>
      <w:bookmarkStart w:id="5" w:name="References"/>
      <w:r w:rsidRPr="00F4194C">
        <w:t>(2025/2971(RSP))</w:t>
      </w:r>
      <w:bookmarkEnd w:id="5"/>
    </w:p>
    <w:p w14:paraId="59F68325" w14:textId="77777777" w:rsidR="006841FF" w:rsidRPr="00F4194C" w:rsidRDefault="006841FF" w:rsidP="006841FF">
      <w:pPr>
        <w:pStyle w:val="EPComma"/>
      </w:pPr>
      <w:bookmarkStart w:id="6" w:name="TextBodyBegin"/>
      <w:bookmarkEnd w:id="6"/>
      <w:r w:rsidRPr="00F4194C">
        <w:rPr>
          <w:i/>
        </w:rPr>
        <w:t>Parlamentul European</w:t>
      </w:r>
      <w:r w:rsidRPr="00F4194C">
        <w:t>,</w:t>
      </w:r>
    </w:p>
    <w:p w14:paraId="61121B39" w14:textId="77777777" w:rsidR="006841FF" w:rsidRPr="00F4194C" w:rsidRDefault="006841FF" w:rsidP="006841FF">
      <w:pPr>
        <w:pStyle w:val="NormalHanging12a"/>
      </w:pPr>
      <w:r w:rsidRPr="00F4194C">
        <w:t>–</w:t>
      </w:r>
      <w:r w:rsidRPr="00F4194C">
        <w:tab/>
        <w:t>având în vedere raportul din 31 martie 2022 al Grupului de experți eminenți privind reforma uniunii vamale a UE intitulat „</w:t>
      </w:r>
      <w:proofErr w:type="spellStart"/>
      <w:r w:rsidRPr="00F4194C">
        <w:t>Putting</w:t>
      </w:r>
      <w:proofErr w:type="spellEnd"/>
      <w:r w:rsidRPr="00F4194C">
        <w:t xml:space="preserve"> More Union in </w:t>
      </w:r>
      <w:proofErr w:type="spellStart"/>
      <w:r w:rsidRPr="00F4194C">
        <w:t>the</w:t>
      </w:r>
      <w:proofErr w:type="spellEnd"/>
      <w:r w:rsidRPr="00F4194C">
        <w:t xml:space="preserve"> European </w:t>
      </w:r>
      <w:proofErr w:type="spellStart"/>
      <w:r w:rsidRPr="00F4194C">
        <w:t>Customs</w:t>
      </w:r>
      <w:proofErr w:type="spellEnd"/>
      <w:r w:rsidRPr="00F4194C">
        <w:t xml:space="preserve">: Ten </w:t>
      </w:r>
      <w:proofErr w:type="spellStart"/>
      <w:r w:rsidRPr="00F4194C">
        <w:t>proposals</w:t>
      </w:r>
      <w:proofErr w:type="spellEnd"/>
      <w:r w:rsidRPr="00F4194C">
        <w:t xml:space="preserve"> </w:t>
      </w:r>
      <w:proofErr w:type="spellStart"/>
      <w:r w:rsidRPr="00F4194C">
        <w:t>to</w:t>
      </w:r>
      <w:proofErr w:type="spellEnd"/>
      <w:r w:rsidRPr="00F4194C">
        <w:t xml:space="preserve"> </w:t>
      </w:r>
      <w:proofErr w:type="spellStart"/>
      <w:r w:rsidRPr="00F4194C">
        <w:t>make</w:t>
      </w:r>
      <w:proofErr w:type="spellEnd"/>
      <w:r w:rsidRPr="00F4194C">
        <w:t xml:space="preserve"> </w:t>
      </w:r>
      <w:proofErr w:type="spellStart"/>
      <w:r w:rsidRPr="00F4194C">
        <w:t>the</w:t>
      </w:r>
      <w:proofErr w:type="spellEnd"/>
      <w:r w:rsidRPr="00F4194C">
        <w:t xml:space="preserve"> EU </w:t>
      </w:r>
      <w:proofErr w:type="spellStart"/>
      <w:r w:rsidRPr="00F4194C">
        <w:t>Customs</w:t>
      </w:r>
      <w:proofErr w:type="spellEnd"/>
      <w:r w:rsidRPr="00F4194C">
        <w:t xml:space="preserve"> Union fit for a </w:t>
      </w:r>
      <w:proofErr w:type="spellStart"/>
      <w:r w:rsidRPr="00F4194C">
        <w:t>Geopolitical</w:t>
      </w:r>
      <w:proofErr w:type="spellEnd"/>
      <w:r w:rsidRPr="00F4194C">
        <w:t xml:space="preserve"> Europe” (Mai multă uniune în domeniul vamal european: zece propuneri pentru ca uniunea vamală a UE să fie pregătită pentru o </w:t>
      </w:r>
      <w:proofErr w:type="spellStart"/>
      <w:r w:rsidRPr="00F4194C">
        <w:t>Europă</w:t>
      </w:r>
      <w:proofErr w:type="spellEnd"/>
      <w:r w:rsidRPr="00F4194C">
        <w:t xml:space="preserve"> geopolitică),</w:t>
      </w:r>
    </w:p>
    <w:p w14:paraId="0EAB526B" w14:textId="77777777" w:rsidR="006841FF" w:rsidRPr="00F4194C" w:rsidRDefault="006841FF" w:rsidP="006841FF">
      <w:pPr>
        <w:pStyle w:val="NormalHanging12a"/>
      </w:pPr>
      <w:r w:rsidRPr="00F4194C">
        <w:t>–</w:t>
      </w:r>
      <w:r w:rsidRPr="00F4194C">
        <w:tab/>
        <w:t>având în vedere poziția sa din 13 martie 2024 referitoare la propunerea de regulament al Parlamentului European și al Consiliului de instituire a Codului vamal al Uniunii și a Autorității vamale a Uniunii Europene și de abrogare a Regulamentului (UE) nr. 952/2013</w:t>
      </w:r>
      <w:r w:rsidRPr="00F4194C">
        <w:rPr>
          <w:rStyle w:val="FootnoteReference"/>
        </w:rPr>
        <w:footnoteReference w:id="1"/>
      </w:r>
      <w:r w:rsidRPr="00F4194C">
        <w:t>,</w:t>
      </w:r>
    </w:p>
    <w:p w14:paraId="5D859E3F" w14:textId="77777777" w:rsidR="006841FF" w:rsidRPr="00F4194C" w:rsidRDefault="006841FF" w:rsidP="006841FF">
      <w:pPr>
        <w:pStyle w:val="NormalHanging12a"/>
      </w:pPr>
      <w:r w:rsidRPr="00F4194C">
        <w:t>–</w:t>
      </w:r>
      <w:r w:rsidRPr="00F4194C">
        <w:tab/>
        <w:t>având în vedere comunicarea Comisiei din 5 februarie 2025 intitulată „Un set cuprinzător de instrumente ale UE pentru un comerț electronic sigur și sustenabil” (COM(2025)0037),</w:t>
      </w:r>
    </w:p>
    <w:p w14:paraId="6A14CCBF" w14:textId="77777777" w:rsidR="006841FF" w:rsidRPr="00F4194C" w:rsidRDefault="006841FF" w:rsidP="006841FF">
      <w:pPr>
        <w:pStyle w:val="NormalHanging12a"/>
      </w:pPr>
      <w:r w:rsidRPr="00F4194C">
        <w:t>–</w:t>
      </w:r>
      <w:r w:rsidRPr="00F4194C">
        <w:tab/>
        <w:t>având în vedere Regulamentul (UE) 2024/3015 al Parlamentului European și al Consiliului din 27 noiembrie 2024 privind interzicerea pe piața Uniunii a produselor realizate utilizând muncă forțată și de modificare a Directivei (UE) 2019/1937</w:t>
      </w:r>
      <w:r w:rsidRPr="00F4194C">
        <w:rPr>
          <w:rStyle w:val="FootnoteReference"/>
        </w:rPr>
        <w:footnoteReference w:id="2"/>
      </w:r>
      <w:r w:rsidRPr="00F4194C">
        <w:t>,</w:t>
      </w:r>
    </w:p>
    <w:p w14:paraId="3AFFB0E0" w14:textId="77777777" w:rsidR="006841FF" w:rsidRPr="00F4194C" w:rsidRDefault="006841FF" w:rsidP="006841FF">
      <w:pPr>
        <w:pStyle w:val="NormalHanging12a"/>
      </w:pPr>
      <w:r w:rsidRPr="00F4194C">
        <w:t>–</w:t>
      </w:r>
      <w:r w:rsidRPr="00F4194C">
        <w:tab/>
        <w:t xml:space="preserve">având în vedere Directiva (UE) 2024/1760 a Parlamentului European și a Consiliului din 13 iunie 2024 privind diligența necesară în materie de durabilitate a întreprinderilor </w:t>
      </w:r>
      <w:r w:rsidRPr="00F4194C">
        <w:lastRenderedPageBreak/>
        <w:t>și de modificare a Directivei (UE) 2019/1937 și a Regulamentului (UE) 2023/2859</w:t>
      </w:r>
      <w:r w:rsidRPr="00F4194C">
        <w:rPr>
          <w:rStyle w:val="FootnoteReference"/>
        </w:rPr>
        <w:footnoteReference w:id="3"/>
      </w:r>
      <w:r w:rsidRPr="00F4194C">
        <w:t>,</w:t>
      </w:r>
    </w:p>
    <w:p w14:paraId="7E315404" w14:textId="77777777" w:rsidR="006841FF" w:rsidRPr="00F4194C" w:rsidRDefault="006841FF" w:rsidP="006841FF">
      <w:pPr>
        <w:pStyle w:val="NormalHanging12a"/>
      </w:pPr>
      <w:r w:rsidRPr="00F4194C">
        <w:t>–</w:t>
      </w:r>
      <w:r w:rsidRPr="00F4194C">
        <w:tab/>
        <w:t xml:space="preserve">având în vedere raportul lui Enrico </w:t>
      </w:r>
      <w:proofErr w:type="spellStart"/>
      <w:r w:rsidRPr="00F4194C">
        <w:t>Letta</w:t>
      </w:r>
      <w:proofErr w:type="spellEnd"/>
      <w:r w:rsidRPr="00F4194C">
        <w:t xml:space="preserve"> din aprilie 2024 intitulat „</w:t>
      </w:r>
      <w:proofErr w:type="spellStart"/>
      <w:r w:rsidRPr="00F4194C">
        <w:t>Much</w:t>
      </w:r>
      <w:proofErr w:type="spellEnd"/>
      <w:r w:rsidRPr="00F4194C">
        <w:t xml:space="preserve"> more </w:t>
      </w:r>
      <w:proofErr w:type="spellStart"/>
      <w:r w:rsidRPr="00F4194C">
        <w:t>than</w:t>
      </w:r>
      <w:proofErr w:type="spellEnd"/>
      <w:r w:rsidRPr="00F4194C">
        <w:t xml:space="preserve"> a market: </w:t>
      </w:r>
      <w:proofErr w:type="spellStart"/>
      <w:r w:rsidRPr="00F4194C">
        <w:t>Speed</w:t>
      </w:r>
      <w:proofErr w:type="spellEnd"/>
      <w:r w:rsidRPr="00F4194C">
        <w:t xml:space="preserve">, </w:t>
      </w:r>
      <w:proofErr w:type="spellStart"/>
      <w:r w:rsidRPr="00F4194C">
        <w:t>Security</w:t>
      </w:r>
      <w:proofErr w:type="spellEnd"/>
      <w:r w:rsidRPr="00F4194C">
        <w:t xml:space="preserve">, </w:t>
      </w:r>
      <w:proofErr w:type="spellStart"/>
      <w:r w:rsidRPr="00F4194C">
        <w:t>Solidarity</w:t>
      </w:r>
      <w:proofErr w:type="spellEnd"/>
      <w:r w:rsidRPr="00F4194C">
        <w:t xml:space="preserve"> </w:t>
      </w:r>
      <w:proofErr w:type="spellStart"/>
      <w:r w:rsidRPr="00F4194C">
        <w:t>Empowering</w:t>
      </w:r>
      <w:proofErr w:type="spellEnd"/>
      <w:r w:rsidRPr="00F4194C">
        <w:t xml:space="preserve"> </w:t>
      </w:r>
      <w:proofErr w:type="spellStart"/>
      <w:r w:rsidRPr="00F4194C">
        <w:t>the</w:t>
      </w:r>
      <w:proofErr w:type="spellEnd"/>
      <w:r w:rsidRPr="00F4194C">
        <w:t xml:space="preserve"> Single Market </w:t>
      </w:r>
      <w:proofErr w:type="spellStart"/>
      <w:r w:rsidRPr="00F4194C">
        <w:t>to</w:t>
      </w:r>
      <w:proofErr w:type="spellEnd"/>
      <w:r w:rsidRPr="00F4194C">
        <w:t xml:space="preserve"> </w:t>
      </w:r>
      <w:proofErr w:type="spellStart"/>
      <w:r w:rsidRPr="00F4194C">
        <w:t>deliver</w:t>
      </w:r>
      <w:proofErr w:type="spellEnd"/>
      <w:r w:rsidRPr="00F4194C">
        <w:t xml:space="preserve"> a </w:t>
      </w:r>
      <w:proofErr w:type="spellStart"/>
      <w:r w:rsidRPr="00F4194C">
        <w:t>sustainable</w:t>
      </w:r>
      <w:proofErr w:type="spellEnd"/>
      <w:r w:rsidRPr="00F4194C">
        <w:t xml:space="preserve"> </w:t>
      </w:r>
      <w:proofErr w:type="spellStart"/>
      <w:r w:rsidRPr="00F4194C">
        <w:t>future</w:t>
      </w:r>
      <w:proofErr w:type="spellEnd"/>
      <w:r w:rsidRPr="00F4194C">
        <w:t xml:space="preserve"> </w:t>
      </w:r>
      <w:proofErr w:type="spellStart"/>
      <w:r w:rsidRPr="00F4194C">
        <w:t>and</w:t>
      </w:r>
      <w:proofErr w:type="spellEnd"/>
      <w:r w:rsidRPr="00F4194C">
        <w:t xml:space="preserve"> </w:t>
      </w:r>
      <w:proofErr w:type="spellStart"/>
      <w:r w:rsidRPr="00F4194C">
        <w:t>prosperity</w:t>
      </w:r>
      <w:proofErr w:type="spellEnd"/>
      <w:r w:rsidRPr="00F4194C">
        <w:t xml:space="preserve"> for </w:t>
      </w:r>
      <w:proofErr w:type="spellStart"/>
      <w:r w:rsidRPr="00F4194C">
        <w:t>all</w:t>
      </w:r>
      <w:proofErr w:type="spellEnd"/>
      <w:r w:rsidRPr="00F4194C">
        <w:t xml:space="preserve"> EU </w:t>
      </w:r>
      <w:proofErr w:type="spellStart"/>
      <w:r w:rsidRPr="00F4194C">
        <w:t>Citizens</w:t>
      </w:r>
      <w:proofErr w:type="spellEnd"/>
      <w:r w:rsidRPr="00F4194C">
        <w:t xml:space="preserve"> (Mult mai mult decât o piață – viteză, securitate, solidaritate; capacitarea pieței unice pentru a le asigura tuturor cetățenilor UE prosperitate și un viitor durabil)</w:t>
      </w:r>
      <w:r w:rsidRPr="00F4194C">
        <w:rPr>
          <w:rStyle w:val="FootnoteReference"/>
        </w:rPr>
        <w:footnoteReference w:id="4"/>
      </w:r>
      <w:r w:rsidRPr="00F4194C">
        <w:t>,</w:t>
      </w:r>
    </w:p>
    <w:p w14:paraId="45712B11" w14:textId="26804E54" w:rsidR="006841FF" w:rsidRPr="00F4194C" w:rsidRDefault="006841FF" w:rsidP="006841FF">
      <w:pPr>
        <w:pStyle w:val="NormalHanging12a"/>
      </w:pPr>
      <w:r w:rsidRPr="00F4194C">
        <w:t>–</w:t>
      </w:r>
      <w:r w:rsidRPr="00F4194C">
        <w:tab/>
        <w:t>având în vedere Regulamentul (UE) 2022/2065 privind o piață unică pentru serviciile digitale și de modificare a Directivei 2000/31/CE (Regulamentul privind serviciile digitale)</w:t>
      </w:r>
      <w:r w:rsidRPr="00F4194C">
        <w:rPr>
          <w:rStyle w:val="FootnoteReference"/>
        </w:rPr>
        <w:footnoteReference w:id="5"/>
      </w:r>
      <w:r w:rsidR="00584A4E" w:rsidRPr="00F4194C">
        <w:t>,</w:t>
      </w:r>
    </w:p>
    <w:p w14:paraId="218E10B5" w14:textId="77777777" w:rsidR="006841FF" w:rsidRPr="00F4194C" w:rsidRDefault="006841FF" w:rsidP="006841FF">
      <w:pPr>
        <w:pStyle w:val="NormalHanging12a"/>
        <w:rPr>
          <w:szCs w:val="24"/>
        </w:rPr>
      </w:pPr>
      <w:r w:rsidRPr="00F4194C">
        <w:t>–</w:t>
      </w:r>
      <w:r w:rsidRPr="00F4194C">
        <w:tab/>
        <w:t>având în vedere Regulamentul (UE) 2022/1925 al Parlamentului European și al Consiliului din 14 septembrie 2022 privind piețe contestabile și echitabile în sectorul digital și de modificare a Directivelor (UE) 2019/1937 și (UE) 2020/1828 (Regulamentul privind piețele digitale)</w:t>
      </w:r>
      <w:r w:rsidRPr="00F4194C">
        <w:rPr>
          <w:rStyle w:val="FootnoteReference"/>
          <w:szCs w:val="24"/>
        </w:rPr>
        <w:footnoteReference w:id="6"/>
      </w:r>
      <w:r w:rsidRPr="00F4194C">
        <w:t>,</w:t>
      </w:r>
    </w:p>
    <w:p w14:paraId="6223A7F3" w14:textId="77777777" w:rsidR="006841FF" w:rsidRPr="00F4194C" w:rsidRDefault="006841FF" w:rsidP="006841FF">
      <w:pPr>
        <w:pStyle w:val="NormalHanging12a"/>
      </w:pPr>
      <w:r w:rsidRPr="00F4194C">
        <w:t>–</w:t>
      </w:r>
      <w:r w:rsidRPr="00F4194C">
        <w:tab/>
        <w:t>având în vedere 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w:t>
      </w:r>
      <w:r w:rsidRPr="00F4194C">
        <w:rPr>
          <w:rStyle w:val="FootnoteReference"/>
        </w:rPr>
        <w:footnoteReference w:id="7"/>
      </w:r>
      <w:r w:rsidRPr="00F4194C">
        <w:t>,</w:t>
      </w:r>
    </w:p>
    <w:p w14:paraId="0CEEF7F6" w14:textId="77777777" w:rsidR="006841FF" w:rsidRPr="00F4194C" w:rsidRDefault="006841FF" w:rsidP="006841FF">
      <w:pPr>
        <w:pStyle w:val="NormalHanging12a"/>
      </w:pPr>
      <w:r w:rsidRPr="00F4194C">
        <w:t>–</w:t>
      </w:r>
      <w:r w:rsidRPr="00F4194C">
        <w:tab/>
        <w:t>având în vedere Regulamentul (UE) 2019/1020 al Parlamentului European și al Consiliului din 20 iunie 2019 privind supravegherea pieței și conformitatea produselor și de modificare a Directivei 2004/42/CE și a Regulamentelor (CE) nr. 765/2008 și (UE) nr. 305/2011</w:t>
      </w:r>
      <w:r w:rsidRPr="00F4194C">
        <w:rPr>
          <w:rStyle w:val="FootnoteReference"/>
        </w:rPr>
        <w:footnoteReference w:id="8"/>
      </w:r>
      <w:r w:rsidRPr="00F4194C">
        <w:t>,</w:t>
      </w:r>
    </w:p>
    <w:p w14:paraId="46AB544F" w14:textId="77777777" w:rsidR="006841FF" w:rsidRPr="00F4194C" w:rsidRDefault="006841FF" w:rsidP="006841FF">
      <w:pPr>
        <w:pStyle w:val="NormalHanging12a"/>
      </w:pPr>
      <w:r w:rsidRPr="00F4194C">
        <w:t>–</w:t>
      </w:r>
      <w:r w:rsidRPr="00F4194C">
        <w:tab/>
        <w:t>având în vedere Directiva (UE) 2024/2853 a Parlamentului European și a Consiliului din 23 octombrie 2024 privind răspunderea pentru produsele cu defecte și de abrogare a Directivei 85/374/CEE a Consiliului</w:t>
      </w:r>
      <w:r w:rsidRPr="00F4194C">
        <w:rPr>
          <w:rStyle w:val="FootnoteReference"/>
        </w:rPr>
        <w:footnoteReference w:id="9"/>
      </w:r>
      <w:r w:rsidRPr="00F4194C">
        <w:t>,</w:t>
      </w:r>
    </w:p>
    <w:p w14:paraId="35CE4087" w14:textId="77777777" w:rsidR="006841FF" w:rsidRPr="00F4194C" w:rsidRDefault="006841FF" w:rsidP="006841FF">
      <w:pPr>
        <w:pStyle w:val="NormalHanging12a"/>
      </w:pPr>
      <w:r w:rsidRPr="00F4194C">
        <w:t>–</w:t>
      </w:r>
      <w:r w:rsidRPr="00F4194C">
        <w:tab/>
        <w:t>având în vedere articolul 136 alineatul (2) din Regulamentul său de procedură,</w:t>
      </w:r>
    </w:p>
    <w:p w14:paraId="448E4F1D" w14:textId="77777777" w:rsidR="006841FF" w:rsidRPr="00F4194C" w:rsidRDefault="006841FF" w:rsidP="006841FF">
      <w:pPr>
        <w:pStyle w:val="NormalHanging12a"/>
      </w:pPr>
      <w:r w:rsidRPr="00F4194C">
        <w:t>–</w:t>
      </w:r>
      <w:r w:rsidRPr="00F4194C">
        <w:tab/>
        <w:t>având în vedere avizul Comisiei pentru comerț internațional,</w:t>
      </w:r>
    </w:p>
    <w:p w14:paraId="227DDDBC" w14:textId="77777777" w:rsidR="006841FF" w:rsidRPr="00F4194C" w:rsidRDefault="006841FF" w:rsidP="006841FF">
      <w:pPr>
        <w:pStyle w:val="NormalHanging12a"/>
      </w:pPr>
      <w:r w:rsidRPr="00F4194C">
        <w:t>–</w:t>
      </w:r>
      <w:r w:rsidRPr="00F4194C">
        <w:tab/>
        <w:t>având în vedere raportul Comisiei pentru piața internă și protecția consumatorilor (A10-0133/2025),</w:t>
      </w:r>
    </w:p>
    <w:p w14:paraId="51B032BD" w14:textId="77777777" w:rsidR="006841FF" w:rsidRPr="00F4194C" w:rsidRDefault="006841FF" w:rsidP="006841FF">
      <w:pPr>
        <w:pStyle w:val="NormalHanging12a"/>
      </w:pPr>
      <w:r w:rsidRPr="00F4194C">
        <w:t>A.</w:t>
      </w:r>
      <w:r w:rsidRPr="00F4194C">
        <w:tab/>
        <w:t xml:space="preserve">întrucât, la 31 octombrie 2025, a apărut în Franța o controversă majoră, care s-a extins rapid în întreaga </w:t>
      </w:r>
      <w:proofErr w:type="spellStart"/>
      <w:r w:rsidRPr="00F4194C">
        <w:t>Europă</w:t>
      </w:r>
      <w:proofErr w:type="spellEnd"/>
      <w:r w:rsidRPr="00F4194C">
        <w:t xml:space="preserve">, privind vânzarea de păpuși sexuale cu înfățișare de copil și de </w:t>
      </w:r>
      <w:r w:rsidRPr="00F4194C">
        <w:lastRenderedPageBreak/>
        <w:t xml:space="preserve">alte produse ilegale, inclusiv arme, pe platforma chineză de comerț electronic SHEIN; întrucât organismul francez de protecție a consumatorilor a semnalat „vânzarea de obiecte sexuale cu înfățișare de copii” Parchetului din Paris, care, în consecință, a deschis la 3 noiembrie 2025 o anchetă privind SHEIN și alte trei piețe online din afara UE, și anume Temu, </w:t>
      </w:r>
      <w:proofErr w:type="spellStart"/>
      <w:r w:rsidRPr="00F4194C">
        <w:t>AliExpress</w:t>
      </w:r>
      <w:proofErr w:type="spellEnd"/>
      <w:r w:rsidRPr="00F4194C">
        <w:t xml:space="preserve"> și </w:t>
      </w:r>
      <w:proofErr w:type="spellStart"/>
      <w:r w:rsidRPr="00F4194C">
        <w:t>Wish</w:t>
      </w:r>
      <w:proofErr w:type="spellEnd"/>
      <w:r w:rsidRPr="00F4194C">
        <w:t>;</w:t>
      </w:r>
    </w:p>
    <w:p w14:paraId="6F975466" w14:textId="77777777" w:rsidR="006841FF" w:rsidRPr="00F4194C" w:rsidRDefault="006841FF" w:rsidP="006841FF">
      <w:pPr>
        <w:pStyle w:val="NormalHanging12a"/>
      </w:pPr>
      <w:r w:rsidRPr="00F4194C">
        <w:t>B.</w:t>
      </w:r>
      <w:r w:rsidRPr="00F4194C">
        <w:tab/>
        <w:t>întrucât, în urma măsurilor inițiale de asigurare a respectării legii luate de autoritățile franceze, SHEIN a susținut că a retras toate materialele publicitare și vizuale aferente și că a eliminat temporar categoria sa de „produse pentru adulți”; întrucât persistă îndoieli semnificative cu privire la capacitatea sau voința SHEIN de a lua măsuri eficace și decisive împotriva conținutului ilegal și de a garanta că numai produsele conforme sunt puse la dispoziție pe platforma sa; întrucât aceste îndoieli au fost întărite de dovada că produsele contestate au rămas accesibile în alte state membre, inclusiv prin acces VPN, la două zile după presupusa suspendare a vânzării lor în Franța;</w:t>
      </w:r>
    </w:p>
    <w:p w14:paraId="2F48674E" w14:textId="72BF403E" w:rsidR="00180A1B" w:rsidRPr="00F4194C" w:rsidRDefault="00180A1B" w:rsidP="006841FF">
      <w:pPr>
        <w:pStyle w:val="NormalHanging12a"/>
      </w:pPr>
      <w:r w:rsidRPr="00F4194C">
        <w:t>C.</w:t>
      </w:r>
      <w:r w:rsidRPr="00F4194C">
        <w:tab/>
      </w:r>
      <w:r w:rsidR="003C662A" w:rsidRPr="00F4194C">
        <w:t>întrucât</w:t>
      </w:r>
      <w:r w:rsidRPr="00F4194C">
        <w:t xml:space="preserve">, la 26 noiembrie 2025, autoritățile franceze au anunțat că vor depune o plângere împotriva </w:t>
      </w:r>
      <w:proofErr w:type="spellStart"/>
      <w:r w:rsidRPr="00F4194C">
        <w:t>AliExpress</w:t>
      </w:r>
      <w:proofErr w:type="spellEnd"/>
      <w:r w:rsidRPr="00F4194C">
        <w:t xml:space="preserve"> și </w:t>
      </w:r>
      <w:proofErr w:type="spellStart"/>
      <w:r w:rsidRPr="00F4194C">
        <w:t>Joom</w:t>
      </w:r>
      <w:proofErr w:type="spellEnd"/>
      <w:r w:rsidRPr="00F4194C">
        <w:t>, care sunt, de asemenea, implicate în vânzarea de păpuși care conțin pornografie infantilă, ilustrând amploarea și gravitatea acestui fenomen</w:t>
      </w:r>
      <w:r w:rsidR="00F4194C" w:rsidRPr="00F4194C">
        <w:t>;</w:t>
      </w:r>
    </w:p>
    <w:p w14:paraId="1B8DC1CC" w14:textId="2E107B97" w:rsidR="006841FF" w:rsidRPr="00F4194C" w:rsidRDefault="00180A1B" w:rsidP="006841FF">
      <w:pPr>
        <w:pStyle w:val="NormalHanging12a"/>
      </w:pPr>
      <w:r w:rsidRPr="00F4194C">
        <w:t>D</w:t>
      </w:r>
      <w:r w:rsidR="006841FF" w:rsidRPr="00F4194C">
        <w:t>.</w:t>
      </w:r>
      <w:r w:rsidR="006841FF" w:rsidRPr="00F4194C">
        <w:tab/>
        <w:t>întrucât, în lumina acestor dezvăluiri, guvernul francez a avertizat public că repetarea încălcărilor îl vor determina să solicite blocarea accesului la platforma SHEIN pe piața franceză; întrucât, ca răspuns, SHEIN pare să fi scos toate păpușile sexuale cu înfățișare de copil de pe platformele sale globale și a anunțat o interdicție la nivel mondial de vânzare a păpușilor sexuale, pare să fi eliminat articolele relevante și să fi inițiat o anchetă internă cu privire la modul în care astfel de produse au putut apărea pe piețele sale online;</w:t>
      </w:r>
    </w:p>
    <w:p w14:paraId="28506296" w14:textId="2349C349" w:rsidR="006841FF" w:rsidRPr="00F4194C" w:rsidRDefault="00180A1B" w:rsidP="006841FF">
      <w:pPr>
        <w:pStyle w:val="NormalHanging12a"/>
      </w:pPr>
      <w:r w:rsidRPr="00F4194C">
        <w:t>E</w:t>
      </w:r>
      <w:r w:rsidR="006841FF" w:rsidRPr="00F4194C">
        <w:t>.</w:t>
      </w:r>
      <w:r w:rsidR="006841FF" w:rsidRPr="00F4194C">
        <w:tab/>
        <w:t>întrucât reacția publică semnificativă din Franța este legată de controversele anterioare care au implicat SHEIN, inclusiv de constatările din iulie 2025 potrivit cărora această companie a fost implicată în practici înșelătoare de reduceri și a făcut afirmații nejustificate privind mediul; întrucât aceste practici neloiale pun în lumină modelele de afaceri ale acestor platforme online și ridică semne de întrebare cu privire la modelele de consum;</w:t>
      </w:r>
    </w:p>
    <w:p w14:paraId="2EE2E62A" w14:textId="5FD58808" w:rsidR="006841FF" w:rsidRPr="00F4194C" w:rsidRDefault="00180A1B" w:rsidP="006841FF">
      <w:pPr>
        <w:pStyle w:val="NormalHanging12a"/>
      </w:pPr>
      <w:r w:rsidRPr="00F4194C">
        <w:t>F</w:t>
      </w:r>
      <w:r w:rsidR="006841FF" w:rsidRPr="00F4194C">
        <w:t>.</w:t>
      </w:r>
      <w:r w:rsidR="006841FF" w:rsidRPr="00F4194C">
        <w:tab/>
        <w:t>întrucât cazul Franței a atras din nou și în mod semnificativ atenția asupra problemei mai ample a produselor nesigure și ilegale care circulă prin intermediul piețelor online în întreaga UE și a declanșat o dezbatere mai largă privind modelele de consum, concurența neloială din partea platformelor online din afara UE, reglementarea piețelor online și drepturile consumatorilor,</w:t>
      </w:r>
    </w:p>
    <w:p w14:paraId="51A4B2A6" w14:textId="77777777" w:rsidR="006841FF" w:rsidRPr="00F4194C" w:rsidRDefault="006841FF" w:rsidP="006841FF">
      <w:pPr>
        <w:pStyle w:val="NormalHanging12a"/>
        <w:rPr>
          <w:b/>
          <w:i/>
          <w:iCs/>
        </w:rPr>
      </w:pPr>
      <w:r w:rsidRPr="00F4194C">
        <w:rPr>
          <w:b/>
          <w:i/>
        </w:rPr>
        <w:t>Observații preliminare</w:t>
      </w:r>
    </w:p>
    <w:p w14:paraId="36665888" w14:textId="77777777" w:rsidR="006841FF" w:rsidRPr="00F4194C" w:rsidRDefault="006841FF" w:rsidP="006841FF">
      <w:pPr>
        <w:pStyle w:val="NormalHanging12a"/>
      </w:pPr>
      <w:r w:rsidRPr="00F4194C">
        <w:t>1.</w:t>
      </w:r>
      <w:r w:rsidRPr="00F4194C">
        <w:tab/>
        <w:t xml:space="preserve">condamnă evenimentele recente din Franța constând în disponibilitatea pe platforma SHEIN a unor obiecte </w:t>
      </w:r>
      <w:proofErr w:type="spellStart"/>
      <w:r w:rsidRPr="00F4194C">
        <w:t>sexualizate</w:t>
      </w:r>
      <w:proofErr w:type="spellEnd"/>
      <w:r w:rsidRPr="00F4194C">
        <w:t xml:space="preserve"> cu înfățișare de copil și a altor bunuri ilicite sau periculoase, cum ar fi armele, care au fost accesibile în întreaga UE; subliniază că aceste practici constituie o încălcare gravă a legislației UE și o amenințare directă la adresa siguranței consumatorilor și a protecției minorilor;</w:t>
      </w:r>
    </w:p>
    <w:p w14:paraId="0F5F2529" w14:textId="77777777" w:rsidR="006841FF" w:rsidRPr="00F4194C" w:rsidRDefault="006841FF" w:rsidP="006841FF">
      <w:pPr>
        <w:pStyle w:val="NormalHanging12a"/>
      </w:pPr>
      <w:r w:rsidRPr="00F4194C">
        <w:t>2.</w:t>
      </w:r>
      <w:r w:rsidRPr="00F4194C">
        <w:tab/>
        <w:t xml:space="preserve">subliniază că SHEIN nu este un caz izolat, ci reflectă un model sistemic de supraveghere inadecvată și mecanisme de prevenire insuficiente; evidențiază constatările recente ale organizațiilor de consumatori, care indică faptul că o proporție </w:t>
      </w:r>
      <w:r w:rsidRPr="00F4194C">
        <w:lastRenderedPageBreak/>
        <w:t>semnificativă a produselor propuse de principalele platforme de comerț electronic din afara UE nu îndeplinesc cerințele de siguranță ale UE, o parte substanțială a acestora prezentând riscuri grave pentru consumatori;</w:t>
      </w:r>
    </w:p>
    <w:p w14:paraId="502161DF" w14:textId="77777777" w:rsidR="006841FF" w:rsidRPr="00F4194C" w:rsidRDefault="006841FF" w:rsidP="006841FF">
      <w:pPr>
        <w:pStyle w:val="NormalHanging12a"/>
      </w:pPr>
      <w:r w:rsidRPr="00F4194C">
        <w:t>3.</w:t>
      </w:r>
      <w:r w:rsidRPr="00F4194C">
        <w:tab/>
        <w:t>ia act de anchetele în curs lansate de Comisie cu privire la practicile platformelor online foarte mari, inclusiv recentele solicitări de informații adresate SHEIN, dar invită Comisia să treacă de la dialog la o aplicare hotărâtă a normelor;</w:t>
      </w:r>
    </w:p>
    <w:p w14:paraId="2BB488E5" w14:textId="77777777" w:rsidR="006841FF" w:rsidRPr="00F4194C" w:rsidRDefault="006841FF" w:rsidP="006841FF">
      <w:pPr>
        <w:pStyle w:val="NormalHanging12a"/>
      </w:pPr>
      <w:r w:rsidRPr="00F4194C">
        <w:t>4.</w:t>
      </w:r>
      <w:r w:rsidRPr="00F4194C">
        <w:tab/>
        <w:t>subliniază că majoritatea produselor nesigure și ilegale sunt expediate către UE în volume mari de colete individuale și, adesea, de mici dimensiuni, vândute consumatorilor din UE pe platforme online din țări din afara UE, în special din China; avertizează că creșterea exponențială a loturilor mici de bunuri, combinată cu o capacitate de control limitată, duce la o interceptare inadecvată a mărfurilor periculoase; subliniază că această situație pune în pericol consumatorii și denaturează concurența;</w:t>
      </w:r>
    </w:p>
    <w:p w14:paraId="47F48DB6" w14:textId="77777777" w:rsidR="006841FF" w:rsidRPr="00F4194C" w:rsidRDefault="006841FF" w:rsidP="006841FF">
      <w:pPr>
        <w:pStyle w:val="NormalHanging12a"/>
      </w:pPr>
      <w:r w:rsidRPr="00F4194C">
        <w:t>5.</w:t>
      </w:r>
      <w:r w:rsidRPr="00F4194C">
        <w:tab/>
        <w:t>își exprimă profunda îngrijorare cu privire la faptul că ponderea documentată și tot mai mare a cazurilor de neconformitate din partea SHEIN și a altor platforme online din afara UE este exacerbată de un model de afaceri caracterizat de viteză, de maximizarea profitului și de un consum excesiv, în detrimentul drepturilor omului, al protecției mediului, al siguranței consumatorilor și al valorilor fundamentale; regretă că, în spatele unor prețuri artificial mici, se află aspecte îngrijorătoare, precum munca prost plătită, imitarea ilegală a muncii proiectanților, comercializarea de produse nesigure și neconforme și acumularea de deșeuri textile;</w:t>
      </w:r>
    </w:p>
    <w:p w14:paraId="0BED54C4" w14:textId="77777777" w:rsidR="006841FF" w:rsidRPr="00F4194C" w:rsidRDefault="006841FF" w:rsidP="006841FF">
      <w:pPr>
        <w:pStyle w:val="NormalHanging12a"/>
        <w:rPr>
          <w:b/>
          <w:i/>
          <w:iCs/>
        </w:rPr>
      </w:pPr>
      <w:r w:rsidRPr="00F4194C">
        <w:rPr>
          <w:b/>
          <w:i/>
        </w:rPr>
        <w:t>Provocările legate de conformitate</w:t>
      </w:r>
    </w:p>
    <w:p w14:paraId="2AD987EB" w14:textId="77777777" w:rsidR="006841FF" w:rsidRPr="00F4194C" w:rsidRDefault="006841FF" w:rsidP="006841FF">
      <w:pPr>
        <w:pStyle w:val="NormalHanging12a"/>
      </w:pPr>
      <w:r w:rsidRPr="00F4194C">
        <w:t>6.</w:t>
      </w:r>
      <w:r w:rsidRPr="00F4194C">
        <w:tab/>
        <w:t>recunoaște că UE a instituit un cadru solid de conformitate, inclusiv Regulamentul privind serviciile digitale, Regulamentul privind piețele digitale, Regulamentul privind supravegherea pieței, Regulamentul privind siguranța generală a produselor, normele de protecție a consumatorilor și diverse legi privind produsele și mediul, care se aplică și produselor vândute online; recunoaște, cu toate acestea, că sunt necesare în continuare eforturi mai mari pentru punerea în aplicare deplină și coordonată a cadrului de conformitate;</w:t>
      </w:r>
    </w:p>
    <w:p w14:paraId="76401C5B" w14:textId="1DD083CF" w:rsidR="006841FF" w:rsidRPr="00F4194C" w:rsidRDefault="006841FF" w:rsidP="006841FF">
      <w:pPr>
        <w:pStyle w:val="NormalHanging12a"/>
      </w:pPr>
      <w:r w:rsidRPr="00F4194C">
        <w:t>7.</w:t>
      </w:r>
      <w:r w:rsidRPr="00F4194C">
        <w:tab/>
        <w:t>consideră că punerea în aplicare riguroasă, consecventă și la timp a acquis-ului de reglementare al UE este indispensabilă pentru a preveni intrarea pe piața internă a unor produse nesigure, neconforme și contrafăcute și pentru a menține un nivel ridicat de protecție a consumatorilor; invită toate autoritățile competente din statele membre să utilizeze toate instrumentele de punere în aplicare de care dispun pentru a reacționa în timp util și în mod eficace;</w:t>
      </w:r>
    </w:p>
    <w:p w14:paraId="148CD509" w14:textId="77777777" w:rsidR="006841FF" w:rsidRPr="00F4194C" w:rsidRDefault="006841FF" w:rsidP="006841FF">
      <w:pPr>
        <w:pStyle w:val="NormalHanging12a"/>
      </w:pPr>
      <w:r w:rsidRPr="00F4194C">
        <w:t>8.</w:t>
      </w:r>
      <w:r w:rsidRPr="00F4194C">
        <w:tab/>
        <w:t>reamintește că Regulamentul privind serviciile digitale prevede temeiuri juridice clare pentru intervenție, inclusiv puterea de a impune amenzi, prevăzută la articolul 74, și cea de a ordona eliminarea produselor ilegale, prevăzută la articolul 9; îndeamnă Comisia să utilizeze pe deplin și în timp util aceste instrumente pentru a se asigura că platformele își respectă obligațiile; subliniază că cetățenii trebuie să vadă că UE este capabilă să le garanteze siguranța online și dorește o aplicare coordonată și solidă a reglementărilor pe întreaga piață internă;</w:t>
      </w:r>
    </w:p>
    <w:p w14:paraId="79D5650D" w14:textId="77777777" w:rsidR="006841FF" w:rsidRPr="00F4194C" w:rsidRDefault="006841FF" w:rsidP="006841FF">
      <w:pPr>
        <w:pStyle w:val="NormalHanging12a"/>
      </w:pPr>
      <w:r w:rsidRPr="00F4194C">
        <w:t>9.</w:t>
      </w:r>
      <w:r w:rsidRPr="00F4194C">
        <w:tab/>
        <w:t xml:space="preserve">avertizează că persistă deficiențe majore în materie de asigurare a respectării reglementărilor din cauza insuficienței cronice a resurselor și a capacităților digitale ale </w:t>
      </w:r>
      <w:r w:rsidRPr="00F4194C">
        <w:lastRenderedPageBreak/>
        <w:t>autorităților vamale și de supraveghere a pieței, a deficitului de personal specializat și a absenței unor instrumente tehnologice armonizate și interoperabile în toate statele membre, exacerbate de schimbul limitat de date și de slaba coordonare operațională dintre autoritățile vamale, autoritățile de supraveghere a pieței și autoritățile de protecție a consumatorilor;</w:t>
      </w:r>
    </w:p>
    <w:p w14:paraId="0A929910" w14:textId="77777777" w:rsidR="006841FF" w:rsidRPr="00F4194C" w:rsidRDefault="006841FF" w:rsidP="006841FF">
      <w:pPr>
        <w:pStyle w:val="NormalHanging12a"/>
      </w:pPr>
      <w:r w:rsidRPr="00F4194C">
        <w:t>10.</w:t>
      </w:r>
      <w:r w:rsidRPr="00F4194C">
        <w:tab/>
        <w:t>subliniază că, din cauza volumului mare de loturi de comerț electronic care intră în UE, controalele fizice sunt în mod inerent insuficiente; solicită măsuri urgente, inclusiv introducerea unei taxe de procesare armonizate la nivelul UE, conformă cu normele OMC, pentru a acoperi costurile sporite de supraveghere ale autorităților vamale, precum și o responsabilitate clar definită pentru platformele și vânzătorii stabiliți în țări terțe în ceea ce privește siguranța și conformitatea produselor pe care le adresează consumatorilor din UE, care ar trebui să însoțească eliminarea excepției privind plata TVA și a taxelor vamale pentru loturile cu valoare scăzută, care a fost convenită recent în cadrul Consiliului; îndeamnă Comisia să mărească în mod semnificativ sprijinul financiar și operațional acordat autorităților vamale și autorităților de supraveghere a pieței, inclusiv prin creșterea alocărilor în viitorul cadru financiar multianual, pentru a asigura resurse suficiente și personal adecvat;</w:t>
      </w:r>
    </w:p>
    <w:p w14:paraId="3506BFAC" w14:textId="77777777" w:rsidR="006841FF" w:rsidRPr="00F4194C" w:rsidRDefault="006841FF" w:rsidP="006841FF">
      <w:pPr>
        <w:pStyle w:val="NormalHanging12a"/>
        <w:rPr>
          <w:b/>
          <w:i/>
          <w:iCs/>
        </w:rPr>
      </w:pPr>
      <w:r w:rsidRPr="00F4194C">
        <w:rPr>
          <w:b/>
          <w:i/>
        </w:rPr>
        <w:t>Investigații privind platformele online și acțiuni ulterioare</w:t>
      </w:r>
    </w:p>
    <w:p w14:paraId="5EF4008D" w14:textId="77777777" w:rsidR="006841FF" w:rsidRPr="00F4194C" w:rsidRDefault="006841FF" w:rsidP="006841FF">
      <w:pPr>
        <w:pStyle w:val="NormalHanging12a"/>
      </w:pPr>
      <w:r w:rsidRPr="00F4194C">
        <w:t>11.</w:t>
      </w:r>
      <w:r w:rsidRPr="00F4194C">
        <w:tab/>
        <w:t>regretă progresul lent al investigațiilor inițiate de Comisie și de Rețeaua de cooperare pentru protecția consumatorilor în ceea ce privește presupusele încălcări de către platforme online din afara UE ale legislației UE privind siguranța produselor și protecția consumatorilor și în ceea ce privește platformele foarte mari, în special în temeiul Regulamentului privind serviciile digitale; regretă că procedurile de investigație se întind adesea pe mai multe luni sau chiar pe mai mulți ani, erodând astfel încrederea cetățenilor și afectând capacitatea legiuitorilor de a răspunde la riscurile online care apar rapid; subliniază necesitatea urgentă de a încheia aceste investigații și de a aborda motivele structurale ale acestei lentori dăunătoare; subliniază că, în practică, suspendarea operațiunilor platformelor, astfel cum se solicită în prezent în Franța, rămâne în mare măsură irealizabilă, chiar și în cazurile de neconformitate vădită și repetată; subliniază că sunt necesare acțiuni la nivelul UE pentru a asigura aplicarea consecventă a legislației, precum și pentru a preveni orice denaturare a pieței interne;</w:t>
      </w:r>
    </w:p>
    <w:p w14:paraId="51C5FD9C" w14:textId="77777777" w:rsidR="006841FF" w:rsidRPr="00F4194C" w:rsidRDefault="006841FF" w:rsidP="006841FF">
      <w:pPr>
        <w:pStyle w:val="NormalHanging12a"/>
      </w:pPr>
      <w:r w:rsidRPr="00F4194C">
        <w:t>12.</w:t>
      </w:r>
      <w:r w:rsidRPr="00F4194C">
        <w:tab/>
        <w:t>solicită, prin urmare, instrumente de punere în aplicare mai puternice, mai rapide și mai operaționale pentru a se garanta că normele UE pot fi aplicate în mod eficace în mediul digital; insistă ca punerea în aplicare a angajamentelor asumate de platformele online să facă obiectul unui control continuu și sistematic;</w:t>
      </w:r>
    </w:p>
    <w:p w14:paraId="339F2217" w14:textId="77777777" w:rsidR="006841FF" w:rsidRPr="00F4194C" w:rsidRDefault="006841FF" w:rsidP="006841FF">
      <w:pPr>
        <w:pStyle w:val="NormalHanging12a"/>
      </w:pPr>
      <w:r w:rsidRPr="00F4194C">
        <w:t>13.</w:t>
      </w:r>
      <w:r w:rsidRPr="00F4194C">
        <w:tab/>
        <w:t>subliniază că constatările recente privind SHEIN demonstrează mai degrabă deficiențe sistemice decât incidente izolate, care nu pot fi remediate doar prin retragerea produselor sau scuze publice;</w:t>
      </w:r>
    </w:p>
    <w:p w14:paraId="7AEB8CB7" w14:textId="77777777" w:rsidR="006841FF" w:rsidRPr="00F4194C" w:rsidRDefault="006841FF" w:rsidP="006841FF">
      <w:pPr>
        <w:pStyle w:val="NormalHanging12a"/>
      </w:pPr>
      <w:r w:rsidRPr="00F4194C">
        <w:t>14.</w:t>
      </w:r>
      <w:r w:rsidRPr="00F4194C">
        <w:tab/>
        <w:t xml:space="preserve">îndeamnă la activarea mai rapidă și mai ușoară a măsurilor provizorii în temeiul Regulamentului privind serviciile digitale și a altor măsuri în temeiul Regulamentului privind siguranța generală a produselor și al Regulamentului privind supravegherea pieței, inclusiv la suspendarea temporară a funcționării piețelor online în cazul unor încălcări repetate, grave sau sistemice ale dreptului UE, cum ar fi cazul SHEIN în Franța, pentru a se garanta că platformele neconforme nu se sustrag consecințelor; subliniază că suspendarea funcționării piețelor online nu ar mai trebui considerată o </w:t>
      </w:r>
      <w:r w:rsidRPr="00F4194C">
        <w:lastRenderedPageBreak/>
        <w:t>măsură excepțională, de ultimă instanță;</w:t>
      </w:r>
    </w:p>
    <w:p w14:paraId="398249CF" w14:textId="77777777" w:rsidR="006841FF" w:rsidRPr="00F4194C" w:rsidRDefault="006841FF" w:rsidP="006841FF">
      <w:pPr>
        <w:pStyle w:val="NormalHanging12a"/>
      </w:pPr>
      <w:r w:rsidRPr="00F4194C">
        <w:t>15.</w:t>
      </w:r>
      <w:r w:rsidRPr="00F4194C">
        <w:tab/>
        <w:t>evidențiază necesitatea de a aplica sancțiuni mai eficace în timp util, utilizând pe deplin toate instrumentele prevăzute în legislația UE; subliniază că aceste sancțiuni trebuie să fie suficient de disuasive pentru a garanta că platformele neconforme respectă pe deplin legislația UE;</w:t>
      </w:r>
    </w:p>
    <w:p w14:paraId="56565174" w14:textId="77777777" w:rsidR="006841FF" w:rsidRPr="00F4194C" w:rsidRDefault="006841FF" w:rsidP="006841FF">
      <w:pPr>
        <w:pStyle w:val="NormalHanging12a"/>
      </w:pPr>
      <w:r w:rsidRPr="00F4194C">
        <w:t>16.</w:t>
      </w:r>
      <w:r w:rsidRPr="00F4194C">
        <w:tab/>
        <w:t>observă că sistemul actual este mai degrabă reactiv decât preventiv, deoarece autoritățile intervin numai după ce produsele periculoase au fost vândute deja consumatorilor, în loc să prevină distribuția lor; reamintește că, în temeiul Regulamentului privind siguranța generală a produselor, piețele online trebuie să elimine oferta de produse periculoase în termen de două zile dacă au cunoștință de faptul că produsele respective sunt periculoase sau dacă trebuie să dea curs unui ordin de retragere a produselor emis de un organism guvernamental, sau în termen de trei zile dacă trebuie să se conformeze unei părți terțe recunoscute; subliniază, în plus, că furnizorii de piețe online sunt încurajați să verifice produsele pe portalul „</w:t>
      </w:r>
      <w:proofErr w:type="spellStart"/>
      <w:r w:rsidRPr="00F4194C">
        <w:t>Safety</w:t>
      </w:r>
      <w:proofErr w:type="spellEnd"/>
      <w:r w:rsidRPr="00F4194C">
        <w:t xml:space="preserve"> Gate” înainte de listarea acestora pe interfețele lor; evidențiază că eșantionarea și testarea aleatorii pot avea un efect disuasiv eficace numai atunci când sunt efectuate în mod sistematic și cu o frecvență suficientă;</w:t>
      </w:r>
    </w:p>
    <w:p w14:paraId="487FC561" w14:textId="77777777" w:rsidR="006841FF" w:rsidRPr="00F4194C" w:rsidRDefault="006841FF" w:rsidP="006841FF">
      <w:pPr>
        <w:pStyle w:val="NormalHanging12a"/>
      </w:pPr>
      <w:r w:rsidRPr="00F4194C">
        <w:t>17.</w:t>
      </w:r>
      <w:r w:rsidRPr="00F4194C">
        <w:tab/>
        <w:t xml:space="preserve">invită Comisia și autoritățile naționale competente să aplice cu strictețe Regulamentul privind serviciile digitale în raport cu responsabilitatea piețelor online, în special obligațiile lor legate de sistemele de recomandare, proiectarea interfețelor, dreptul la informare, respectarea normelor de „conformitate din momentul conceperii”, pentru a mări trasabilitatea în general și obligația de a-și cunoaște clientul comercial; subliniază că este necesară o rețea de notificatori de încredere, bazată pe Regulamentul privind serviciile digitale, pentru produsele ilegale și comerțul electronic, astfel încât să se asigure că platformele își onorează efectiv obligațiile; reamintește că SHEIN și alte platforme online, cum ar fi Temu și </w:t>
      </w:r>
      <w:proofErr w:type="spellStart"/>
      <w:r w:rsidRPr="00F4194C">
        <w:t>AliExpress</w:t>
      </w:r>
      <w:proofErr w:type="spellEnd"/>
      <w:r w:rsidRPr="00F4194C">
        <w:t>, au fost desemnate drept platforme online foarte mari și fac obiectul unor obligații sporite;</w:t>
      </w:r>
    </w:p>
    <w:p w14:paraId="68C3E5D7" w14:textId="635D5B10" w:rsidR="006841FF" w:rsidRPr="00F4194C" w:rsidRDefault="006841FF" w:rsidP="006841FF">
      <w:pPr>
        <w:pStyle w:val="NormalHanging12a"/>
      </w:pPr>
      <w:r w:rsidRPr="00F4194C">
        <w:t>18.</w:t>
      </w:r>
      <w:r w:rsidRPr="00F4194C">
        <w:tab/>
        <w:t>observă că Comisia examinează anumite piețe online din afara UE pentru utilizarea de către acestea a unor tehnici de manipulare, inclusiv a elementelor de design manipulator („</w:t>
      </w:r>
      <w:proofErr w:type="spellStart"/>
      <w:r w:rsidRPr="00F4194C">
        <w:rPr>
          <w:i/>
          <w:iCs/>
        </w:rPr>
        <w:t>dark</w:t>
      </w:r>
      <w:proofErr w:type="spellEnd"/>
      <w:r w:rsidRPr="00F4194C">
        <w:rPr>
          <w:i/>
          <w:iCs/>
        </w:rPr>
        <w:t xml:space="preserve"> </w:t>
      </w:r>
      <w:proofErr w:type="spellStart"/>
      <w:r w:rsidRPr="00F4194C">
        <w:rPr>
          <w:i/>
          <w:iCs/>
        </w:rPr>
        <w:t>patterns</w:t>
      </w:r>
      <w:proofErr w:type="spellEnd"/>
      <w:r w:rsidRPr="00F4194C">
        <w:t>”), a caracteristicilor de concepere pentru a crea dependență („</w:t>
      </w:r>
      <w:proofErr w:type="spellStart"/>
      <w:r w:rsidRPr="00F4194C">
        <w:rPr>
          <w:i/>
          <w:iCs/>
        </w:rPr>
        <w:t>addictive</w:t>
      </w:r>
      <w:proofErr w:type="spellEnd"/>
      <w:r w:rsidRPr="00F4194C">
        <w:rPr>
          <w:i/>
          <w:iCs/>
        </w:rPr>
        <w:t xml:space="preserve"> design</w:t>
      </w:r>
      <w:r w:rsidRPr="00F4194C">
        <w:t xml:space="preserve">”), a marketingului înșelător prin </w:t>
      </w:r>
      <w:proofErr w:type="spellStart"/>
      <w:r w:rsidRPr="00F4194C">
        <w:t>influenceri</w:t>
      </w:r>
      <w:proofErr w:type="spellEnd"/>
      <w:r w:rsidRPr="00F4194C">
        <w:t xml:space="preserve"> și a diseminării de recenzii online false sau înșelătoare; reamintește că verificarea gradului de adecvare a legislației din perspectiva echității digitale estimează pierderi ale consumatorilor de aproape 8 miliarde EUR în fiecare an din cauza practicilor comerciale neloiale și subliniază că aceste metode abuzive, care afectează în special utilizatorii vulnerabili și minorii, stimulează un comportament de cumpărare impulsiv și alimentează consumul </w:t>
      </w:r>
      <w:proofErr w:type="spellStart"/>
      <w:r w:rsidRPr="00F4194C">
        <w:t>nesustenabil</w:t>
      </w:r>
      <w:proofErr w:type="spellEnd"/>
      <w:r w:rsidRPr="00F4194C">
        <w:t>; îndeamnă Comisia să se asigure că viitorul act legislativ privind echitatea digitală abordează aceste practici prin eliminarea lacunelor de reglementare din legislația în vigoare;</w:t>
      </w:r>
    </w:p>
    <w:p w14:paraId="3E554D83" w14:textId="77777777" w:rsidR="006841FF" w:rsidRPr="00F4194C" w:rsidRDefault="006841FF" w:rsidP="006841FF">
      <w:pPr>
        <w:pStyle w:val="NormalHanging12a"/>
      </w:pPr>
      <w:r w:rsidRPr="00F4194C">
        <w:t>19.</w:t>
      </w:r>
      <w:r w:rsidRPr="00F4194C">
        <w:tab/>
        <w:t>solicită ca toți vânzătorii care își desfășoară activitatea pe piețele online să aibă obligația de a furniza o adresă de returnare și un punct de contact verificabile în cadrul UE, asigurându-se că consumatorii își pot exercita efectiv drepturile în temeiul legislației UE privind protecția consumatorilor, cum ar fi dreptul de a renunța la o achiziție atunci când cumpără online, precum și de a returna bunurile neconforme fără costuri suplimentare, și că autoritățile competente pot efectua inspecții în mod eficace; insistă asupra faptului că piețele online ar trebui să aibă responsabilitatea de a verifica aceste aspecte și că ar trebui să fie trase la răspundere dacă nu asigură respectarea lor;</w:t>
      </w:r>
    </w:p>
    <w:p w14:paraId="698B5D59" w14:textId="77777777" w:rsidR="006841FF" w:rsidRPr="00F4194C" w:rsidRDefault="006841FF" w:rsidP="006841FF">
      <w:pPr>
        <w:pStyle w:val="NormalHanging12a"/>
        <w:rPr>
          <w:b/>
          <w:i/>
          <w:iCs/>
        </w:rPr>
      </w:pPr>
      <w:r w:rsidRPr="00F4194C">
        <w:rPr>
          <w:b/>
          <w:i/>
        </w:rPr>
        <w:lastRenderedPageBreak/>
        <w:t>Nevoia de reformare a reglementărilor</w:t>
      </w:r>
    </w:p>
    <w:p w14:paraId="22891978" w14:textId="77777777" w:rsidR="006841FF" w:rsidRPr="00F4194C" w:rsidRDefault="006841FF" w:rsidP="006841FF">
      <w:pPr>
        <w:pStyle w:val="NormalHanging12a"/>
        <w:rPr>
          <w:bCs/>
        </w:rPr>
      </w:pPr>
      <w:r w:rsidRPr="00F4194C">
        <w:t>20.</w:t>
      </w:r>
      <w:r w:rsidRPr="00F4194C">
        <w:tab/>
        <w:t>îndeamnă Comisia să ia fără întârziere măsuri eficace împotriva produselor nesigure și ilegale de pe platformele online, inclusiv măsuri legislative în cazul în care au fost identificate în mod clar lacune juridice, pentru a asigura securitatea juridică și condiții de concurență echitabile pentru întreprinderile europene, punând un accent deosebit pe întreprinderile mici și mijlocii; subliniază că este necesar să se pună în aplicare cadrul de conformitate existent și să se evalueze aceste măsuri atunci când se ia în considerare o nouă legislație, inclusiv noi obligații pentru piețele online;</w:t>
      </w:r>
    </w:p>
    <w:p w14:paraId="00A2C6EC" w14:textId="77777777" w:rsidR="006841FF" w:rsidRPr="00F4194C" w:rsidRDefault="006841FF" w:rsidP="006841FF">
      <w:pPr>
        <w:pStyle w:val="NormalHanging12a"/>
      </w:pPr>
      <w:r w:rsidRPr="00F4194C">
        <w:t>21.</w:t>
      </w:r>
      <w:r w:rsidRPr="00F4194C">
        <w:tab/>
        <w:t>subliniază că informațiile aferente unui operator economic responsabil din UE, în temeiul Regulamentului privind siguranța generală a produselor, care acționează în numele unui comerciant sau al unei platforme din afara UE, sunt adesea greșite sau lipsesc; evidențiază, cu toate acestea, că, în cazul în care vânzătorii își au sediul în afara UE sau nu pot fi identificați și sunt utilizate adrese false pentru persoanele responsabile, nu există nicio entitate juridică responsabilă, iar autoritățile de supraveghere a pieței nu pot lua nicio măsură de asigurare a respectării legislației și consumatorii nu au acces la despăgubiri sau la căi de atac; constată că, chiar și atunci când aceste informații sunt disponibile, este posibil ca persoana responsabilă din UE să nu fie răspunzătoare;</w:t>
      </w:r>
    </w:p>
    <w:p w14:paraId="7FB5F34B" w14:textId="77777777" w:rsidR="006841FF" w:rsidRPr="00F4194C" w:rsidRDefault="006841FF" w:rsidP="006841FF">
      <w:pPr>
        <w:pStyle w:val="NormalHanging12a"/>
      </w:pPr>
      <w:r w:rsidRPr="00F4194C">
        <w:t>22.</w:t>
      </w:r>
      <w:r w:rsidRPr="00F4194C">
        <w:tab/>
        <w:t>consideră că, în toate cazurile, consumatorii trebuie să aibă acces la o cale de atac; subliniază, în acest sens, că, în cazul în care producătorul este stabilit în afara UE și niciun importator, reprezentant autorizat sau furnizor de servicii de logistică nu poate fi identificat, piețele online ar trebui să le ofere consumatorilor măsuri reparatorii adecvate și proporționale în cazul în care aceștia nu respectă Regulamentul privind serviciile digitale, în special articolele 30 și 31 sau articolul 22 din Regulamentul privind siguranța generală a produselor;</w:t>
      </w:r>
    </w:p>
    <w:p w14:paraId="024380DB" w14:textId="77777777" w:rsidR="006841FF" w:rsidRPr="00F4194C" w:rsidRDefault="006841FF" w:rsidP="006841FF">
      <w:pPr>
        <w:pStyle w:val="NormalHanging12a"/>
      </w:pPr>
      <w:r w:rsidRPr="00F4194C">
        <w:t>23.</w:t>
      </w:r>
      <w:r w:rsidRPr="00F4194C">
        <w:tab/>
        <w:t>ia act de intenția Comisiei de a revizui Regulamentul privind supravegherea pieței și subliniază că acest proces trebuie să permită o evaluare promptă și aprofundată a normelor actuale privind „persoana responsabilă pentru produsele introduse pe piața Uniunii”, în special a celor pentru comercianții din afara UE, pe baza rezultatelor raportului de evaluare a articolului 4 din Regulamentul privind supravegherea pieței; invită Comisia să accelereze evaluarea sa privind introducerea pentru comercianții din afara UE a unei cerințe obligatorii de a numi o persoană responsabilă în UE cu mai mare răspundere juridică și financiară;</w:t>
      </w:r>
    </w:p>
    <w:p w14:paraId="72B31345" w14:textId="77777777" w:rsidR="006841FF" w:rsidRPr="00F4194C" w:rsidRDefault="006841FF" w:rsidP="006841FF">
      <w:pPr>
        <w:pStyle w:val="NormalHanging12a"/>
      </w:pPr>
      <w:r w:rsidRPr="00F4194C">
        <w:t>24.</w:t>
      </w:r>
      <w:r w:rsidRPr="00F4194C">
        <w:tab/>
        <w:t>consideră că revizuirea Regulamentului privind supravegherea pieței oferă o oportunitate deosebită de a consolida cadrul de reglementare al UE prin diferențierea mai clară a responsabilităților platformelor care introduc produse pe piață de responsabilitățile platformelor ale căror activități se limitează la găzduirea de conținuturi ce nu includ produse, cum ar fi materiale video, imagini sau articole; reamintește că această diferențiere este deja inerentă în Regulamentul privind siguranța generală a produselor, Regulamentul privind supravegherea pieței și Codului vamal al Uniunii, care stabilesc dispoziții specifice pentru piețele online care vând produse; consideră, cu toate acestea, că trebuie consolidate responsabilitățile piețelor online care vând produse, pentru a proteja și mai mult consumatorii;</w:t>
      </w:r>
    </w:p>
    <w:p w14:paraId="5AF7235F" w14:textId="77777777" w:rsidR="006841FF" w:rsidRPr="00F4194C" w:rsidRDefault="006841FF" w:rsidP="006841FF">
      <w:pPr>
        <w:pStyle w:val="NormalHanging12a"/>
      </w:pPr>
      <w:r w:rsidRPr="00F4194C">
        <w:t>25.</w:t>
      </w:r>
      <w:r w:rsidRPr="00F4194C">
        <w:tab/>
        <w:t xml:space="preserve">îndeamnă Comisia să revizuiască fără întârziere și în mod cuprinzător Regulamentul </w:t>
      </w:r>
      <w:r w:rsidRPr="00F4194C">
        <w:lastRenderedPageBreak/>
        <w:t>privind cooperarea în materie de protecție a consumatorului</w:t>
      </w:r>
      <w:r w:rsidRPr="00F4194C">
        <w:rPr>
          <w:rStyle w:val="FootnoteReference"/>
        </w:rPr>
        <w:footnoteReference w:id="10"/>
      </w:r>
      <w:r w:rsidRPr="00F4194C">
        <w:t>, deoarece aceasta este o condiție prealabilă pentru o aplicare transfrontalieră solidă a normelor UE în materie de protecție a consumatorilor și pentru limitarea circulației bunurilor neconforme; insistă asupra faptului că revizuirea trebuie să introducă dispoziții concrete, care să consolideze capacitățile de asigurare a respectării legii în ceea ce privește comercianții și platformele din afara UE, asigurând, în același timp, o coordonare mai strânsă și un schimb structurat de informații între autoritățile UE și cele naționale și, după caz, cu organismele competente din țările din afara UE; subliniază necesitatea de a acorda Comisiei competențe directe de investigare și sancționare pentru încălcări grave și cu impact puternic ale legislației privind protecția consumatorilor, pentru a asigura o aplicare coerentă, simultană și disuasivă în întreaga UE;</w:t>
      </w:r>
    </w:p>
    <w:p w14:paraId="5614D43E" w14:textId="77777777" w:rsidR="006841FF" w:rsidRPr="00F4194C" w:rsidRDefault="006841FF" w:rsidP="006841FF">
      <w:pPr>
        <w:pStyle w:val="NormalHanging12a"/>
      </w:pPr>
      <w:r w:rsidRPr="00F4194C">
        <w:t>26.</w:t>
      </w:r>
      <w:r w:rsidRPr="00F4194C">
        <w:tab/>
        <w:t xml:space="preserve">consideră că operațiunile de tip „client misterios” desfășurate de autoritățile de supraveghere a pieței, astfel cum sunt descrise în comunicarea Comisiei privind comerțul electronic, constituie un mijloc esențial de evaluare a legalității și siguranței produselor oferite prin intermediul platformelor online; solicită ca aceste controale să fie extinse drastic și efectuate cu o mai mare regularitate pentru a asigura o aplicare eficace, împreună cu alte acțiuni coordonate de asigurare a respectării legii, cum ar fi acțiunile de verificare și evaluările inter </w:t>
      </w:r>
      <w:proofErr w:type="spellStart"/>
      <w:r w:rsidRPr="00F4194C">
        <w:t>pares</w:t>
      </w:r>
      <w:proofErr w:type="spellEnd"/>
      <w:r w:rsidRPr="00F4194C">
        <w:t>; reamintește că ar trebui utilizate mai sistematic măsurile corective prevăzute în Regulamentul privind siguranța generală a produselor care vizează neconformitatea repetată sau documentată anterior a produselor comparabile;</w:t>
      </w:r>
    </w:p>
    <w:p w14:paraId="781F3B77" w14:textId="77777777" w:rsidR="006841FF" w:rsidRPr="00F4194C" w:rsidRDefault="006841FF" w:rsidP="006841FF">
      <w:pPr>
        <w:pStyle w:val="NormalHanging12a"/>
      </w:pPr>
      <w:r w:rsidRPr="00F4194C">
        <w:t>27.</w:t>
      </w:r>
      <w:r w:rsidRPr="00F4194C">
        <w:tab/>
        <w:t>invită Comisia să evalueze fezabilitatea elaborării unor definiții clare și armonizate ale „modei de consum” și ale „modei de supraconsum” pentru a aborda riscurile specifice asociate acestor modele de afaceri, asigurând condiții de concurență echitabile pentru toți participanții la piață și prevenind fragmentarea reglementărilor în cadrul pieței interne; invită, de asemenea, Comisia să evalueze dispozițiile care ar asigura disponibilitatea unor instrumente pe deplin eficace pentru a aborda provocările reprezentate de proliferarea produselor de „supraconsum” și de slabă calitate, inclusiv proceduri mai solide de evaluare a conformității și instrumente îmbunătățite de asigurare a respectării legislației, pentru ca piața internă să garanteze cele mai înalte niveluri de protecție a consumatorilor, permițând în același timp dezvoltarea de produse și idei inovatoare și reducând orice sarcină administrativă inutilă pentru întreprinderile responsabile și produsele conforme;</w:t>
      </w:r>
    </w:p>
    <w:p w14:paraId="6139487A" w14:textId="77777777" w:rsidR="006841FF" w:rsidRPr="00F4194C" w:rsidRDefault="006841FF" w:rsidP="006841FF">
      <w:pPr>
        <w:pStyle w:val="NormalHanging12a"/>
      </w:pPr>
      <w:r w:rsidRPr="00F4194C">
        <w:t>28.</w:t>
      </w:r>
      <w:r w:rsidRPr="00F4194C">
        <w:tab/>
        <w:t xml:space="preserve">îndeamnă, de asemenea, statele membre să accelereze considerabil digitalizarea procedurilor de import în administrațiile vamale, cu sprijinul Platformei de date vamale a UE, pentru a asigura aplicarea efectivă a legislației în vigoare și pentru a accelera vămuirea, în special având în vedere creșterea exponențială a fluxurilor de colete; invită statele membre să mărească nivelul de automatizare a proceselor, ca, de exemplu, scanările automatizate ale etichetelor la procesarea coletelor în vamă; subliniază că utilizarea pe scară largă a pașaportului digital al produsului ar permite verificarea ex ante a conformității pentru toate produsele importate prin intermediul comerțului electronic, deoarece conține informații detaliate privind calitatea și conformitatea și ar fi </w:t>
      </w:r>
      <w:r w:rsidRPr="00F4194C">
        <w:lastRenderedPageBreak/>
        <w:t>integrat direct în Platforma de date vamale a UE; invită Comisia să atribuie, cât mai curând posibil, un pașaport digital al produsului tuturor bunurilor fizice introduse pe piața UE;</w:t>
      </w:r>
    </w:p>
    <w:p w14:paraId="6D9E6116" w14:textId="77777777" w:rsidR="006841FF" w:rsidRPr="00F4194C" w:rsidRDefault="006841FF" w:rsidP="006841FF">
      <w:pPr>
        <w:pStyle w:val="NormalHanging12a"/>
      </w:pPr>
      <w:r w:rsidRPr="00F4194C">
        <w:t>29.</w:t>
      </w:r>
      <w:r w:rsidRPr="00F4194C">
        <w:tab/>
        <w:t>îndeamnă statele membre să intensifice în mod semnificativ controalele vamale și să consolideze capacitățile de analiză a riscurilor, sprijinite în acest sens de sarcinile de gestionare a riscurilor îndeplinite de Comisie și de Autoritatea vamală a UE, care urmează să fie introduse în reforma Codului vamal al Uniunii, astfel încât mărfurile neconforme să fie detectate și interceptate rapid, limitând în acest fel prejudiciile aduse consumatorilor din UE și protejând interesele economice ale întreprinderilor din UE; subliniază necesitatea de a consolida capacitatea centrelor vamale, astfel încât acestea să poată gestiona în mod eficace volumul foarte mare de colete mici care scapă metodelor tradiționale de control, inclusiv prin implementarea unor tehnologii avansate de verificare, capabile să identifice transporturile suspecte la punctele de intrare; solicită verificări mai stricte ale conformității, completate de inspecții aleatorii, pentru transportul de mare tonaj;</w:t>
      </w:r>
    </w:p>
    <w:p w14:paraId="6FFF70FD" w14:textId="77777777" w:rsidR="006841FF" w:rsidRPr="00F4194C" w:rsidRDefault="006841FF" w:rsidP="006841FF">
      <w:pPr>
        <w:pStyle w:val="NormalHanging12a"/>
      </w:pPr>
      <w:r w:rsidRPr="00F4194C">
        <w:t>30.</w:t>
      </w:r>
      <w:r w:rsidRPr="00F4194C">
        <w:tab/>
        <w:t>subliniază că, având în vedere necesitatea urgentă de a întări controalele vamale, ar trebui devansat calendarul pentru punerea în aplicare a obligațiilor de bază prevăzut în revizuirea Codului vamal al Uniunii, în special crearea Platformei de date vamale a UE; îndeamnă Comisia să lanseze fără întârziere toate măsurile pregătitoare necesare pentru înființarea acesteia, asigurându-se că funcționalitățile de comerț electronic ale platformei sunt pe deplin operaționale înainte de obiectivul pentru 2026; salută acordul politic la care s-a ajuns în cadrul Consiliului de a elimina pragul de 150 EUR pentru scutirea de taxe vamale deoarece constituie o măsură esențială pentru a reduce abuzurile sistematice în cazul loturilor cu valoare scăzută;</w:t>
      </w:r>
    </w:p>
    <w:p w14:paraId="359E9E9C" w14:textId="77777777" w:rsidR="006841FF" w:rsidRPr="00F4194C" w:rsidRDefault="006841FF" w:rsidP="006841FF">
      <w:pPr>
        <w:pStyle w:val="NormalHanging12a"/>
      </w:pPr>
      <w:r w:rsidRPr="00F4194C">
        <w:t>31.</w:t>
      </w:r>
      <w:r w:rsidRPr="00F4194C">
        <w:tab/>
        <w:t>constată că, în unele cazuri, comercianții și platformele din afara UE aduc bunuri neconforme și uneori periculoase pe piața UE, fără a avea de suportat nicio consecință; indică faptul că reforma Codului vamal al Uniunii ar trebui să contribuie la eliminarea lacunelor în materie de răspundere pentru produsele neconforme care intră pe teritoriul vamal al UE;</w:t>
      </w:r>
    </w:p>
    <w:p w14:paraId="21379486" w14:textId="0F7B5DDE" w:rsidR="006841FF" w:rsidRPr="00F4194C" w:rsidRDefault="006841FF" w:rsidP="006841FF">
      <w:pPr>
        <w:pStyle w:val="NormalHanging12a"/>
      </w:pPr>
      <w:r w:rsidRPr="00F4194C">
        <w:t>32.</w:t>
      </w:r>
      <w:r w:rsidRPr="00F4194C">
        <w:tab/>
        <w:t xml:space="preserve">solicită autorităților de protecție a consumatorilor, organizațiilor, organismelor industriale și camerelor de comerț să intensifice eforturile comune de informare menite să le ofere consumatorilor orientări clare și accesibile cu privire la drepturile lor și la riscurile asociate achizițiilor online, în special de pe platforme din afara UE; solicită insistent ca aceste inițiative să evidențieze în mod vizibil căile de atac existente, inclusiv acțiunile colective în despăgubire, pentru a se asigura că consumatorii pot recurge în mod </w:t>
      </w:r>
      <w:r w:rsidR="00EC6067" w:rsidRPr="00F4194C">
        <w:t>efectiv</w:t>
      </w:r>
      <w:r w:rsidRPr="00F4194C">
        <w:t xml:space="preserve"> la căi de atac atunci când se confruntă cu produse nesigure sau ilegale;</w:t>
      </w:r>
    </w:p>
    <w:p w14:paraId="60BD1C39" w14:textId="77777777" w:rsidR="006841FF" w:rsidRPr="00F4194C" w:rsidRDefault="006841FF" w:rsidP="006841FF">
      <w:pPr>
        <w:pStyle w:val="NormalHanging12a"/>
        <w:jc w:val="center"/>
      </w:pPr>
      <w:r w:rsidRPr="00F4194C">
        <w:t>°</w:t>
      </w:r>
    </w:p>
    <w:p w14:paraId="51F095CA" w14:textId="77777777" w:rsidR="006841FF" w:rsidRPr="00F4194C" w:rsidRDefault="006841FF" w:rsidP="006841FF">
      <w:pPr>
        <w:pStyle w:val="NormalHanging12a"/>
        <w:jc w:val="center"/>
      </w:pPr>
      <w:r w:rsidRPr="00F4194C">
        <w:t>°</w:t>
      </w:r>
      <w:r w:rsidRPr="00F4194C">
        <w:tab/>
        <w:t>°</w:t>
      </w:r>
    </w:p>
    <w:p w14:paraId="02225B25" w14:textId="0B41C9F3" w:rsidR="001B4253" w:rsidRPr="00F4194C" w:rsidRDefault="006841FF" w:rsidP="001B4253">
      <w:pPr>
        <w:pStyle w:val="NormalHanging12a"/>
      </w:pPr>
      <w:r w:rsidRPr="00F4194C">
        <w:t>33.</w:t>
      </w:r>
      <w:r w:rsidR="00584A4E" w:rsidRPr="00F4194C">
        <w:tab/>
      </w:r>
      <w:r w:rsidRPr="00F4194C">
        <w:t>încredințează Președintei sarcina de a transmite prezenta rezoluție Consiliului și Comisiei.</w:t>
      </w:r>
    </w:p>
    <w:p w14:paraId="73FD2FE2" w14:textId="7CDF04BD" w:rsidR="00E365E1" w:rsidRPr="00F4194C" w:rsidRDefault="00E365E1" w:rsidP="00B71438"/>
    <w:sectPr w:rsidR="00E365E1" w:rsidRPr="00F4194C" w:rsidSect="001B42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FB060" w14:textId="77777777" w:rsidR="00B71438" w:rsidRPr="001B4253" w:rsidRDefault="00B71438">
      <w:r w:rsidRPr="001B4253">
        <w:separator/>
      </w:r>
    </w:p>
  </w:endnote>
  <w:endnote w:type="continuationSeparator" w:id="0">
    <w:p w14:paraId="2BF60EA5" w14:textId="77777777" w:rsidR="00B71438" w:rsidRPr="001B4253" w:rsidRDefault="00B71438">
      <w:r w:rsidRPr="001B42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B27B" w14:textId="77777777" w:rsidR="00064002" w:rsidRPr="001B42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D9545" w14:textId="77777777" w:rsidR="00064002" w:rsidRPr="001B42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F4B0" w14:textId="77777777" w:rsidR="00064002" w:rsidRPr="001B42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7358F" w14:textId="77777777" w:rsidR="00B71438" w:rsidRPr="001B4253" w:rsidRDefault="00B71438">
      <w:r w:rsidRPr="001B4253">
        <w:separator/>
      </w:r>
    </w:p>
  </w:footnote>
  <w:footnote w:type="continuationSeparator" w:id="0">
    <w:p w14:paraId="53509C31" w14:textId="77777777" w:rsidR="00B71438" w:rsidRPr="001B4253" w:rsidRDefault="00B71438">
      <w:r w:rsidRPr="001B4253">
        <w:continuationSeparator/>
      </w:r>
    </w:p>
  </w:footnote>
  <w:footnote w:id="1">
    <w:p w14:paraId="7A56F911" w14:textId="2E4FB9CB"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 xml:space="preserve">JO C, C/2025/1035, 27.2.2025, ELI: </w:t>
      </w:r>
      <w:hyperlink r:id="rId1" w:history="1">
        <w:r w:rsidRPr="001B4253">
          <w:rPr>
            <w:rStyle w:val="Hyperlink"/>
            <w:sz w:val="24"/>
            <w:lang w:val="ro-RO"/>
          </w:rPr>
          <w:t>http://data.europa.eu/eli/C/2025/1035/oj</w:t>
        </w:r>
      </w:hyperlink>
      <w:r w:rsidRPr="001B4253">
        <w:rPr>
          <w:sz w:val="24"/>
          <w:lang w:val="ro-RO"/>
        </w:rPr>
        <w:t>.</w:t>
      </w:r>
    </w:p>
  </w:footnote>
  <w:footnote w:id="2">
    <w:p w14:paraId="759DE906" w14:textId="25521DA6"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 xml:space="preserve">JO L, 2024/3015, 12.12.2024, ELI: </w:t>
      </w:r>
      <w:hyperlink r:id="rId2" w:history="1">
        <w:r w:rsidRPr="001B4253">
          <w:rPr>
            <w:rStyle w:val="Hyperlink"/>
            <w:sz w:val="24"/>
            <w:lang w:val="ro-RO"/>
          </w:rPr>
          <w:t>http://data.europa.eu/eli/reg/2024/3015/oj</w:t>
        </w:r>
      </w:hyperlink>
      <w:r w:rsidRPr="001B4253">
        <w:rPr>
          <w:sz w:val="24"/>
          <w:lang w:val="ro-RO"/>
        </w:rPr>
        <w:t>.</w:t>
      </w:r>
    </w:p>
  </w:footnote>
  <w:footnote w:id="3">
    <w:p w14:paraId="46018217" w14:textId="1EBB1158"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 xml:space="preserve">JO L, 2024/1760, 5.7.2024, ELI: </w:t>
      </w:r>
      <w:hyperlink r:id="rId3" w:history="1">
        <w:r w:rsidRPr="001B4253">
          <w:rPr>
            <w:rStyle w:val="Hyperlink"/>
            <w:sz w:val="24"/>
            <w:lang w:val="ro-RO"/>
          </w:rPr>
          <w:t>http://data.europa.eu/eli/dir/2024/1760/oj</w:t>
        </w:r>
      </w:hyperlink>
      <w:r w:rsidRPr="001B4253">
        <w:rPr>
          <w:sz w:val="24"/>
          <w:lang w:val="ro-RO"/>
        </w:rPr>
        <w:t>.</w:t>
      </w:r>
    </w:p>
  </w:footnote>
  <w:footnote w:id="4">
    <w:p w14:paraId="42E89063" w14:textId="382BA580"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proofErr w:type="spellStart"/>
      <w:r w:rsidRPr="001B4253">
        <w:rPr>
          <w:sz w:val="24"/>
          <w:lang w:val="ro-RO"/>
        </w:rPr>
        <w:t>Letta</w:t>
      </w:r>
      <w:proofErr w:type="spellEnd"/>
      <w:r w:rsidRPr="001B4253">
        <w:rPr>
          <w:sz w:val="24"/>
          <w:lang w:val="ro-RO"/>
        </w:rPr>
        <w:t>, E., „</w:t>
      </w:r>
      <w:proofErr w:type="spellStart"/>
      <w:r w:rsidRPr="001B4253">
        <w:fldChar w:fldCharType="begin"/>
      </w:r>
      <w:r w:rsidRPr="001B4253">
        <w:rPr>
          <w:sz w:val="24"/>
          <w:lang w:val="ro-RO"/>
        </w:rPr>
        <w:instrText>HYPERLINK "https://www.consilium.europa.eu/media/ny3j24sm/much-more-than-a-market-report-by-enrico-letta.pdf"</w:instrText>
      </w:r>
      <w:r w:rsidRPr="001B4253">
        <w:fldChar w:fldCharType="separate"/>
      </w:r>
      <w:r w:rsidRPr="001B4253">
        <w:rPr>
          <w:rStyle w:val="Hyperlink"/>
          <w:sz w:val="24"/>
          <w:lang w:val="ro-RO"/>
        </w:rPr>
        <w:t>Much</w:t>
      </w:r>
      <w:proofErr w:type="spellEnd"/>
      <w:r w:rsidRPr="001B4253">
        <w:rPr>
          <w:rStyle w:val="Hyperlink"/>
          <w:sz w:val="24"/>
          <w:lang w:val="ro-RO"/>
        </w:rPr>
        <w:t xml:space="preserve"> more </w:t>
      </w:r>
      <w:proofErr w:type="spellStart"/>
      <w:r w:rsidRPr="001B4253">
        <w:rPr>
          <w:rStyle w:val="Hyperlink"/>
          <w:sz w:val="24"/>
          <w:lang w:val="ro-RO"/>
        </w:rPr>
        <w:t>than</w:t>
      </w:r>
      <w:proofErr w:type="spellEnd"/>
      <w:r w:rsidRPr="001B4253">
        <w:rPr>
          <w:rStyle w:val="Hyperlink"/>
          <w:sz w:val="24"/>
          <w:lang w:val="ro-RO"/>
        </w:rPr>
        <w:t xml:space="preserve"> a market:</w:t>
      </w:r>
      <w:r w:rsidRPr="001B4253">
        <w:rPr>
          <w:rStyle w:val="Hyperlink"/>
          <w:sz w:val="24"/>
          <w:lang w:val="ro-RO"/>
        </w:rPr>
        <w:fldChar w:fldCharType="end"/>
      </w:r>
      <w:hyperlink r:id="rId4" w:history="1">
        <w:r w:rsidRPr="001B4253">
          <w:rPr>
            <w:rStyle w:val="Hyperlink"/>
            <w:sz w:val="24"/>
            <w:lang w:val="ro-RO"/>
          </w:rPr>
          <w:t xml:space="preserve"> </w:t>
        </w:r>
        <w:proofErr w:type="spellStart"/>
        <w:r w:rsidRPr="001B4253">
          <w:rPr>
            <w:rStyle w:val="Hyperlink"/>
            <w:sz w:val="24"/>
            <w:lang w:val="ro-RO"/>
          </w:rPr>
          <w:t>Speed</w:t>
        </w:r>
        <w:proofErr w:type="spellEnd"/>
        <w:r w:rsidRPr="001B4253">
          <w:rPr>
            <w:rStyle w:val="Hyperlink"/>
            <w:sz w:val="24"/>
            <w:lang w:val="ro-RO"/>
          </w:rPr>
          <w:t xml:space="preserve">, </w:t>
        </w:r>
        <w:proofErr w:type="spellStart"/>
        <w:r w:rsidRPr="001B4253">
          <w:rPr>
            <w:rStyle w:val="Hyperlink"/>
            <w:sz w:val="24"/>
            <w:lang w:val="ro-RO"/>
          </w:rPr>
          <w:t>Security</w:t>
        </w:r>
        <w:proofErr w:type="spellEnd"/>
        <w:r w:rsidRPr="001B4253">
          <w:rPr>
            <w:rStyle w:val="Hyperlink"/>
            <w:sz w:val="24"/>
            <w:lang w:val="ro-RO"/>
          </w:rPr>
          <w:t xml:space="preserve">, </w:t>
        </w:r>
        <w:proofErr w:type="spellStart"/>
        <w:r w:rsidRPr="001B4253">
          <w:rPr>
            <w:rStyle w:val="Hyperlink"/>
            <w:sz w:val="24"/>
            <w:lang w:val="ro-RO"/>
          </w:rPr>
          <w:t>Solidarity</w:t>
        </w:r>
        <w:proofErr w:type="spellEnd"/>
        <w:r w:rsidRPr="001B4253">
          <w:rPr>
            <w:rStyle w:val="Hyperlink"/>
            <w:sz w:val="24"/>
            <w:lang w:val="ro-RO"/>
          </w:rPr>
          <w:t xml:space="preserve"> – </w:t>
        </w:r>
        <w:proofErr w:type="spellStart"/>
        <w:r w:rsidRPr="001B4253">
          <w:rPr>
            <w:rStyle w:val="Hyperlink"/>
            <w:sz w:val="24"/>
            <w:lang w:val="ro-RO"/>
          </w:rPr>
          <w:t>Empowering</w:t>
        </w:r>
        <w:proofErr w:type="spellEnd"/>
        <w:r w:rsidRPr="001B4253">
          <w:rPr>
            <w:rStyle w:val="Hyperlink"/>
            <w:sz w:val="24"/>
            <w:lang w:val="ro-RO"/>
          </w:rPr>
          <w:t xml:space="preserve"> </w:t>
        </w:r>
        <w:proofErr w:type="spellStart"/>
        <w:r w:rsidRPr="001B4253">
          <w:rPr>
            <w:rStyle w:val="Hyperlink"/>
            <w:sz w:val="24"/>
            <w:lang w:val="ro-RO"/>
          </w:rPr>
          <w:t>the</w:t>
        </w:r>
        <w:proofErr w:type="spellEnd"/>
        <w:r w:rsidRPr="001B4253">
          <w:rPr>
            <w:rStyle w:val="Hyperlink"/>
            <w:sz w:val="24"/>
            <w:lang w:val="ro-RO"/>
          </w:rPr>
          <w:t xml:space="preserve"> Single Market </w:t>
        </w:r>
        <w:proofErr w:type="spellStart"/>
        <w:r w:rsidRPr="001B4253">
          <w:rPr>
            <w:rStyle w:val="Hyperlink"/>
            <w:sz w:val="24"/>
            <w:lang w:val="ro-RO"/>
          </w:rPr>
          <w:t>to</w:t>
        </w:r>
        <w:proofErr w:type="spellEnd"/>
        <w:r w:rsidRPr="001B4253">
          <w:rPr>
            <w:rStyle w:val="Hyperlink"/>
            <w:sz w:val="24"/>
            <w:lang w:val="ro-RO"/>
          </w:rPr>
          <w:t xml:space="preserve"> </w:t>
        </w:r>
        <w:proofErr w:type="spellStart"/>
        <w:r w:rsidRPr="001B4253">
          <w:rPr>
            <w:rStyle w:val="Hyperlink"/>
            <w:sz w:val="24"/>
            <w:lang w:val="ro-RO"/>
          </w:rPr>
          <w:t>deliver</w:t>
        </w:r>
        <w:proofErr w:type="spellEnd"/>
        <w:r w:rsidRPr="001B4253">
          <w:rPr>
            <w:rStyle w:val="Hyperlink"/>
            <w:sz w:val="24"/>
            <w:lang w:val="ro-RO"/>
          </w:rPr>
          <w:t xml:space="preserve"> a </w:t>
        </w:r>
        <w:proofErr w:type="spellStart"/>
        <w:r w:rsidRPr="001B4253">
          <w:rPr>
            <w:rStyle w:val="Hyperlink"/>
            <w:sz w:val="24"/>
            <w:lang w:val="ro-RO"/>
          </w:rPr>
          <w:t>sustainable</w:t>
        </w:r>
        <w:proofErr w:type="spellEnd"/>
        <w:r w:rsidRPr="001B4253">
          <w:rPr>
            <w:rStyle w:val="Hyperlink"/>
            <w:sz w:val="24"/>
            <w:lang w:val="ro-RO"/>
          </w:rPr>
          <w:t xml:space="preserve"> </w:t>
        </w:r>
        <w:proofErr w:type="spellStart"/>
        <w:r w:rsidRPr="001B4253">
          <w:rPr>
            <w:rStyle w:val="Hyperlink"/>
            <w:sz w:val="24"/>
            <w:lang w:val="ro-RO"/>
          </w:rPr>
          <w:t>future</w:t>
        </w:r>
        <w:proofErr w:type="spellEnd"/>
        <w:r w:rsidRPr="001B4253">
          <w:rPr>
            <w:rStyle w:val="Hyperlink"/>
            <w:sz w:val="24"/>
            <w:lang w:val="ro-RO"/>
          </w:rPr>
          <w:t xml:space="preserve"> </w:t>
        </w:r>
        <w:proofErr w:type="spellStart"/>
        <w:r w:rsidRPr="001B4253">
          <w:rPr>
            <w:rStyle w:val="Hyperlink"/>
            <w:sz w:val="24"/>
            <w:lang w:val="ro-RO"/>
          </w:rPr>
          <w:t>and</w:t>
        </w:r>
        <w:proofErr w:type="spellEnd"/>
        <w:r w:rsidRPr="001B4253">
          <w:rPr>
            <w:rStyle w:val="Hyperlink"/>
            <w:sz w:val="24"/>
            <w:lang w:val="ro-RO"/>
          </w:rPr>
          <w:t xml:space="preserve"> </w:t>
        </w:r>
        <w:proofErr w:type="spellStart"/>
        <w:r w:rsidRPr="001B4253">
          <w:rPr>
            <w:rStyle w:val="Hyperlink"/>
            <w:sz w:val="24"/>
            <w:lang w:val="ro-RO"/>
          </w:rPr>
          <w:t>prosperity</w:t>
        </w:r>
        <w:proofErr w:type="spellEnd"/>
        <w:r w:rsidRPr="001B4253">
          <w:rPr>
            <w:rStyle w:val="Hyperlink"/>
            <w:sz w:val="24"/>
            <w:lang w:val="ro-RO"/>
          </w:rPr>
          <w:t xml:space="preserve"> for </w:t>
        </w:r>
        <w:proofErr w:type="spellStart"/>
        <w:r w:rsidRPr="001B4253">
          <w:rPr>
            <w:rStyle w:val="Hyperlink"/>
            <w:sz w:val="24"/>
            <w:lang w:val="ro-RO"/>
          </w:rPr>
          <w:t>all</w:t>
        </w:r>
        <w:proofErr w:type="spellEnd"/>
        <w:r w:rsidRPr="001B4253">
          <w:rPr>
            <w:rStyle w:val="Hyperlink"/>
            <w:sz w:val="24"/>
            <w:lang w:val="ro-RO"/>
          </w:rPr>
          <w:t xml:space="preserve"> EU </w:t>
        </w:r>
        <w:proofErr w:type="spellStart"/>
        <w:r w:rsidRPr="001B4253">
          <w:rPr>
            <w:rStyle w:val="Hyperlink"/>
            <w:sz w:val="24"/>
            <w:lang w:val="ro-RO"/>
          </w:rPr>
          <w:t>Citizens</w:t>
        </w:r>
        <w:proofErr w:type="spellEnd"/>
      </w:hyperlink>
      <w:r w:rsidRPr="001B4253">
        <w:rPr>
          <w:sz w:val="24"/>
          <w:lang w:val="ro-RO"/>
        </w:rPr>
        <w:t>”, aprilie 2024.</w:t>
      </w:r>
    </w:p>
  </w:footnote>
  <w:footnote w:id="5">
    <w:p w14:paraId="6EF7EC3F" w14:textId="21703968"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 xml:space="preserve">JO L 277, 27.10.2022, p. </w:t>
      </w:r>
      <w:r w:rsidRPr="001B4253">
        <w:rPr>
          <w:sz w:val="24"/>
          <w:lang w:val="ro-RO"/>
        </w:rPr>
        <w:t>1, ELI: </w:t>
      </w:r>
      <w:hyperlink r:id="rId5" w:tooltip="Oferă acces la acest document prin identificatorul său uniform de resurse ELI." w:history="1">
        <w:r w:rsidRPr="001B4253">
          <w:rPr>
            <w:rStyle w:val="Hyperlink"/>
            <w:sz w:val="24"/>
            <w:lang w:val="ro-RO"/>
          </w:rPr>
          <w:t>http://data.europa.eu/eli/reg/2022/2065/oj</w:t>
        </w:r>
      </w:hyperlink>
      <w:r w:rsidRPr="001B4253">
        <w:rPr>
          <w:sz w:val="24"/>
          <w:lang w:val="ro-RO"/>
        </w:rPr>
        <w:t>.</w:t>
      </w:r>
    </w:p>
  </w:footnote>
  <w:footnote w:id="6">
    <w:p w14:paraId="382F1543" w14:textId="4A3F71D2"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 xml:space="preserve">JO L 265, 12.10.2022, p. </w:t>
      </w:r>
      <w:r w:rsidRPr="001B4253">
        <w:rPr>
          <w:sz w:val="24"/>
          <w:lang w:val="ro-RO"/>
        </w:rPr>
        <w:t>1, ELI: </w:t>
      </w:r>
      <w:hyperlink r:id="rId6" w:tooltip="Oferă acces la acest document prin identificatorul său uniform de resurse ELI." w:history="1">
        <w:r w:rsidRPr="001B4253">
          <w:rPr>
            <w:rStyle w:val="Hyperlink"/>
            <w:sz w:val="24"/>
            <w:lang w:val="ro-RO"/>
          </w:rPr>
          <w:t>http://data.europa.eu/eli/reg/2022/1925/oj</w:t>
        </w:r>
      </w:hyperlink>
      <w:r w:rsidRPr="001B4253">
        <w:rPr>
          <w:sz w:val="24"/>
          <w:lang w:val="ro-RO"/>
        </w:rPr>
        <w:t>.</w:t>
      </w:r>
    </w:p>
  </w:footnote>
  <w:footnote w:id="7">
    <w:p w14:paraId="014F863B" w14:textId="7E91924C"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 xml:space="preserve">JO L 135, 23.5.2023, p. </w:t>
      </w:r>
      <w:r w:rsidRPr="001B4253">
        <w:rPr>
          <w:sz w:val="24"/>
          <w:lang w:val="ro-RO"/>
        </w:rPr>
        <w:t>1, ELI: </w:t>
      </w:r>
      <w:hyperlink r:id="rId7" w:tooltip="Oferă acces la acest document prin identificatorul său uniform de resurse ELI." w:history="1">
        <w:r w:rsidRPr="001B4253">
          <w:rPr>
            <w:rStyle w:val="Hyperlink"/>
            <w:sz w:val="24"/>
            <w:lang w:val="ro-RO"/>
          </w:rPr>
          <w:t>http://data.europa.eu/eli/reg/2023/988/oj</w:t>
        </w:r>
      </w:hyperlink>
      <w:r w:rsidRPr="001B4253">
        <w:rPr>
          <w:sz w:val="24"/>
          <w:lang w:val="ro-RO"/>
        </w:rPr>
        <w:t>.</w:t>
      </w:r>
    </w:p>
  </w:footnote>
  <w:footnote w:id="8">
    <w:p w14:paraId="62DD4592" w14:textId="56D5AD12"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 xml:space="preserve">JO L 169, 25.6.2019, p. </w:t>
      </w:r>
      <w:r w:rsidRPr="001B4253">
        <w:rPr>
          <w:sz w:val="24"/>
          <w:lang w:val="ro-RO"/>
        </w:rPr>
        <w:t>1, ELI: </w:t>
      </w:r>
      <w:hyperlink r:id="rId8" w:tooltip="Oferă acces la acest document prin identificatorul său uniform de resurse ELI." w:history="1">
        <w:r w:rsidRPr="001B4253">
          <w:rPr>
            <w:rStyle w:val="Hyperlink"/>
            <w:sz w:val="24"/>
            <w:lang w:val="ro-RO"/>
          </w:rPr>
          <w:t>http://data.europa.eu/eli/reg/2019/1020/oj</w:t>
        </w:r>
      </w:hyperlink>
      <w:r w:rsidRPr="001B4253">
        <w:rPr>
          <w:sz w:val="24"/>
          <w:lang w:val="ro-RO"/>
        </w:rPr>
        <w:t>.</w:t>
      </w:r>
    </w:p>
  </w:footnote>
  <w:footnote w:id="9">
    <w:p w14:paraId="5DC2DE76" w14:textId="728F7DF1"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JO L, 2024/2853, 18.11.2024, ELI: </w:t>
      </w:r>
      <w:hyperlink r:id="rId9" w:tgtFrame="_blank" w:tooltip="Oferă acces la acest document prin identificatorul său uniform de resurse ELI." w:history="1">
        <w:r w:rsidRPr="001B4253">
          <w:rPr>
            <w:rStyle w:val="Hyperlink"/>
            <w:sz w:val="24"/>
            <w:lang w:val="ro-RO"/>
          </w:rPr>
          <w:t>http://data.europa.eu/eli/dir/2024/2853/o</w:t>
        </w:r>
      </w:hyperlink>
      <w:r w:rsidR="00584A4E">
        <w:rPr>
          <w:rStyle w:val="Hyperlink"/>
          <w:sz w:val="24"/>
          <w:lang w:val="ro-RO"/>
        </w:rPr>
        <w:t>j</w:t>
      </w:r>
      <w:r w:rsidRPr="001B4253">
        <w:rPr>
          <w:sz w:val="24"/>
          <w:lang w:val="ro-RO"/>
        </w:rPr>
        <w:t>.</w:t>
      </w:r>
    </w:p>
  </w:footnote>
  <w:footnote w:id="10">
    <w:p w14:paraId="17DD33CE" w14:textId="40C73667" w:rsidR="006841FF" w:rsidRPr="001B4253" w:rsidRDefault="006841FF" w:rsidP="001B4253">
      <w:pPr>
        <w:pStyle w:val="FootnoteText"/>
        <w:ind w:left="567" w:hanging="567"/>
        <w:rPr>
          <w:sz w:val="24"/>
          <w:lang w:val="ro-RO"/>
        </w:rPr>
      </w:pPr>
      <w:r w:rsidRPr="001B4253">
        <w:rPr>
          <w:rStyle w:val="FootnoteReference"/>
          <w:sz w:val="24"/>
          <w:lang w:val="ro-RO"/>
        </w:rPr>
        <w:footnoteRef/>
      </w:r>
      <w:r w:rsidR="001B4253" w:rsidRPr="001B4253">
        <w:rPr>
          <w:sz w:val="24"/>
          <w:lang w:val="ro-RO"/>
        </w:rPr>
        <w:t xml:space="preserve"> </w:t>
      </w:r>
      <w:r w:rsidR="001B4253" w:rsidRPr="001B4253">
        <w:rPr>
          <w:sz w:val="24"/>
          <w:lang w:val="ro-RO"/>
        </w:rPr>
        <w:tab/>
      </w:r>
      <w:r w:rsidRPr="001B4253">
        <w:rPr>
          <w:sz w:val="24"/>
          <w:lang w:val="ro-RO"/>
        </w:rPr>
        <w:t xml:space="preserve">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w:t>
      </w:r>
      <w:r w:rsidRPr="001B4253">
        <w:rPr>
          <w:sz w:val="24"/>
          <w:lang w:val="ro-RO"/>
        </w:rPr>
        <w:t>1, ELI:  </w:t>
      </w:r>
      <w:hyperlink r:id="rId10" w:tooltip="Oferă acces la acest document prin identificatorul său uniform de resurse ELI." w:history="1">
        <w:r w:rsidRPr="001B4253">
          <w:rPr>
            <w:rStyle w:val="Hyperlink"/>
            <w:sz w:val="24"/>
            <w:lang w:val="ro-RO"/>
          </w:rPr>
          <w:t>http://data.europa.eu/eli/reg/2017/2394/oj</w:t>
        </w:r>
      </w:hyperlink>
      <w:r w:rsidRPr="001B425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2D518" w14:textId="77777777" w:rsidR="00064002" w:rsidRPr="001B42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D514C" w14:textId="77777777" w:rsidR="00064002" w:rsidRPr="001B42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EC082" w14:textId="77777777" w:rsidR="00064002" w:rsidRPr="001B42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8277752">
    <w:abstractNumId w:val="9"/>
  </w:num>
  <w:num w:numId="2" w16cid:durableId="692730993">
    <w:abstractNumId w:val="9"/>
  </w:num>
  <w:num w:numId="3" w16cid:durableId="119304186">
    <w:abstractNumId w:val="7"/>
  </w:num>
  <w:num w:numId="4" w16cid:durableId="1041520905">
    <w:abstractNumId w:val="7"/>
  </w:num>
  <w:num w:numId="5" w16cid:durableId="634140040">
    <w:abstractNumId w:val="6"/>
  </w:num>
  <w:num w:numId="6" w16cid:durableId="320044623">
    <w:abstractNumId w:val="6"/>
  </w:num>
  <w:num w:numId="7" w16cid:durableId="1357659616">
    <w:abstractNumId w:val="5"/>
  </w:num>
  <w:num w:numId="8" w16cid:durableId="1988314937">
    <w:abstractNumId w:val="5"/>
  </w:num>
  <w:num w:numId="9" w16cid:durableId="1624657697">
    <w:abstractNumId w:val="4"/>
  </w:num>
  <w:num w:numId="10" w16cid:durableId="1236207832">
    <w:abstractNumId w:val="4"/>
  </w:num>
  <w:num w:numId="11" w16cid:durableId="956258436">
    <w:abstractNumId w:val="8"/>
  </w:num>
  <w:num w:numId="12" w16cid:durableId="1444422419">
    <w:abstractNumId w:val="8"/>
  </w:num>
  <w:num w:numId="13" w16cid:durableId="751005859">
    <w:abstractNumId w:val="3"/>
  </w:num>
  <w:num w:numId="14" w16cid:durableId="1836261127">
    <w:abstractNumId w:val="3"/>
  </w:num>
  <w:num w:numId="15" w16cid:durableId="1056274263">
    <w:abstractNumId w:val="2"/>
  </w:num>
  <w:num w:numId="16" w16cid:durableId="897860397">
    <w:abstractNumId w:val="2"/>
  </w:num>
  <w:num w:numId="17" w16cid:durableId="1325939102">
    <w:abstractNumId w:val="1"/>
  </w:num>
  <w:num w:numId="18" w16cid:durableId="1728920232">
    <w:abstractNumId w:val="1"/>
  </w:num>
  <w:num w:numId="19" w16cid:durableId="1436944049">
    <w:abstractNumId w:val="0"/>
  </w:num>
  <w:num w:numId="20" w16cid:durableId="1061909457">
    <w:abstractNumId w:val="0"/>
  </w:num>
  <w:num w:numId="21" w16cid:durableId="2113739197">
    <w:abstractNumId w:val="9"/>
  </w:num>
  <w:num w:numId="22" w16cid:durableId="1112820494">
    <w:abstractNumId w:val="7"/>
  </w:num>
  <w:num w:numId="23" w16cid:durableId="859469140">
    <w:abstractNumId w:val="6"/>
  </w:num>
  <w:num w:numId="24" w16cid:durableId="1944915431">
    <w:abstractNumId w:val="5"/>
  </w:num>
  <w:num w:numId="25" w16cid:durableId="154299407">
    <w:abstractNumId w:val="4"/>
  </w:num>
  <w:num w:numId="26" w16cid:durableId="1600406181">
    <w:abstractNumId w:val="8"/>
  </w:num>
  <w:num w:numId="27" w16cid:durableId="2020959788">
    <w:abstractNumId w:val="3"/>
  </w:num>
  <w:num w:numId="28" w16cid:durableId="1942907154">
    <w:abstractNumId w:val="2"/>
  </w:num>
  <w:num w:numId="29" w16cid:durableId="633217940">
    <w:abstractNumId w:val="1"/>
  </w:num>
  <w:num w:numId="30" w16cid:durableId="804323392">
    <w:abstractNumId w:val="0"/>
  </w:num>
  <w:num w:numId="31" w16cid:durableId="73011235">
    <w:abstractNumId w:val="9"/>
  </w:num>
  <w:num w:numId="32" w16cid:durableId="1105269010">
    <w:abstractNumId w:val="7"/>
  </w:num>
  <w:num w:numId="33" w16cid:durableId="892739688">
    <w:abstractNumId w:val="6"/>
  </w:num>
  <w:num w:numId="34" w16cid:durableId="491920028">
    <w:abstractNumId w:val="5"/>
  </w:num>
  <w:num w:numId="35" w16cid:durableId="1576932354">
    <w:abstractNumId w:val="4"/>
  </w:num>
  <w:num w:numId="36" w16cid:durableId="1744569426">
    <w:abstractNumId w:val="8"/>
  </w:num>
  <w:num w:numId="37" w16cid:durableId="1769543072">
    <w:abstractNumId w:val="3"/>
  </w:num>
  <w:num w:numId="38" w16cid:durableId="2100561043">
    <w:abstractNumId w:val="2"/>
  </w:num>
  <w:num w:numId="39" w16cid:durableId="1911964727">
    <w:abstractNumId w:val="1"/>
  </w:num>
  <w:num w:numId="40" w16cid:durableId="2082631346">
    <w:abstractNumId w:val="0"/>
  </w:num>
  <w:num w:numId="41" w16cid:durableId="2034726140">
    <w:abstractNumId w:val="10"/>
  </w:num>
  <w:num w:numId="42" w16cid:durableId="271086644">
    <w:abstractNumId w:val="10"/>
  </w:num>
  <w:num w:numId="43" w16cid:durableId="764307659">
    <w:abstractNumId w:val="10"/>
  </w:num>
  <w:num w:numId="44" w16cid:durableId="7880126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RO"/>
    <w:docVar w:name="dvnumam" w:val="0"/>
    <w:docVar w:name="dvpe" w:val="778.971"/>
    <w:docVar w:name="dvtitre" w:val="Rezoluția Parlamentului European din 26 noiembrie 2025 referitoare la protejarea consumatorilor din UE împotriva practicilor anumitor platforme de comerț electronic: cazul păpușilor sexuale cu înfățișare de copil, al armelor și al altor produse și materiale ilegale(2025/2971(RSP))"/>
  </w:docVars>
  <w:rsids>
    <w:rsidRoot w:val="00B71438"/>
    <w:rsid w:val="00002272"/>
    <w:rsid w:val="00064002"/>
    <w:rsid w:val="000677B9"/>
    <w:rsid w:val="000831BA"/>
    <w:rsid w:val="000A42CC"/>
    <w:rsid w:val="000E42B3"/>
    <w:rsid w:val="000E7DD9"/>
    <w:rsid w:val="0010095E"/>
    <w:rsid w:val="00125B37"/>
    <w:rsid w:val="00180A1B"/>
    <w:rsid w:val="00187494"/>
    <w:rsid w:val="001B4253"/>
    <w:rsid w:val="001F32AE"/>
    <w:rsid w:val="002767FF"/>
    <w:rsid w:val="002B18FE"/>
    <w:rsid w:val="002B5493"/>
    <w:rsid w:val="00343214"/>
    <w:rsid w:val="00361C00"/>
    <w:rsid w:val="00395FA1"/>
    <w:rsid w:val="003C662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9AF"/>
    <w:rsid w:val="00584A4E"/>
    <w:rsid w:val="005C2568"/>
    <w:rsid w:val="005F1B17"/>
    <w:rsid w:val="006037C0"/>
    <w:rsid w:val="006631B6"/>
    <w:rsid w:val="00680577"/>
    <w:rsid w:val="006841FF"/>
    <w:rsid w:val="006F74FA"/>
    <w:rsid w:val="00731ADD"/>
    <w:rsid w:val="00734777"/>
    <w:rsid w:val="00747932"/>
    <w:rsid w:val="00751A4A"/>
    <w:rsid w:val="00756632"/>
    <w:rsid w:val="00762C74"/>
    <w:rsid w:val="00786EC0"/>
    <w:rsid w:val="007D1690"/>
    <w:rsid w:val="007E22AD"/>
    <w:rsid w:val="00817416"/>
    <w:rsid w:val="00842779"/>
    <w:rsid w:val="00846EE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438"/>
    <w:rsid w:val="00BD48FE"/>
    <w:rsid w:val="00BD7BD8"/>
    <w:rsid w:val="00BE6ADC"/>
    <w:rsid w:val="00C05BFE"/>
    <w:rsid w:val="00C11234"/>
    <w:rsid w:val="00C23CD4"/>
    <w:rsid w:val="00C61C0C"/>
    <w:rsid w:val="00C941CB"/>
    <w:rsid w:val="00CB4CCD"/>
    <w:rsid w:val="00CC2357"/>
    <w:rsid w:val="00CF071A"/>
    <w:rsid w:val="00D058B8"/>
    <w:rsid w:val="00D56C11"/>
    <w:rsid w:val="00D834A0"/>
    <w:rsid w:val="00D872DF"/>
    <w:rsid w:val="00D91E21"/>
    <w:rsid w:val="00DA7FCD"/>
    <w:rsid w:val="00E365E1"/>
    <w:rsid w:val="00E820A4"/>
    <w:rsid w:val="00EB006A"/>
    <w:rsid w:val="00EB0E76"/>
    <w:rsid w:val="00EB4772"/>
    <w:rsid w:val="00EC6067"/>
    <w:rsid w:val="00ED169E"/>
    <w:rsid w:val="00ED4235"/>
    <w:rsid w:val="00F04346"/>
    <w:rsid w:val="00F075DC"/>
    <w:rsid w:val="00F149E9"/>
    <w:rsid w:val="00F4194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6C237"/>
  <w15:chartTrackingRefBased/>
  <w15:docId w15:val="{F0953DE6-852C-4D79-93E3-7CA746A77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41FF"/>
    <w:pPr>
      <w:spacing w:before="480" w:after="240"/>
    </w:pPr>
  </w:style>
  <w:style w:type="paragraph" w:customStyle="1" w:styleId="NormalHanging12a">
    <w:name w:val="NormalHanging12a"/>
    <w:basedOn w:val="Normal"/>
    <w:link w:val="NormalHanging12aChar"/>
    <w:rsid w:val="006841FF"/>
    <w:pPr>
      <w:spacing w:after="240"/>
      <w:ind w:left="567" w:hanging="567"/>
    </w:pPr>
  </w:style>
  <w:style w:type="character" w:styleId="Hyperlink">
    <w:name w:val="Hyperlink"/>
    <w:basedOn w:val="DefaultParagraphFont"/>
    <w:unhideWhenUsed/>
    <w:rsid w:val="006841FF"/>
    <w:rPr>
      <w:color w:val="0563C1" w:themeColor="hyperlink"/>
      <w:u w:val="single"/>
    </w:rPr>
  </w:style>
  <w:style w:type="character" w:customStyle="1" w:styleId="NormalHanging12aChar">
    <w:name w:val="NormalHanging12a Char"/>
    <w:basedOn w:val="DefaultParagraphFont"/>
    <w:link w:val="NormalHanging12a"/>
    <w:rsid w:val="006841FF"/>
    <w:rPr>
      <w:sz w:val="24"/>
      <w:lang w:val="ro-RO"/>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6841FF"/>
    <w:pPr>
      <w:widowControl/>
      <w:spacing w:after="160" w:line="240" w:lineRule="exact"/>
    </w:pPr>
    <w:rPr>
      <w:sz w:val="20"/>
      <w:vertAlign w:val="superscript"/>
      <w:lang w:val="en-GB"/>
    </w:rPr>
  </w:style>
  <w:style w:type="paragraph" w:styleId="Revision">
    <w:name w:val="Revision"/>
    <w:hidden/>
    <w:uiPriority w:val="99"/>
    <w:semiHidden/>
    <w:rsid w:val="00584A4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3/988/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4106</Words>
  <Characters>24420</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2025-11-26T14:17:00Z</dcterms:created>
  <dcterms:modified xsi:type="dcterms:W3CDTF">2025-11-26T14:17:00Z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B10-0500/2025</vt:lpwstr>
  </property>
  <property fmtid="{D5CDD505-2E9C-101B-9397-08002B2CF9AE}" pid="4" name="&lt;Type&gt;">
    <vt:lpwstr>RR</vt:lpwstr>
  </property>
</Properties>
</file>