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331F" w14:paraId="5AE252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B1456C" w14:textId="77777777" w:rsidR="00751A4A" w:rsidRPr="00DC331F" w:rsidRDefault="00936A86" w:rsidP="0010095E">
            <w:pPr>
              <w:pStyle w:val="EPName"/>
            </w:pPr>
            <w:r w:rsidRPr="00DC331F">
              <w:t xml:space="preserve">Parlamento </w:t>
            </w:r>
            <w:proofErr w:type="gramStart"/>
            <w:r w:rsidRPr="00DC331F">
              <w:t>Europeu</w:t>
            </w:r>
            <w:proofErr w:type="gramEnd"/>
          </w:p>
          <w:p w14:paraId="68C12C0E" w14:textId="77777777" w:rsidR="00751A4A" w:rsidRPr="00DC33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331F">
              <w:t>2024</w:t>
            </w:r>
            <w:r w:rsidR="00817416" w:rsidRPr="00DC331F">
              <w:t>-202</w:t>
            </w:r>
            <w:r w:rsidRPr="00DC331F">
              <w:t>9</w:t>
            </w:r>
          </w:p>
        </w:tc>
        <w:tc>
          <w:tcPr>
            <w:tcW w:w="2268" w:type="dxa"/>
            <w:shd w:val="clear" w:color="auto" w:fill="auto"/>
          </w:tcPr>
          <w:p w14:paraId="55C3FD89" w14:textId="77777777" w:rsidR="00751A4A" w:rsidRPr="00DC331F" w:rsidRDefault="00187494" w:rsidP="0010095E">
            <w:pPr>
              <w:pStyle w:val="EPLogo"/>
            </w:pPr>
            <w:r w:rsidRPr="00DC331F">
              <w:rPr>
                <w:noProof/>
                <w:lang w:eastAsia="ja-JP"/>
              </w:rPr>
              <w:drawing>
                <wp:inline distT="0" distB="0" distL="0" distR="0" wp14:anchorId="4D727B81" wp14:editId="3BF8DA8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85C6A3" w14:textId="77777777" w:rsidR="00D058B8" w:rsidRPr="00DC331F" w:rsidRDefault="00D058B8" w:rsidP="004C5D52">
      <w:pPr>
        <w:pStyle w:val="LineTop"/>
      </w:pPr>
    </w:p>
    <w:p w14:paraId="222225C5" w14:textId="77777777" w:rsidR="00680577" w:rsidRPr="00DC331F" w:rsidRDefault="00936A86" w:rsidP="00680577">
      <w:pPr>
        <w:pStyle w:val="EPBodyTA1"/>
      </w:pPr>
      <w:r w:rsidRPr="00DC331F">
        <w:t>TEXTOS APROVADOS</w:t>
      </w:r>
    </w:p>
    <w:p w14:paraId="130FC625" w14:textId="77777777" w:rsidR="00D058B8" w:rsidRPr="00DC331F" w:rsidRDefault="00D058B8" w:rsidP="00D058B8">
      <w:pPr>
        <w:pStyle w:val="LineBottom"/>
      </w:pPr>
    </w:p>
    <w:p w14:paraId="5F31292B" w14:textId="6F7FE7BF" w:rsidR="00936A86" w:rsidRPr="00DC331F" w:rsidRDefault="00936A86" w:rsidP="00936A86">
      <w:pPr>
        <w:pStyle w:val="ATHeading1"/>
      </w:pPr>
      <w:bookmarkStart w:id="0" w:name="TANumber"/>
      <w:r w:rsidRPr="00DC331F">
        <w:t>P10_</w:t>
      </w:r>
      <w:proofErr w:type="gramStart"/>
      <w:r w:rsidRPr="00DC331F">
        <w:t>TA(</w:t>
      </w:r>
      <w:proofErr w:type="gramEnd"/>
      <w:r w:rsidRPr="00DC331F">
        <w:t>2025)</w:t>
      </w:r>
      <w:bookmarkEnd w:id="0"/>
      <w:r w:rsidR="00DF5AE2" w:rsidRPr="00DC331F">
        <w:t>0302</w:t>
      </w:r>
    </w:p>
    <w:p w14:paraId="7C054B82" w14:textId="77777777" w:rsidR="00936A86" w:rsidRPr="00DC331F" w:rsidRDefault="00936A86" w:rsidP="00936A86">
      <w:pPr>
        <w:pStyle w:val="ATHeading2"/>
      </w:pPr>
      <w:bookmarkStart w:id="1" w:name="title"/>
      <w:r w:rsidRPr="00DC331F">
        <w:t xml:space="preserve">Massacres após as eleições e a deterioração da situação dos direitos humanos na Tanzânia, nomeadamente o caso de </w:t>
      </w:r>
      <w:proofErr w:type="spellStart"/>
      <w:r w:rsidRPr="00DC331F">
        <w:t>Tundu</w:t>
      </w:r>
      <w:proofErr w:type="spellEnd"/>
      <w:r w:rsidRPr="00DC331F">
        <w:t xml:space="preserve"> </w:t>
      </w:r>
      <w:proofErr w:type="spellStart"/>
      <w:r w:rsidRPr="00DC331F">
        <w:t>Lissu</w:t>
      </w:r>
      <w:proofErr w:type="spellEnd"/>
      <w:r w:rsidRPr="00DC331F">
        <w:t>, líder da oposição detido</w:t>
      </w:r>
      <w:bookmarkEnd w:id="1"/>
    </w:p>
    <w:p w14:paraId="722EA1DA" w14:textId="77777777" w:rsidR="00936A86" w:rsidRPr="00DC331F" w:rsidRDefault="00936A86" w:rsidP="00936A86">
      <w:pPr>
        <w:rPr>
          <w:i/>
          <w:vanish/>
        </w:rPr>
      </w:pPr>
      <w:r w:rsidRPr="00DC331F">
        <w:rPr>
          <w:i/>
        </w:rPr>
        <w:fldChar w:fldCharType="begin"/>
      </w:r>
      <w:r w:rsidRPr="00DC331F">
        <w:rPr>
          <w:i/>
        </w:rPr>
        <w:instrText xml:space="preserve"> TC"(</w:instrText>
      </w:r>
      <w:bookmarkStart w:id="2" w:name="DocNumber"/>
      <w:r w:rsidRPr="00DC331F">
        <w:rPr>
          <w:i/>
        </w:rPr>
        <w:instrText>B10-0514, 0515, 0524, 0530 e 0534/2025</w:instrText>
      </w:r>
      <w:bookmarkEnd w:id="2"/>
      <w:r w:rsidRPr="00DC331F">
        <w:rPr>
          <w:i/>
        </w:rPr>
        <w:instrText xml:space="preserve">)"\l3 \n&gt; \* MERGEFORMAT </w:instrText>
      </w:r>
      <w:r w:rsidRPr="00DC331F">
        <w:rPr>
          <w:i/>
        </w:rPr>
        <w:fldChar w:fldCharType="end"/>
      </w:r>
    </w:p>
    <w:p w14:paraId="02040A21" w14:textId="77777777" w:rsidR="00936A86" w:rsidRPr="00DC331F" w:rsidRDefault="00936A86" w:rsidP="00936A86">
      <w:pPr>
        <w:rPr>
          <w:vanish/>
        </w:rPr>
      </w:pPr>
      <w:bookmarkStart w:id="3" w:name="PE"/>
      <w:r w:rsidRPr="00DC331F">
        <w:rPr>
          <w:vanish/>
        </w:rPr>
        <w:t>PE778.987</w:t>
      </w:r>
      <w:bookmarkEnd w:id="3"/>
    </w:p>
    <w:p w14:paraId="17E95702" w14:textId="7801BE1D" w:rsidR="00936A86" w:rsidRPr="00DC331F" w:rsidRDefault="00936A86" w:rsidP="00936A86">
      <w:pPr>
        <w:pStyle w:val="ATHeading3"/>
      </w:pPr>
      <w:bookmarkStart w:id="4" w:name="Sujet"/>
      <w:r w:rsidRPr="00DC331F">
        <w:t xml:space="preserve">Resolução do Parlamento Europeu, de </w:t>
      </w:r>
      <w:r w:rsidR="00DF5AE2" w:rsidRPr="00DC331F">
        <w:t xml:space="preserve">27 </w:t>
      </w:r>
      <w:r w:rsidRPr="00DC331F">
        <w:t xml:space="preserve">de </w:t>
      </w:r>
      <w:r w:rsidR="00DF5AE2" w:rsidRPr="00DC331F">
        <w:t xml:space="preserve">novembro </w:t>
      </w:r>
      <w:r w:rsidRPr="00DC331F">
        <w:t xml:space="preserve">de 2025, sobre os assassínios após as eleições e a deterioração da situação dos direitos humanos na Tanzânia, incluindo o caso da detenção do líder da oposição, </w:t>
      </w:r>
      <w:proofErr w:type="spellStart"/>
      <w:r w:rsidRPr="00DC331F">
        <w:t>Tundu</w:t>
      </w:r>
      <w:proofErr w:type="spellEnd"/>
      <w:r w:rsidRPr="00DC331F">
        <w:t xml:space="preserve"> </w:t>
      </w:r>
      <w:proofErr w:type="spellStart"/>
      <w:r w:rsidRPr="00DC331F">
        <w:t>Lissu</w:t>
      </w:r>
      <w:bookmarkEnd w:id="4"/>
      <w:proofErr w:type="spellEnd"/>
      <w:r w:rsidRPr="00DC331F">
        <w:t xml:space="preserve"> </w:t>
      </w:r>
      <w:bookmarkStart w:id="5" w:name="References"/>
      <w:r w:rsidRPr="00DC331F">
        <w:t>(2025/2990(RSP))</w:t>
      </w:r>
      <w:bookmarkEnd w:id="5"/>
    </w:p>
    <w:p w14:paraId="3A809DB5" w14:textId="77777777" w:rsidR="007E3CDB" w:rsidRPr="00DC331F" w:rsidRDefault="007E3CDB" w:rsidP="007E3CDB">
      <w:pPr>
        <w:pStyle w:val="EPComma"/>
      </w:pPr>
      <w:bookmarkStart w:id="6" w:name="TextBodyBegin"/>
      <w:bookmarkEnd w:id="6"/>
      <w:r w:rsidRPr="00DC331F">
        <w:rPr>
          <w:i/>
        </w:rPr>
        <w:t>O Parlamento Europeu</w:t>
      </w:r>
      <w:r w:rsidRPr="00DC331F">
        <w:t>,</w:t>
      </w:r>
    </w:p>
    <w:p w14:paraId="732EF255" w14:textId="77777777" w:rsidR="007E3CDB" w:rsidRPr="00DC331F" w:rsidRDefault="007E3CDB" w:rsidP="007E3CDB">
      <w:pPr>
        <w:pStyle w:val="NormalHanging12a"/>
      </w:pPr>
      <w:r w:rsidRPr="00DC331F">
        <w:t>–</w:t>
      </w:r>
      <w:r w:rsidRPr="00DC331F">
        <w:tab/>
        <w:t>Tendo em conta o artigo 150.º, n.º 5, e o artigo 136.º, n.º 4, do seu Regimento,</w:t>
      </w:r>
    </w:p>
    <w:p w14:paraId="6B138EF4" w14:textId="7A8F7504" w:rsidR="007E3CDB" w:rsidRPr="00DC331F" w:rsidRDefault="007E3CDB" w:rsidP="007E3CDB">
      <w:pPr>
        <w:pStyle w:val="NormalHanging12a"/>
      </w:pPr>
      <w:r w:rsidRPr="00DC331F">
        <w:t>A.</w:t>
      </w:r>
      <w:r w:rsidRPr="00DC331F">
        <w:tab/>
        <w:t>Considerando que as eleições da Tanzânia de 29 de outubro de 2025 foram fortemente criticadas pelas missões regionais africanas de observação eleitoral, designadamente as da União Africana e da Comunidade de Desenvolvimento da África Austral (SADC)</w:t>
      </w:r>
      <w:r w:rsidR="00DF5AE2" w:rsidRPr="00DC331F">
        <w:t>; considerando que</w:t>
      </w:r>
      <w:r w:rsidRPr="00DC331F">
        <w:t xml:space="preserve"> a UE não foi convidada a enviar uma missão de observação eleitoral;</w:t>
      </w:r>
    </w:p>
    <w:p w14:paraId="68600C04" w14:textId="77777777" w:rsidR="007E3CDB" w:rsidRPr="00DC331F" w:rsidRDefault="007E3CDB" w:rsidP="007E3CDB">
      <w:pPr>
        <w:pStyle w:val="NormalHanging12a"/>
      </w:pPr>
      <w:r w:rsidRPr="00DC331F">
        <w:t>B.</w:t>
      </w:r>
      <w:r w:rsidRPr="00DC331F">
        <w:tab/>
        <w:t>Considerando que as eleições foram seguidas de protestos generalizados e de uma repressão violenta por parte das forças de segurança, envolvendo o uso ilegal e excessivo da força, o que resultou em mortes, ferimentos e detenções em massa;</w:t>
      </w:r>
    </w:p>
    <w:p w14:paraId="47B9EC84" w14:textId="77777777" w:rsidR="007E3CDB" w:rsidRPr="00DC331F" w:rsidRDefault="007E3CDB" w:rsidP="007E3CDB">
      <w:pPr>
        <w:pStyle w:val="NormalHanging12a"/>
      </w:pPr>
      <w:r w:rsidRPr="00DC331F">
        <w:t>C.</w:t>
      </w:r>
      <w:r w:rsidRPr="00DC331F">
        <w:tab/>
        <w:t>Considerando que as autoridades tanzanianas impuseram o recolher obrigatório e encerraram, a nível nacional, a Internet e as infraestruturas dos meios de comunicação social e das comunicações para bloquear o acesso à informação;</w:t>
      </w:r>
    </w:p>
    <w:p w14:paraId="42B34F7B" w14:textId="77777777" w:rsidR="007E3CDB" w:rsidRPr="00DC331F" w:rsidRDefault="007E3CDB" w:rsidP="007E3CDB">
      <w:pPr>
        <w:pStyle w:val="NormalHanging12a"/>
      </w:pPr>
      <w:r w:rsidRPr="00DC331F">
        <w:t>D.</w:t>
      </w:r>
      <w:r w:rsidRPr="00DC331F">
        <w:tab/>
        <w:t xml:space="preserve">Considerando que os líderes da oposição, </w:t>
      </w:r>
      <w:proofErr w:type="spellStart"/>
      <w:r w:rsidRPr="00DC331F">
        <w:t>Tundu</w:t>
      </w:r>
      <w:proofErr w:type="spellEnd"/>
      <w:r w:rsidRPr="00DC331F">
        <w:t xml:space="preserve"> </w:t>
      </w:r>
      <w:proofErr w:type="spellStart"/>
      <w:r w:rsidRPr="00DC331F">
        <w:t>Lissu</w:t>
      </w:r>
      <w:proofErr w:type="spellEnd"/>
      <w:r w:rsidRPr="00DC331F">
        <w:t xml:space="preserve"> e </w:t>
      </w:r>
      <w:proofErr w:type="spellStart"/>
      <w:r w:rsidRPr="00DC331F">
        <w:t>Luhaga</w:t>
      </w:r>
      <w:proofErr w:type="spellEnd"/>
      <w:r w:rsidRPr="00DC331F">
        <w:t xml:space="preserve"> </w:t>
      </w:r>
      <w:proofErr w:type="spellStart"/>
      <w:r w:rsidRPr="00DC331F">
        <w:t>Mpina</w:t>
      </w:r>
      <w:proofErr w:type="spellEnd"/>
      <w:r w:rsidRPr="00DC331F">
        <w:t>, foram impedidos de se candidatar às eleições;</w:t>
      </w:r>
    </w:p>
    <w:p w14:paraId="73FCFF1E" w14:textId="6C8905D3" w:rsidR="007E3CDB" w:rsidRPr="00DC331F" w:rsidRDefault="007E3CDB" w:rsidP="007E3CDB">
      <w:pPr>
        <w:pStyle w:val="NormalHanging12a"/>
      </w:pPr>
      <w:r w:rsidRPr="00DC331F">
        <w:t>E.</w:t>
      </w:r>
      <w:r w:rsidRPr="00DC331F">
        <w:tab/>
        <w:t xml:space="preserve">Considerando que </w:t>
      </w:r>
      <w:proofErr w:type="spellStart"/>
      <w:r w:rsidRPr="00DC331F">
        <w:t>Tundu</w:t>
      </w:r>
      <w:proofErr w:type="spellEnd"/>
      <w:r w:rsidRPr="00DC331F">
        <w:t xml:space="preserve"> </w:t>
      </w:r>
      <w:proofErr w:type="spellStart"/>
      <w:r w:rsidRPr="00DC331F">
        <w:t>Lissu</w:t>
      </w:r>
      <w:proofErr w:type="spellEnd"/>
      <w:r w:rsidRPr="00DC331F">
        <w:t xml:space="preserve"> foi detido em 9 de abril de 2025 e acusado de traição, um crime capital ao abrigo da legislação tanzaniana</w:t>
      </w:r>
      <w:r w:rsidR="00DF5AE2" w:rsidRPr="00DC331F">
        <w:t>; considerando que</w:t>
      </w:r>
      <w:r w:rsidRPr="00DC331F">
        <w:t xml:space="preserve"> o mesmo continua detido em condições que põem a sua vida em perigo;</w:t>
      </w:r>
    </w:p>
    <w:p w14:paraId="4BD40F25" w14:textId="77777777" w:rsidR="007E3CDB" w:rsidRPr="00DC331F" w:rsidRDefault="007E3CDB" w:rsidP="007E3CDB">
      <w:pPr>
        <w:pStyle w:val="NormalHanging12a"/>
      </w:pPr>
      <w:r w:rsidRPr="00DC331F">
        <w:t>F.</w:t>
      </w:r>
      <w:r w:rsidRPr="00DC331F">
        <w:tab/>
      </w:r>
      <w:bookmarkStart w:id="7" w:name="_Hlk215044847"/>
      <w:r w:rsidRPr="00DC331F">
        <w:t xml:space="preserve">Considerando que outros líderes e críticos da oposição foram arbitrariamente detidos ou perseguidos, numa sequência contínua de raptos e desaparecimentos, nomeadamente de Humphrey </w:t>
      </w:r>
      <w:proofErr w:type="spellStart"/>
      <w:r w:rsidRPr="00DC331F">
        <w:t>Polepole</w:t>
      </w:r>
      <w:proofErr w:type="spellEnd"/>
      <w:r w:rsidRPr="00DC331F">
        <w:t>, os quais foram denunciados por organizações de defesa dos direitos humanos;</w:t>
      </w:r>
      <w:bookmarkEnd w:id="7"/>
    </w:p>
    <w:p w14:paraId="2155D1FD" w14:textId="77777777" w:rsidR="007E3CDB" w:rsidRPr="00DC331F" w:rsidRDefault="007E3CDB" w:rsidP="007E3CDB">
      <w:pPr>
        <w:pStyle w:val="NormalHanging12a"/>
      </w:pPr>
      <w:r w:rsidRPr="00DC331F">
        <w:lastRenderedPageBreak/>
        <w:t>G.</w:t>
      </w:r>
      <w:r w:rsidRPr="00DC331F">
        <w:tab/>
        <w:t>Considerando que a deterioração da situação dos direitos humanos na Tanzânia e a redução do espaço cívico são contrárias aos valores fundamentais da UE e aos princípios subjacentes à sua ação externa;</w:t>
      </w:r>
    </w:p>
    <w:p w14:paraId="74659EB0" w14:textId="77777777" w:rsidR="007E3CDB" w:rsidRPr="00DC331F" w:rsidRDefault="007E3CDB" w:rsidP="007E3CDB">
      <w:pPr>
        <w:pStyle w:val="NormalHanging12a"/>
      </w:pPr>
      <w:r w:rsidRPr="00DC331F">
        <w:t>H.</w:t>
      </w:r>
      <w:r w:rsidRPr="00DC331F">
        <w:tab/>
        <w:t>Considerando que líderes cristãos e muçulmanos da Tanzânia condenaram o recurso à violência por parte do governo;</w:t>
      </w:r>
    </w:p>
    <w:p w14:paraId="7985C696" w14:textId="77777777" w:rsidR="007E3CDB" w:rsidRPr="00DC331F" w:rsidRDefault="007E3CDB" w:rsidP="007E3CDB">
      <w:pPr>
        <w:pStyle w:val="NormalHanging12a"/>
      </w:pPr>
      <w:r w:rsidRPr="00DC331F">
        <w:t>1.</w:t>
      </w:r>
      <w:r w:rsidRPr="00DC331F">
        <w:tab/>
        <w:t>Denuncia a violência e o uso excessivo da força pelas forças de segurança da Tanzânia na sequência das eleições de outubro de 2025, que resultaram em milhares de mortes, ferimentos e denúncias de valas comuns; condena o facto de o governo negar estes atos repreensíveis;</w:t>
      </w:r>
    </w:p>
    <w:p w14:paraId="1C20640D" w14:textId="77777777" w:rsidR="007E3CDB" w:rsidRPr="00DC331F" w:rsidRDefault="007E3CDB" w:rsidP="007E3CDB">
      <w:pPr>
        <w:pStyle w:val="NormalHanging12a"/>
      </w:pPr>
      <w:r w:rsidRPr="00DC331F">
        <w:t>2.</w:t>
      </w:r>
      <w:r w:rsidRPr="00DC331F">
        <w:tab/>
        <w:t>Insta o Governo da Tanzânia a pôr imediatamente termo à repressão e às detenções arbitrárias de membros da oposição, manifestantes, jornalistas e defensores dos direitos humanos, a libertar todas as pessoas detidas arbitrariamente e a levantar todas as restrições à Internet e aos meios de comunicação social;</w:t>
      </w:r>
    </w:p>
    <w:p w14:paraId="21AB0E6E" w14:textId="77777777" w:rsidR="007E3CDB" w:rsidRPr="00DC331F" w:rsidRDefault="007E3CDB" w:rsidP="007E3CDB">
      <w:pPr>
        <w:pStyle w:val="NormalHanging12a"/>
      </w:pPr>
      <w:r w:rsidRPr="00DC331F">
        <w:t>3.</w:t>
      </w:r>
      <w:r w:rsidRPr="00DC331F">
        <w:tab/>
        <w:t xml:space="preserve">Condena a detenção arbitrária e por motivos políticos do líder da oposição, </w:t>
      </w:r>
      <w:proofErr w:type="spellStart"/>
      <w:r w:rsidRPr="00DC331F">
        <w:t>Tundu</w:t>
      </w:r>
      <w:proofErr w:type="spellEnd"/>
      <w:r w:rsidRPr="00DC331F">
        <w:t xml:space="preserve"> </w:t>
      </w:r>
      <w:proofErr w:type="spellStart"/>
      <w:r w:rsidRPr="00DC331F">
        <w:t>Lissu</w:t>
      </w:r>
      <w:proofErr w:type="spellEnd"/>
      <w:r w:rsidRPr="00DC331F">
        <w:t>; solicita a sua libertação imediata e incondicional; manifesta profunda preocupação pelas terríveis condições em que se encontra detido; exige que lhe seja concedido acesso imediato e pleno à família, a advogados e a cuidados médicos;</w:t>
      </w:r>
    </w:p>
    <w:p w14:paraId="3A556548" w14:textId="77777777" w:rsidR="007E3CDB" w:rsidRPr="00DC331F" w:rsidRDefault="007E3CDB" w:rsidP="007E3CDB">
      <w:pPr>
        <w:pStyle w:val="NormalHanging12a"/>
      </w:pPr>
      <w:r w:rsidRPr="00DC331F">
        <w:t>4.</w:t>
      </w:r>
      <w:r w:rsidRPr="00DC331F">
        <w:tab/>
        <w:t>Apela a uma investigação rápida, exaustiva, independente e imparcial de todas as alegadas execuções, desaparecimentos forçados, tortura e outras violações; insiste em que tal seja realizado através de um mecanismo externo e credível, designadamente uma comissão de inquérito internacional, liderada pelos países africanos, a fim de assegurar a responsabilização;</w:t>
      </w:r>
    </w:p>
    <w:p w14:paraId="791B5465" w14:textId="77777777" w:rsidR="007E3CDB" w:rsidRPr="00DC331F" w:rsidRDefault="007E3CDB" w:rsidP="007E3CDB">
      <w:pPr>
        <w:pStyle w:val="NormalHanging12a"/>
      </w:pPr>
      <w:r w:rsidRPr="00DC331F">
        <w:t>5.</w:t>
      </w:r>
      <w:r w:rsidRPr="00DC331F">
        <w:tab/>
        <w:t>Destaca o pedido do Parlamento à Comissão para que esta suspenda o apoio direto às autoridades tanzanianas; solicita que a assistência da UE dê prioridade às organizações da sociedade civil, aos defensores dos direitos humanos e aos jornalistas; apela ao Conselho para que pondere a aplicação de sanções contra os responsáveis pelas violações;</w:t>
      </w:r>
    </w:p>
    <w:p w14:paraId="28818D58" w14:textId="77777777" w:rsidR="007E3CDB" w:rsidRPr="00DC331F" w:rsidRDefault="007E3CDB" w:rsidP="007E3CDB">
      <w:pPr>
        <w:pStyle w:val="NormalHanging12a"/>
      </w:pPr>
      <w:r w:rsidRPr="00DC331F">
        <w:t>6.</w:t>
      </w:r>
      <w:r w:rsidRPr="00DC331F">
        <w:tab/>
        <w:t>Encoraja vivamente a Tanzânia a abolir a pena de morte e a comutar todas as penas de morte;</w:t>
      </w:r>
    </w:p>
    <w:p w14:paraId="0D183D1E" w14:textId="77777777" w:rsidR="007E3CDB" w:rsidRPr="00DC331F" w:rsidRDefault="007E3CDB" w:rsidP="007E3CDB">
      <w:pPr>
        <w:pStyle w:val="NormalHanging12a"/>
      </w:pPr>
      <w:r w:rsidRPr="00DC331F">
        <w:t>7.</w:t>
      </w:r>
      <w:r w:rsidRPr="00DC331F">
        <w:tab/>
        <w:t>Considera que as recentes eleições não são livres nem justas;</w:t>
      </w:r>
    </w:p>
    <w:p w14:paraId="75ED5AB2" w14:textId="77777777" w:rsidR="007E3CDB" w:rsidRPr="00DC331F" w:rsidRDefault="007E3CDB" w:rsidP="007E3CDB">
      <w:pPr>
        <w:pStyle w:val="NormalHanging12a"/>
      </w:pPr>
      <w:r w:rsidRPr="00DC331F">
        <w:t>8.</w:t>
      </w:r>
      <w:r w:rsidRPr="00DC331F">
        <w:tab/>
        <w:t>Insta a Tanzânia a encetar um diálogo político inclusivo com a oposição, a sociedade civil e os representantes das vítimas, a fim de fazer face à crise e de permitir a realização de novas eleições, credíveis e transparentes;</w:t>
      </w:r>
    </w:p>
    <w:p w14:paraId="2DBD64B6" w14:textId="1D5BBC8F" w:rsidR="008444ED" w:rsidRPr="00DC331F" w:rsidRDefault="007E3CDB" w:rsidP="008444ED">
      <w:pPr>
        <w:pStyle w:val="NormalHanging12a"/>
      </w:pPr>
      <w:r w:rsidRPr="00DC331F">
        <w:t>9.</w:t>
      </w:r>
      <w:r w:rsidRPr="00DC331F">
        <w:tab/>
        <w:t>Encarrega a sua Presidente de transmitir a presente resolução ao Governo e ao Parlamento da Tanzânia, ao Conselho, à Comissão, à VP/AR, à União Africana, à Organização dos Estados de África, Caraíbas e Pacífico, à SADC e às Nações Unidas.</w:t>
      </w:r>
    </w:p>
    <w:p w14:paraId="162AEAEE" w14:textId="1292AEB7" w:rsidR="00E365E1" w:rsidRPr="00DC331F" w:rsidRDefault="00E365E1" w:rsidP="00936A86"/>
    <w:sectPr w:rsidR="00E365E1" w:rsidRPr="00DC331F" w:rsidSect="008444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C3C1F" w14:textId="77777777" w:rsidR="00936A86" w:rsidRPr="008444ED" w:rsidRDefault="00936A86">
      <w:r w:rsidRPr="008444ED">
        <w:separator/>
      </w:r>
    </w:p>
  </w:endnote>
  <w:endnote w:type="continuationSeparator" w:id="0">
    <w:p w14:paraId="0E360DDC" w14:textId="77777777" w:rsidR="00936A86" w:rsidRPr="008444ED" w:rsidRDefault="00936A86">
      <w:r w:rsidRPr="008444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C7DA9" w14:textId="77777777" w:rsidR="00064002" w:rsidRPr="008444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04649" w14:textId="77777777" w:rsidR="00064002" w:rsidRPr="008444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82B13" w14:textId="77777777" w:rsidR="00064002" w:rsidRPr="008444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723CA" w14:textId="77777777" w:rsidR="00936A86" w:rsidRPr="008444ED" w:rsidRDefault="00936A86">
      <w:r w:rsidRPr="008444ED">
        <w:separator/>
      </w:r>
    </w:p>
  </w:footnote>
  <w:footnote w:type="continuationSeparator" w:id="0">
    <w:p w14:paraId="11D1654E" w14:textId="77777777" w:rsidR="00936A86" w:rsidRPr="008444ED" w:rsidRDefault="00936A86">
      <w:r w:rsidRPr="008444E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7DB97" w14:textId="77777777" w:rsidR="00064002" w:rsidRPr="008444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53F99" w14:textId="77777777" w:rsidR="00064002" w:rsidRPr="008444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6F836" w14:textId="77777777" w:rsidR="00064002" w:rsidRPr="008444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70062386">
    <w:abstractNumId w:val="9"/>
  </w:num>
  <w:num w:numId="2" w16cid:durableId="1371996298">
    <w:abstractNumId w:val="9"/>
  </w:num>
  <w:num w:numId="3" w16cid:durableId="637682466">
    <w:abstractNumId w:val="7"/>
  </w:num>
  <w:num w:numId="4" w16cid:durableId="1332023368">
    <w:abstractNumId w:val="7"/>
  </w:num>
  <w:num w:numId="5" w16cid:durableId="290016397">
    <w:abstractNumId w:val="6"/>
  </w:num>
  <w:num w:numId="6" w16cid:durableId="196505115">
    <w:abstractNumId w:val="6"/>
  </w:num>
  <w:num w:numId="7" w16cid:durableId="891649831">
    <w:abstractNumId w:val="5"/>
  </w:num>
  <w:num w:numId="8" w16cid:durableId="46030589">
    <w:abstractNumId w:val="5"/>
  </w:num>
  <w:num w:numId="9" w16cid:durableId="698699463">
    <w:abstractNumId w:val="4"/>
  </w:num>
  <w:num w:numId="10" w16cid:durableId="744231191">
    <w:abstractNumId w:val="4"/>
  </w:num>
  <w:num w:numId="11" w16cid:durableId="1994797954">
    <w:abstractNumId w:val="8"/>
  </w:num>
  <w:num w:numId="12" w16cid:durableId="1383285023">
    <w:abstractNumId w:val="8"/>
  </w:num>
  <w:num w:numId="13" w16cid:durableId="2116092500">
    <w:abstractNumId w:val="3"/>
  </w:num>
  <w:num w:numId="14" w16cid:durableId="2144808155">
    <w:abstractNumId w:val="3"/>
  </w:num>
  <w:num w:numId="15" w16cid:durableId="1248076967">
    <w:abstractNumId w:val="2"/>
  </w:num>
  <w:num w:numId="16" w16cid:durableId="1258103237">
    <w:abstractNumId w:val="2"/>
  </w:num>
  <w:num w:numId="17" w16cid:durableId="1319727944">
    <w:abstractNumId w:val="1"/>
  </w:num>
  <w:num w:numId="18" w16cid:durableId="1147015869">
    <w:abstractNumId w:val="1"/>
  </w:num>
  <w:num w:numId="19" w16cid:durableId="1081178836">
    <w:abstractNumId w:val="0"/>
  </w:num>
  <w:num w:numId="20" w16cid:durableId="1628077646">
    <w:abstractNumId w:val="0"/>
  </w:num>
  <w:num w:numId="21" w16cid:durableId="204948409">
    <w:abstractNumId w:val="9"/>
  </w:num>
  <w:num w:numId="22" w16cid:durableId="1437601510">
    <w:abstractNumId w:val="7"/>
  </w:num>
  <w:num w:numId="23" w16cid:durableId="1656185046">
    <w:abstractNumId w:val="6"/>
  </w:num>
  <w:num w:numId="24" w16cid:durableId="962808534">
    <w:abstractNumId w:val="5"/>
  </w:num>
  <w:num w:numId="25" w16cid:durableId="667945380">
    <w:abstractNumId w:val="4"/>
  </w:num>
  <w:num w:numId="26" w16cid:durableId="945767630">
    <w:abstractNumId w:val="8"/>
  </w:num>
  <w:num w:numId="27" w16cid:durableId="948700033">
    <w:abstractNumId w:val="3"/>
  </w:num>
  <w:num w:numId="28" w16cid:durableId="926042588">
    <w:abstractNumId w:val="2"/>
  </w:num>
  <w:num w:numId="29" w16cid:durableId="515115096">
    <w:abstractNumId w:val="1"/>
  </w:num>
  <w:num w:numId="30" w16cid:durableId="168448671">
    <w:abstractNumId w:val="0"/>
  </w:num>
  <w:num w:numId="31" w16cid:durableId="1887721895">
    <w:abstractNumId w:val="9"/>
  </w:num>
  <w:num w:numId="32" w16cid:durableId="1354696711">
    <w:abstractNumId w:val="7"/>
  </w:num>
  <w:num w:numId="33" w16cid:durableId="1827285631">
    <w:abstractNumId w:val="6"/>
  </w:num>
  <w:num w:numId="34" w16cid:durableId="1023241553">
    <w:abstractNumId w:val="5"/>
  </w:num>
  <w:num w:numId="35" w16cid:durableId="2138641226">
    <w:abstractNumId w:val="4"/>
  </w:num>
  <w:num w:numId="36" w16cid:durableId="1612782953">
    <w:abstractNumId w:val="8"/>
  </w:num>
  <w:num w:numId="37" w16cid:durableId="1576158526">
    <w:abstractNumId w:val="3"/>
  </w:num>
  <w:num w:numId="38" w16cid:durableId="1248920337">
    <w:abstractNumId w:val="2"/>
  </w:num>
  <w:num w:numId="39" w16cid:durableId="396831105">
    <w:abstractNumId w:val="1"/>
  </w:num>
  <w:num w:numId="40" w16cid:durableId="759982277">
    <w:abstractNumId w:val="0"/>
  </w:num>
  <w:num w:numId="41" w16cid:durableId="1796407741">
    <w:abstractNumId w:val="10"/>
  </w:num>
  <w:num w:numId="42" w16cid:durableId="1636137402">
    <w:abstractNumId w:val="10"/>
  </w:num>
  <w:num w:numId="43" w16cid:durableId="1200707013">
    <w:abstractNumId w:val="10"/>
  </w:num>
  <w:num w:numId="44" w16cid:durableId="6018433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4, 0515, 0524, 0530 e 0534/2025"/>
    <w:docVar w:name="dvlangue" w:val="PT"/>
    <w:docVar w:name="dvnumam" w:val="0"/>
    <w:docVar w:name="dvpe" w:val="778.987"/>
    <w:docVar w:name="dvtitre" w:val="Resolução do Parlamento Europeu, de ... de ... de 2025,_x000d__x000a_ sobre os assassínios após as eleições e a deterioração da situação dos direitos humanos na Tanzânia, incluindo o caso da detenção do líder da oposição, Tundu Lissu(2025/2990(RSP))"/>
  </w:docVars>
  <w:rsids>
    <w:rsidRoot w:val="00936A8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CDB"/>
    <w:rsid w:val="00817416"/>
    <w:rsid w:val="00842779"/>
    <w:rsid w:val="008444ED"/>
    <w:rsid w:val="00865F67"/>
    <w:rsid w:val="00881A7B"/>
    <w:rsid w:val="008840E5"/>
    <w:rsid w:val="00887B3E"/>
    <w:rsid w:val="008C2AC6"/>
    <w:rsid w:val="00930C23"/>
    <w:rsid w:val="0093193B"/>
    <w:rsid w:val="00936A86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1D"/>
    <w:rsid w:val="00D834A0"/>
    <w:rsid w:val="00D872DF"/>
    <w:rsid w:val="00D91E21"/>
    <w:rsid w:val="00DA7FCD"/>
    <w:rsid w:val="00DC331F"/>
    <w:rsid w:val="00DF5AE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BF677"/>
  <w15:chartTrackingRefBased/>
  <w15:docId w15:val="{9260ECF1-181C-4B58-BEFC-AEA7C99CD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E3CDB"/>
    <w:pPr>
      <w:spacing w:after="240"/>
      <w:ind w:left="567" w:hanging="567"/>
    </w:pPr>
  </w:style>
  <w:style w:type="paragraph" w:customStyle="1" w:styleId="EPComma">
    <w:name w:val="EPComma"/>
    <w:basedOn w:val="Normal"/>
    <w:rsid w:val="007E3CD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E3CDB"/>
    <w:rPr>
      <w:sz w:val="24"/>
      <w:lang w:val="pt-PT"/>
    </w:rPr>
  </w:style>
  <w:style w:type="paragraph" w:styleId="Revision">
    <w:name w:val="Revision"/>
    <w:hidden/>
    <w:uiPriority w:val="99"/>
    <w:semiHidden/>
    <w:rsid w:val="00DF5AE2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716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2025-11-27T13:17:00Z</dcterms:created>
  <dcterms:modified xsi:type="dcterms:W3CDTF">2025-11-27T13:17:00Z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B10-0514, 0515, 0524, 0530 e 0534/2025</vt:lpwstr>
  </property>
  <property fmtid="{D5CDD505-2E9C-101B-9397-08002B2CF9AE}" pid="4" name="&lt;Type&gt;">
    <vt:lpwstr>RR</vt:lpwstr>
  </property>
</Properties>
</file>