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C463B6" w14:paraId="46F6F003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F48430E" w14:textId="77777777" w:rsidR="00751A4A" w:rsidRPr="00C463B6" w:rsidRDefault="00031740" w:rsidP="0010095E">
            <w:pPr>
              <w:pStyle w:val="EPName"/>
            </w:pPr>
            <w:r w:rsidRPr="00C463B6">
              <w:t>Parlamento Europeo</w:t>
            </w:r>
          </w:p>
          <w:p w14:paraId="424169EB" w14:textId="77777777" w:rsidR="00751A4A" w:rsidRPr="00C463B6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C463B6">
              <w:t>2024</w:t>
            </w:r>
            <w:r w:rsidR="00817416" w:rsidRPr="00C463B6">
              <w:t>-202</w:t>
            </w:r>
            <w:r w:rsidRPr="00C463B6">
              <w:t>9</w:t>
            </w:r>
          </w:p>
        </w:tc>
        <w:tc>
          <w:tcPr>
            <w:tcW w:w="2268" w:type="dxa"/>
            <w:shd w:val="clear" w:color="auto" w:fill="auto"/>
          </w:tcPr>
          <w:p w14:paraId="628943B2" w14:textId="77777777" w:rsidR="00751A4A" w:rsidRPr="00C463B6" w:rsidRDefault="00187494" w:rsidP="0010095E">
            <w:pPr>
              <w:pStyle w:val="EPLogo"/>
            </w:pPr>
            <w:r w:rsidRPr="00C463B6">
              <w:rPr>
                <w:noProof/>
                <w:lang w:eastAsia="ja-JP"/>
              </w:rPr>
              <w:drawing>
                <wp:inline distT="0" distB="0" distL="0" distR="0" wp14:anchorId="45B9B4B1" wp14:editId="0055BBD4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626F98" w14:textId="77777777" w:rsidR="00D058B8" w:rsidRPr="00C463B6" w:rsidRDefault="00D058B8" w:rsidP="004C5D52">
      <w:pPr>
        <w:pStyle w:val="LineTop"/>
      </w:pPr>
    </w:p>
    <w:p w14:paraId="7D5FDF26" w14:textId="77777777" w:rsidR="00680577" w:rsidRPr="00C463B6" w:rsidRDefault="00031740" w:rsidP="00680577">
      <w:pPr>
        <w:pStyle w:val="EPBodyTA1"/>
      </w:pPr>
      <w:r w:rsidRPr="00C463B6">
        <w:t>TEXTOS APROBADOS</w:t>
      </w:r>
    </w:p>
    <w:p w14:paraId="6200B934" w14:textId="77777777" w:rsidR="00D058B8" w:rsidRPr="00C463B6" w:rsidRDefault="00D058B8" w:rsidP="00D058B8">
      <w:pPr>
        <w:pStyle w:val="LineBottom"/>
      </w:pPr>
    </w:p>
    <w:p w14:paraId="50CDD83B" w14:textId="02A890B5" w:rsidR="00031740" w:rsidRPr="00C10F1A" w:rsidRDefault="00031740" w:rsidP="00031740">
      <w:pPr>
        <w:pStyle w:val="ATHeading1"/>
      </w:pPr>
      <w:bookmarkStart w:id="0" w:name="TANumber"/>
      <w:r w:rsidRPr="00C10F1A">
        <w:t>P10_</w:t>
      </w:r>
      <w:proofErr w:type="gramStart"/>
      <w:r w:rsidRPr="00C10F1A">
        <w:t>TA(</w:t>
      </w:r>
      <w:proofErr w:type="gramEnd"/>
      <w:r w:rsidRPr="00C10F1A">
        <w:t>2025)</w:t>
      </w:r>
      <w:bookmarkEnd w:id="0"/>
      <w:r w:rsidR="00C463B6" w:rsidRPr="00C10F1A">
        <w:t>0303</w:t>
      </w:r>
    </w:p>
    <w:p w14:paraId="03ED2F32" w14:textId="77777777" w:rsidR="00031740" w:rsidRPr="00C10F1A" w:rsidRDefault="00031740" w:rsidP="00031740">
      <w:pPr>
        <w:pStyle w:val="ATHeading2"/>
      </w:pPr>
      <w:bookmarkStart w:id="1" w:name="title"/>
      <w:r w:rsidRPr="00C10F1A">
        <w:t>Escalada de la represión contra los bahaíes en Irán</w:t>
      </w:r>
      <w:bookmarkEnd w:id="1"/>
    </w:p>
    <w:p w14:paraId="3D3849E3" w14:textId="77777777" w:rsidR="00031740" w:rsidRPr="00C463B6" w:rsidRDefault="00031740" w:rsidP="00031740">
      <w:pPr>
        <w:rPr>
          <w:i/>
          <w:vanish/>
        </w:rPr>
      </w:pPr>
      <w:r w:rsidRPr="00C463B6">
        <w:rPr>
          <w:i/>
        </w:rPr>
        <w:fldChar w:fldCharType="begin"/>
      </w:r>
      <w:r w:rsidRPr="00C463B6">
        <w:rPr>
          <w:i/>
        </w:rPr>
        <w:instrText xml:space="preserve"> TC"(</w:instrText>
      </w:r>
      <w:bookmarkStart w:id="2" w:name="DocNumber"/>
      <w:r w:rsidRPr="00C463B6">
        <w:rPr>
          <w:i/>
        </w:rPr>
        <w:instrText>B10-0528, 0529, 0531, 0535 y 0541/2025</w:instrText>
      </w:r>
      <w:bookmarkEnd w:id="2"/>
      <w:r w:rsidRPr="00C463B6">
        <w:rPr>
          <w:i/>
        </w:rPr>
        <w:instrText xml:space="preserve">)"\l3 \n&gt; \* MERGEFORMAT </w:instrText>
      </w:r>
      <w:r w:rsidRPr="00C463B6">
        <w:rPr>
          <w:i/>
        </w:rPr>
        <w:fldChar w:fldCharType="end"/>
      </w:r>
    </w:p>
    <w:p w14:paraId="33775033" w14:textId="77777777" w:rsidR="00031740" w:rsidRPr="00C463B6" w:rsidRDefault="00031740" w:rsidP="00031740">
      <w:pPr>
        <w:rPr>
          <w:vanish/>
        </w:rPr>
      </w:pPr>
      <w:bookmarkStart w:id="3" w:name="PE"/>
      <w:r w:rsidRPr="00C463B6">
        <w:rPr>
          <w:vanish/>
        </w:rPr>
        <w:t>PE779.001</w:t>
      </w:r>
      <w:bookmarkEnd w:id="3"/>
    </w:p>
    <w:p w14:paraId="034C79FD" w14:textId="77777777" w:rsidR="00031740" w:rsidRPr="00C10F1A" w:rsidRDefault="00031740" w:rsidP="00031740">
      <w:pPr>
        <w:pStyle w:val="ATHeading3"/>
      </w:pPr>
      <w:bookmarkStart w:id="4" w:name="Sujet"/>
      <w:r w:rsidRPr="00C10F1A">
        <w:t>Resolución del Parlamento Europeo, de 27 de noviembre de 2025, sobre la escalada de la represión contra los bahaíes en Irán</w:t>
      </w:r>
      <w:bookmarkEnd w:id="4"/>
      <w:r w:rsidRPr="00C10F1A">
        <w:t xml:space="preserve"> </w:t>
      </w:r>
      <w:bookmarkStart w:id="5" w:name="References"/>
      <w:r w:rsidRPr="00C10F1A">
        <w:t>(2025/2987(RSP))</w:t>
      </w:r>
      <w:bookmarkEnd w:id="5"/>
    </w:p>
    <w:p w14:paraId="528131C1" w14:textId="77777777" w:rsidR="00015897" w:rsidRPr="00C463B6" w:rsidRDefault="00015897" w:rsidP="00015897">
      <w:pPr>
        <w:pStyle w:val="EPComma"/>
        <w:widowControl/>
      </w:pPr>
      <w:bookmarkStart w:id="6" w:name="TextBodyBegin"/>
      <w:bookmarkEnd w:id="6"/>
      <w:r w:rsidRPr="00C463B6">
        <w:rPr>
          <w:i/>
          <w:iCs/>
        </w:rPr>
        <w:t>El Parlamento Europeo</w:t>
      </w:r>
      <w:r w:rsidRPr="00C463B6">
        <w:t>,</w:t>
      </w:r>
    </w:p>
    <w:p w14:paraId="415E9C78" w14:textId="77777777" w:rsidR="00015897" w:rsidRPr="00C463B6" w:rsidRDefault="00015897" w:rsidP="00015897">
      <w:pPr>
        <w:pStyle w:val="NormalHanging12a"/>
        <w:widowControl/>
        <w:rPr>
          <w:rFonts w:eastAsiaTheme="minorEastAsia"/>
        </w:rPr>
      </w:pPr>
      <w:r w:rsidRPr="00C463B6">
        <w:t>–</w:t>
      </w:r>
      <w:r w:rsidRPr="00C463B6">
        <w:tab/>
        <w:t>Vistas sus anteriores Resoluciones sobre Irán,</w:t>
      </w:r>
    </w:p>
    <w:p w14:paraId="65A57BE3" w14:textId="77777777" w:rsidR="00015897" w:rsidRPr="00C463B6" w:rsidRDefault="00015897" w:rsidP="00015897">
      <w:pPr>
        <w:pStyle w:val="NormalHanging12a"/>
        <w:widowControl/>
      </w:pPr>
      <w:r w:rsidRPr="00C463B6">
        <w:t>–</w:t>
      </w:r>
      <w:r w:rsidRPr="00C463B6">
        <w:tab/>
        <w:t>Vistos el artículo 150, apartado 5, y el artículo 136, apartado 4, de su Reglamento interno,</w:t>
      </w:r>
    </w:p>
    <w:p w14:paraId="188E9A92" w14:textId="77777777" w:rsidR="00015897" w:rsidRPr="00C463B6" w:rsidRDefault="00015897" w:rsidP="00015897">
      <w:pPr>
        <w:pStyle w:val="NormalHanging12a"/>
        <w:widowControl/>
      </w:pPr>
      <w:r w:rsidRPr="00C463B6">
        <w:t>A.</w:t>
      </w:r>
      <w:r w:rsidRPr="00C463B6">
        <w:tab/>
        <w:t>Considerando que la comunidad bahaí, compuesta por 300 000 miembros y carente de reconocimiento constitucional, se enfrenta a una persecución sistemática en virtud del memorando iraní de 1991, que incluye detenciones y encarcelamientos arbitrarios, desapariciones forzadas, denegación de enterramiento digno, confiscación de propiedades, denegación de educación y empleo e incitación al odio por parte de medios de comunicación controlados por el Estado;</w:t>
      </w:r>
    </w:p>
    <w:p w14:paraId="31CC841E" w14:textId="77777777" w:rsidR="00015897" w:rsidRPr="00C463B6" w:rsidRDefault="00015897" w:rsidP="00015897">
      <w:pPr>
        <w:pStyle w:val="NormalHanging12a"/>
        <w:widowControl/>
      </w:pPr>
      <w:r w:rsidRPr="00C463B6">
        <w:t>B.</w:t>
      </w:r>
      <w:r w:rsidRPr="00C463B6">
        <w:tab/>
        <w:t>Considerando que las autoridades iraníes han intensificado continuamente la represión contra la comunidad bahaí mediante detenciones masivas, juicios acelerados y acusaciones falsas de espionaje y colaboración con entidades extranjeras;</w:t>
      </w:r>
    </w:p>
    <w:p w14:paraId="0DF54BC4" w14:textId="77777777" w:rsidR="00015897" w:rsidRPr="00C463B6" w:rsidRDefault="00015897" w:rsidP="00015897">
      <w:pPr>
        <w:pStyle w:val="NormalHanging12a"/>
        <w:widowControl/>
      </w:pPr>
      <w:r w:rsidRPr="00C463B6">
        <w:t>C.</w:t>
      </w:r>
      <w:r w:rsidRPr="00C463B6">
        <w:tab/>
        <w:t xml:space="preserve">Considerando que, en 2024, aproximadamente 1 200 bahaíes se enfrentaron a procedimientos judiciales o encarcelamientos, siendo dos tercios de las personas detenidas mujeres, y que dieciséis mujeres en </w:t>
      </w:r>
      <w:proofErr w:type="spellStart"/>
      <w:r w:rsidRPr="00C463B6">
        <w:t>Hamadán</w:t>
      </w:r>
      <w:proofErr w:type="spellEnd"/>
      <w:r w:rsidRPr="00C463B6">
        <w:t xml:space="preserve"> e Isfahán fueron condenadas a un total de 129 años y sometidas a torturas y a graves violaciones de las garantías procesales;</w:t>
      </w:r>
    </w:p>
    <w:p w14:paraId="16686204" w14:textId="77777777" w:rsidR="00015897" w:rsidRPr="00C463B6" w:rsidRDefault="00015897" w:rsidP="00015897">
      <w:pPr>
        <w:pStyle w:val="NormalHanging12a"/>
        <w:widowControl/>
      </w:pPr>
      <w:r w:rsidRPr="00C463B6">
        <w:t>D.</w:t>
      </w:r>
      <w:r w:rsidRPr="00C463B6">
        <w:tab/>
        <w:t xml:space="preserve">Considerando que las autoridades han profanado cementerios bahaíes, también en Teherán, Ahvaz, </w:t>
      </w:r>
      <w:proofErr w:type="spellStart"/>
      <w:r w:rsidRPr="00C463B6">
        <w:t>Rafsanjan</w:t>
      </w:r>
      <w:proofErr w:type="spellEnd"/>
      <w:r w:rsidRPr="00C463B6">
        <w:t xml:space="preserve">, </w:t>
      </w:r>
      <w:proofErr w:type="spellStart"/>
      <w:r w:rsidRPr="00C463B6">
        <w:t>Kermán</w:t>
      </w:r>
      <w:proofErr w:type="spellEnd"/>
      <w:r w:rsidRPr="00C463B6">
        <w:t xml:space="preserve"> y </w:t>
      </w:r>
      <w:proofErr w:type="spellStart"/>
      <w:r w:rsidRPr="00C463B6">
        <w:t>Hamadán</w:t>
      </w:r>
      <w:proofErr w:type="spellEnd"/>
      <w:r w:rsidRPr="00C463B6">
        <w:t>;</w:t>
      </w:r>
    </w:p>
    <w:p w14:paraId="3D84F5B1" w14:textId="77777777" w:rsidR="00015897" w:rsidRPr="00C463B6" w:rsidRDefault="00015897" w:rsidP="00015897">
      <w:pPr>
        <w:pStyle w:val="NormalHanging12a"/>
        <w:widowControl/>
      </w:pPr>
      <w:r w:rsidRPr="00C463B6">
        <w:t>1.</w:t>
      </w:r>
      <w:r w:rsidRPr="00C463B6">
        <w:tab/>
        <w:t>Condena enérgicamente la persecución creciente de la comunidad bahaí y la supresión sistémica de todas las minorías religiosas y étnicas y de las mujeres; pide a Irán que ponga fin de inmediato a toda discriminación, acoso, detención, confiscación de bienes y violación de los derechos fundamentales;</w:t>
      </w:r>
    </w:p>
    <w:p w14:paraId="30D250A8" w14:textId="77777777" w:rsidR="00015897" w:rsidRPr="00C463B6" w:rsidRDefault="00015897" w:rsidP="00015897">
      <w:pPr>
        <w:pStyle w:val="NormalHanging12a"/>
        <w:widowControl/>
      </w:pPr>
      <w:r w:rsidRPr="00C463B6">
        <w:lastRenderedPageBreak/>
        <w:t>2.</w:t>
      </w:r>
      <w:r w:rsidRPr="00C463B6">
        <w:tab/>
        <w:t>Insta a Irán a que libere inmediatamente a todas las personas detenidas por razón de su religión o creencias y la defensa de los derechos humanos, así como por blasfemia relacionada con la fe o cargos de seguridad nacional, y a que ponga fin al acoso y la violencia contra las comunidades religiosas;</w:t>
      </w:r>
    </w:p>
    <w:p w14:paraId="0F6D1034" w14:textId="77777777" w:rsidR="00015897" w:rsidRPr="00C463B6" w:rsidRDefault="00015897" w:rsidP="00015897">
      <w:pPr>
        <w:pStyle w:val="NormalHanging12a"/>
        <w:widowControl/>
      </w:pPr>
      <w:r w:rsidRPr="00C463B6">
        <w:t>3.</w:t>
      </w:r>
      <w:r w:rsidRPr="00C463B6">
        <w:tab/>
        <w:t>Expresa su profunda preocupación por los ataques contra mujeres bahaíes, que se enfrentan a la persecución religiosa y por motivos de género y representan dos tercios de los bahaíes encarcelados;</w:t>
      </w:r>
    </w:p>
    <w:p w14:paraId="66136631" w14:textId="77777777" w:rsidR="00015897" w:rsidRPr="00C463B6" w:rsidRDefault="00015897" w:rsidP="00015897">
      <w:pPr>
        <w:pStyle w:val="NormalHanging12a"/>
        <w:widowControl/>
      </w:pPr>
      <w:r w:rsidRPr="00C463B6">
        <w:t>4.</w:t>
      </w:r>
      <w:r w:rsidRPr="00C463B6">
        <w:tab/>
        <w:t xml:space="preserve">Pide a las autoridades iraníes que revoquen las condenas de </w:t>
      </w:r>
      <w:proofErr w:type="spellStart"/>
      <w:r w:rsidRPr="00C463B6">
        <w:t>Fariba</w:t>
      </w:r>
      <w:proofErr w:type="spellEnd"/>
      <w:r w:rsidRPr="00C463B6">
        <w:t xml:space="preserve"> </w:t>
      </w:r>
      <w:proofErr w:type="spellStart"/>
      <w:r w:rsidRPr="00C463B6">
        <w:t>Kamalabadi</w:t>
      </w:r>
      <w:proofErr w:type="spellEnd"/>
      <w:r w:rsidRPr="00C463B6">
        <w:t xml:space="preserve">, Roya </w:t>
      </w:r>
      <w:proofErr w:type="spellStart"/>
      <w:r w:rsidRPr="00C463B6">
        <w:t>Sabet</w:t>
      </w:r>
      <w:proofErr w:type="spellEnd"/>
      <w:r w:rsidRPr="00C463B6">
        <w:t xml:space="preserve">, Anisa </w:t>
      </w:r>
      <w:proofErr w:type="spellStart"/>
      <w:r w:rsidRPr="00C463B6">
        <w:t>Fanaian</w:t>
      </w:r>
      <w:proofErr w:type="spellEnd"/>
      <w:r w:rsidRPr="00C463B6">
        <w:t xml:space="preserve">, Leila </w:t>
      </w:r>
      <w:proofErr w:type="spellStart"/>
      <w:r w:rsidRPr="00C463B6">
        <w:t>Adalati</w:t>
      </w:r>
      <w:proofErr w:type="spellEnd"/>
      <w:r w:rsidRPr="00C463B6">
        <w:t xml:space="preserve">, </w:t>
      </w:r>
      <w:proofErr w:type="spellStart"/>
      <w:r w:rsidRPr="00C463B6">
        <w:t>Nahid</w:t>
      </w:r>
      <w:proofErr w:type="spellEnd"/>
      <w:r w:rsidRPr="00C463B6">
        <w:t xml:space="preserve"> </w:t>
      </w:r>
      <w:proofErr w:type="spellStart"/>
      <w:r w:rsidRPr="00C463B6">
        <w:t>Behrouzi</w:t>
      </w:r>
      <w:proofErr w:type="spellEnd"/>
      <w:r w:rsidRPr="00C463B6">
        <w:t xml:space="preserve">, </w:t>
      </w:r>
      <w:proofErr w:type="spellStart"/>
      <w:r w:rsidRPr="00C463B6">
        <w:t>Mahvash</w:t>
      </w:r>
      <w:proofErr w:type="spellEnd"/>
      <w:r w:rsidRPr="00C463B6">
        <w:t xml:space="preserve"> </w:t>
      </w:r>
      <w:proofErr w:type="spellStart"/>
      <w:r w:rsidRPr="00C463B6">
        <w:t>Sabet</w:t>
      </w:r>
      <w:proofErr w:type="spellEnd"/>
      <w:r w:rsidRPr="00C463B6">
        <w:t xml:space="preserve"> y de las seis mujeres bahaíes de </w:t>
      </w:r>
      <w:proofErr w:type="spellStart"/>
      <w:r w:rsidRPr="00C463B6">
        <w:t>Hamadán</w:t>
      </w:r>
      <w:proofErr w:type="spellEnd"/>
      <w:r w:rsidRPr="00C463B6">
        <w:t xml:space="preserve">, </w:t>
      </w:r>
      <w:proofErr w:type="spellStart"/>
      <w:r w:rsidRPr="00C463B6">
        <w:t>Zarrindojt</w:t>
      </w:r>
      <w:proofErr w:type="spellEnd"/>
      <w:r w:rsidRPr="00C463B6">
        <w:t xml:space="preserve"> </w:t>
      </w:r>
      <w:proofErr w:type="spellStart"/>
      <w:r w:rsidRPr="00C463B6">
        <w:t>Ahadzadeh</w:t>
      </w:r>
      <w:proofErr w:type="spellEnd"/>
      <w:r w:rsidRPr="00C463B6">
        <w:t xml:space="preserve">, </w:t>
      </w:r>
      <w:proofErr w:type="spellStart"/>
      <w:r w:rsidRPr="00C463B6">
        <w:t>Farideh</w:t>
      </w:r>
      <w:proofErr w:type="spellEnd"/>
      <w:r w:rsidRPr="00C463B6">
        <w:t xml:space="preserve"> </w:t>
      </w:r>
      <w:proofErr w:type="spellStart"/>
      <w:r w:rsidRPr="00C463B6">
        <w:t>Ayyoubi</w:t>
      </w:r>
      <w:proofErr w:type="spellEnd"/>
      <w:r w:rsidRPr="00C463B6">
        <w:t xml:space="preserve">, </w:t>
      </w:r>
      <w:proofErr w:type="spellStart"/>
      <w:r w:rsidRPr="00C463B6">
        <w:t>Noura</w:t>
      </w:r>
      <w:proofErr w:type="spellEnd"/>
      <w:r w:rsidRPr="00C463B6">
        <w:t xml:space="preserve"> </w:t>
      </w:r>
      <w:proofErr w:type="spellStart"/>
      <w:r w:rsidRPr="00C463B6">
        <w:t>Ayyoubi</w:t>
      </w:r>
      <w:proofErr w:type="spellEnd"/>
      <w:r w:rsidRPr="00C463B6">
        <w:t xml:space="preserve">, Neda </w:t>
      </w:r>
      <w:proofErr w:type="spellStart"/>
      <w:r w:rsidRPr="00C463B6">
        <w:t>Mohebi</w:t>
      </w:r>
      <w:proofErr w:type="spellEnd"/>
      <w:r w:rsidRPr="00C463B6">
        <w:t xml:space="preserve">, </w:t>
      </w:r>
      <w:proofErr w:type="spellStart"/>
      <w:r w:rsidRPr="00C463B6">
        <w:t>Jaleh</w:t>
      </w:r>
      <w:proofErr w:type="spellEnd"/>
      <w:r w:rsidRPr="00C463B6">
        <w:t xml:space="preserve"> </w:t>
      </w:r>
      <w:proofErr w:type="spellStart"/>
      <w:r w:rsidRPr="00C463B6">
        <w:t>Rezaie</w:t>
      </w:r>
      <w:proofErr w:type="spellEnd"/>
      <w:r w:rsidRPr="00C463B6">
        <w:t xml:space="preserve"> y </w:t>
      </w:r>
      <w:proofErr w:type="spellStart"/>
      <w:r w:rsidRPr="00C463B6">
        <w:t>Atefeh</w:t>
      </w:r>
      <w:proofErr w:type="spellEnd"/>
      <w:r w:rsidRPr="00C463B6">
        <w:t xml:space="preserve"> </w:t>
      </w:r>
      <w:proofErr w:type="spellStart"/>
      <w:r w:rsidRPr="00C463B6">
        <w:t>Zahedi</w:t>
      </w:r>
      <w:proofErr w:type="spellEnd"/>
      <w:r w:rsidRPr="00C463B6">
        <w:t xml:space="preserve">; pide la liberación de </w:t>
      </w:r>
      <w:proofErr w:type="spellStart"/>
      <w:r w:rsidRPr="00C463B6">
        <w:t>Afshin</w:t>
      </w:r>
      <w:proofErr w:type="spellEnd"/>
      <w:r w:rsidRPr="00C463B6">
        <w:t xml:space="preserve"> </w:t>
      </w:r>
      <w:proofErr w:type="spellStart"/>
      <w:r w:rsidRPr="00C463B6">
        <w:t>Heyratian</w:t>
      </w:r>
      <w:proofErr w:type="spellEnd"/>
      <w:r w:rsidRPr="00C463B6">
        <w:t xml:space="preserve"> y </w:t>
      </w:r>
      <w:proofErr w:type="spellStart"/>
      <w:r w:rsidRPr="00C463B6">
        <w:t>Farhad</w:t>
      </w:r>
      <w:proofErr w:type="spellEnd"/>
      <w:r w:rsidRPr="00C463B6">
        <w:t xml:space="preserve"> </w:t>
      </w:r>
      <w:proofErr w:type="spellStart"/>
      <w:r w:rsidRPr="00C463B6">
        <w:t>Fahandej</w:t>
      </w:r>
      <w:proofErr w:type="spellEnd"/>
      <w:r w:rsidRPr="00C463B6">
        <w:t>;</w:t>
      </w:r>
    </w:p>
    <w:p w14:paraId="114454B3" w14:textId="77777777" w:rsidR="00015897" w:rsidRPr="00C463B6" w:rsidRDefault="00015897" w:rsidP="00015897">
      <w:pPr>
        <w:pStyle w:val="NormalHanging12a"/>
        <w:widowControl/>
      </w:pPr>
      <w:r w:rsidRPr="00C463B6">
        <w:t>5.</w:t>
      </w:r>
      <w:r w:rsidRPr="00C463B6">
        <w:tab/>
        <w:t>Condena firmemente el aumento de las ejecuciones en Irán; reitera su firme oposición a la pena de muerte e insta a Irán a que ponga fin a su uso como instrumento de represión política y religiosa;</w:t>
      </w:r>
    </w:p>
    <w:p w14:paraId="057203EA" w14:textId="77777777" w:rsidR="00015897" w:rsidRPr="00C463B6" w:rsidRDefault="00015897" w:rsidP="00015897">
      <w:pPr>
        <w:pStyle w:val="NormalHanging12a"/>
        <w:widowControl/>
      </w:pPr>
      <w:r w:rsidRPr="00C463B6">
        <w:t>6.</w:t>
      </w:r>
      <w:r w:rsidRPr="00C463B6">
        <w:tab/>
        <w:t>Condena enérgicamente la profanación, destrucción y confiscación de los cementerios bahaíes y la obstrucción de los ritos funerarios;</w:t>
      </w:r>
    </w:p>
    <w:p w14:paraId="020CD3EB" w14:textId="77777777" w:rsidR="00015897" w:rsidRPr="00C463B6" w:rsidRDefault="00015897" w:rsidP="00015897">
      <w:pPr>
        <w:pStyle w:val="NormalHanging12a"/>
        <w:widowControl/>
      </w:pPr>
      <w:r w:rsidRPr="00C463B6">
        <w:t>7.</w:t>
      </w:r>
      <w:r w:rsidRPr="00C463B6">
        <w:tab/>
        <w:t>Insta a Irán a que derogue el memorando de 1991 y permita el acceso de los bahaíes a la educación, el empleo y a los servicios básicos, y a que ponga fin a las confiscaciones de bienes, devuelva todos los activos incautados y ofrezca recursos jurídicos e indemnizaciones a las víctimas;</w:t>
      </w:r>
    </w:p>
    <w:p w14:paraId="412AA2C8" w14:textId="77777777" w:rsidR="00015897" w:rsidRPr="00C463B6" w:rsidRDefault="00015897" w:rsidP="00015897">
      <w:pPr>
        <w:pStyle w:val="NormalHanging12a"/>
        <w:widowControl/>
      </w:pPr>
      <w:r w:rsidRPr="00C463B6">
        <w:t>8.</w:t>
      </w:r>
      <w:r w:rsidRPr="00C463B6">
        <w:tab/>
        <w:t>Pide a la Unión y a los Estados miembros que, en todo diálogo con Irán, planteen el deterioro de la situación de los derechos humanos en Irán, en particular las violaciones de la libertad religiosa, y que impongan sanciones a los jueces, fiscales y agentes de inteligencia iraníes que persigan a los bahaíes;</w:t>
      </w:r>
    </w:p>
    <w:p w14:paraId="1BB3A648" w14:textId="77777777" w:rsidR="00015897" w:rsidRPr="00C463B6" w:rsidRDefault="00015897" w:rsidP="00015897">
      <w:pPr>
        <w:pStyle w:val="NormalHanging12a"/>
        <w:widowControl/>
      </w:pPr>
      <w:r w:rsidRPr="00C463B6">
        <w:t>9.</w:t>
      </w:r>
      <w:r w:rsidRPr="00C463B6">
        <w:tab/>
        <w:t>Reitera su petición al Consejo para que designe al Cuerpo de los Guardianes de la Revolución Islámica como organización terrorista y siga identificando y sancionando a los funcionarios iraníes responsables de violaciones de los derechos humanos;</w:t>
      </w:r>
    </w:p>
    <w:p w14:paraId="744A5349" w14:textId="13764640" w:rsidR="00E365E1" w:rsidRPr="00C463B6" w:rsidRDefault="00015897" w:rsidP="00FB6419">
      <w:pPr>
        <w:pStyle w:val="NormalHanging12a"/>
        <w:widowControl/>
      </w:pPr>
      <w:r w:rsidRPr="00C463B6">
        <w:t>10.</w:t>
      </w:r>
      <w:r w:rsidRPr="00C463B6">
        <w:tab/>
        <w:t xml:space="preserve">Encarga a su presidenta que transmita la presente Resolución al Consejo, a la Comisión, a la VP/AR, a los Gobiernos y Parlamentos de los Estados miembros, a la Asamblea Consultiva Islámica, a la Oficina del </w:t>
      </w:r>
      <w:proofErr w:type="gramStart"/>
      <w:r w:rsidRPr="00C463B6">
        <w:t>Presidente</w:t>
      </w:r>
      <w:proofErr w:type="gramEnd"/>
      <w:r w:rsidRPr="00C463B6">
        <w:t xml:space="preserve"> y a la Oficina del Líder Supremo de la República Islámica de Irán.</w:t>
      </w:r>
    </w:p>
    <w:sectPr w:rsidR="00E365E1" w:rsidRPr="00C463B6" w:rsidSect="00F42C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1458D" w14:textId="77777777" w:rsidR="00031740" w:rsidRPr="00F42C8E" w:rsidRDefault="00031740">
      <w:r w:rsidRPr="00F42C8E">
        <w:separator/>
      </w:r>
    </w:p>
  </w:endnote>
  <w:endnote w:type="continuationSeparator" w:id="0">
    <w:p w14:paraId="4C22B5A0" w14:textId="77777777" w:rsidR="00031740" w:rsidRPr="00F42C8E" w:rsidRDefault="00031740">
      <w:r w:rsidRPr="00F42C8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DC718" w14:textId="77777777" w:rsidR="00064002" w:rsidRPr="00F42C8E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744DF" w14:textId="77777777" w:rsidR="00064002" w:rsidRPr="00F42C8E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9EAA0" w14:textId="77777777" w:rsidR="00064002" w:rsidRPr="00F42C8E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E3747" w14:textId="77777777" w:rsidR="00031740" w:rsidRPr="00F42C8E" w:rsidRDefault="00031740">
      <w:r w:rsidRPr="00F42C8E">
        <w:separator/>
      </w:r>
    </w:p>
  </w:footnote>
  <w:footnote w:type="continuationSeparator" w:id="0">
    <w:p w14:paraId="012E714E" w14:textId="77777777" w:rsidR="00031740" w:rsidRPr="00F42C8E" w:rsidRDefault="00031740">
      <w:r w:rsidRPr="00F42C8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54261" w14:textId="77777777" w:rsidR="00064002" w:rsidRPr="00F42C8E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E084" w14:textId="77777777" w:rsidR="00064002" w:rsidRPr="00F42C8E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1BD45" w14:textId="77777777" w:rsidR="00064002" w:rsidRPr="00F42C8E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038814876">
    <w:abstractNumId w:val="9"/>
  </w:num>
  <w:num w:numId="2" w16cid:durableId="634720692">
    <w:abstractNumId w:val="9"/>
  </w:num>
  <w:num w:numId="3" w16cid:durableId="1381630812">
    <w:abstractNumId w:val="7"/>
  </w:num>
  <w:num w:numId="4" w16cid:durableId="1117529955">
    <w:abstractNumId w:val="7"/>
  </w:num>
  <w:num w:numId="5" w16cid:durableId="2105614694">
    <w:abstractNumId w:val="6"/>
  </w:num>
  <w:num w:numId="6" w16cid:durableId="857308759">
    <w:abstractNumId w:val="6"/>
  </w:num>
  <w:num w:numId="7" w16cid:durableId="1259870121">
    <w:abstractNumId w:val="5"/>
  </w:num>
  <w:num w:numId="8" w16cid:durableId="684132044">
    <w:abstractNumId w:val="5"/>
  </w:num>
  <w:num w:numId="9" w16cid:durableId="1108231449">
    <w:abstractNumId w:val="4"/>
  </w:num>
  <w:num w:numId="10" w16cid:durableId="1000041385">
    <w:abstractNumId w:val="4"/>
  </w:num>
  <w:num w:numId="11" w16cid:durableId="1211265143">
    <w:abstractNumId w:val="8"/>
  </w:num>
  <w:num w:numId="12" w16cid:durableId="1799297276">
    <w:abstractNumId w:val="8"/>
  </w:num>
  <w:num w:numId="13" w16cid:durableId="1877934163">
    <w:abstractNumId w:val="3"/>
  </w:num>
  <w:num w:numId="14" w16cid:durableId="652104821">
    <w:abstractNumId w:val="3"/>
  </w:num>
  <w:num w:numId="15" w16cid:durableId="898446139">
    <w:abstractNumId w:val="2"/>
  </w:num>
  <w:num w:numId="16" w16cid:durableId="1844197284">
    <w:abstractNumId w:val="2"/>
  </w:num>
  <w:num w:numId="17" w16cid:durableId="1040517200">
    <w:abstractNumId w:val="1"/>
  </w:num>
  <w:num w:numId="18" w16cid:durableId="1592618601">
    <w:abstractNumId w:val="1"/>
  </w:num>
  <w:num w:numId="19" w16cid:durableId="1067066661">
    <w:abstractNumId w:val="0"/>
  </w:num>
  <w:num w:numId="20" w16cid:durableId="1518152882">
    <w:abstractNumId w:val="0"/>
  </w:num>
  <w:num w:numId="21" w16cid:durableId="125975959">
    <w:abstractNumId w:val="9"/>
  </w:num>
  <w:num w:numId="22" w16cid:durableId="1486967627">
    <w:abstractNumId w:val="7"/>
  </w:num>
  <w:num w:numId="23" w16cid:durableId="50203262">
    <w:abstractNumId w:val="6"/>
  </w:num>
  <w:num w:numId="24" w16cid:durableId="1380204452">
    <w:abstractNumId w:val="5"/>
  </w:num>
  <w:num w:numId="25" w16cid:durableId="10449415">
    <w:abstractNumId w:val="4"/>
  </w:num>
  <w:num w:numId="26" w16cid:durableId="284655085">
    <w:abstractNumId w:val="8"/>
  </w:num>
  <w:num w:numId="27" w16cid:durableId="1568299462">
    <w:abstractNumId w:val="3"/>
  </w:num>
  <w:num w:numId="28" w16cid:durableId="1910190575">
    <w:abstractNumId w:val="2"/>
  </w:num>
  <w:num w:numId="29" w16cid:durableId="374424979">
    <w:abstractNumId w:val="1"/>
  </w:num>
  <w:num w:numId="30" w16cid:durableId="1898130386">
    <w:abstractNumId w:val="0"/>
  </w:num>
  <w:num w:numId="31" w16cid:durableId="1481463843">
    <w:abstractNumId w:val="9"/>
  </w:num>
  <w:num w:numId="32" w16cid:durableId="281112068">
    <w:abstractNumId w:val="7"/>
  </w:num>
  <w:num w:numId="33" w16cid:durableId="1171603931">
    <w:abstractNumId w:val="6"/>
  </w:num>
  <w:num w:numId="34" w16cid:durableId="1089041260">
    <w:abstractNumId w:val="5"/>
  </w:num>
  <w:num w:numId="35" w16cid:durableId="1009767">
    <w:abstractNumId w:val="4"/>
  </w:num>
  <w:num w:numId="36" w16cid:durableId="453136554">
    <w:abstractNumId w:val="8"/>
  </w:num>
  <w:num w:numId="37" w16cid:durableId="1847017676">
    <w:abstractNumId w:val="3"/>
  </w:num>
  <w:num w:numId="38" w16cid:durableId="1647317720">
    <w:abstractNumId w:val="2"/>
  </w:num>
  <w:num w:numId="39" w16cid:durableId="951131561">
    <w:abstractNumId w:val="1"/>
  </w:num>
  <w:num w:numId="40" w16cid:durableId="1191262340">
    <w:abstractNumId w:val="0"/>
  </w:num>
  <w:num w:numId="41" w16cid:durableId="1308821488">
    <w:abstractNumId w:val="10"/>
  </w:num>
  <w:num w:numId="42" w16cid:durableId="19281298">
    <w:abstractNumId w:val="10"/>
  </w:num>
  <w:num w:numId="43" w16cid:durableId="293219002">
    <w:abstractNumId w:val="10"/>
  </w:num>
  <w:num w:numId="44" w16cid:durableId="19871209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B10-0528, 0529, 0531, 0535 y 0541/2025"/>
    <w:docVar w:name="dvlangue" w:val="ES"/>
    <w:docVar w:name="dvnumam" w:val="0"/>
    <w:docVar w:name="dvpe" w:val="779.001"/>
    <w:docVar w:name="dvtitre" w:val="Resolución del Parlamento Europeo, de 27 de noviembre de 2025, sobre la escalada de la represión contra los bahaíes en Irán(2025/2987(RSP))"/>
  </w:docVars>
  <w:rsids>
    <w:rsidRoot w:val="00031740"/>
    <w:rsid w:val="00002272"/>
    <w:rsid w:val="00015897"/>
    <w:rsid w:val="00031740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43016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10F1A"/>
    <w:rsid w:val="00C23CD4"/>
    <w:rsid w:val="00C463B6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42C8E"/>
    <w:rsid w:val="00F5134D"/>
    <w:rsid w:val="00F74202"/>
    <w:rsid w:val="00F87713"/>
    <w:rsid w:val="00FB4360"/>
    <w:rsid w:val="00FB6419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6DFBA"/>
  <w15:chartTrackingRefBased/>
  <w15:docId w15:val="{704D522B-785F-4CEB-B712-91732D0F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es-ES_tradnl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015897"/>
    <w:pPr>
      <w:spacing w:after="240"/>
      <w:ind w:left="567" w:hanging="567"/>
    </w:pPr>
  </w:style>
  <w:style w:type="paragraph" w:customStyle="1" w:styleId="EPComma">
    <w:name w:val="EPComma"/>
    <w:basedOn w:val="Normal"/>
    <w:link w:val="EPCommaChar"/>
    <w:rsid w:val="00015897"/>
    <w:pPr>
      <w:spacing w:before="480" w:after="240"/>
    </w:pPr>
  </w:style>
  <w:style w:type="character" w:customStyle="1" w:styleId="NormalHanging12aChar">
    <w:name w:val="NormalHanging12a Char"/>
    <w:basedOn w:val="DefaultParagraphFont"/>
    <w:link w:val="NormalHanging12a"/>
    <w:locked/>
    <w:rsid w:val="00015897"/>
    <w:rPr>
      <w:sz w:val="24"/>
      <w:lang w:val="es-ES_tradnl"/>
    </w:rPr>
  </w:style>
  <w:style w:type="character" w:customStyle="1" w:styleId="EPCommaChar">
    <w:name w:val="EPComma Char"/>
    <w:basedOn w:val="DefaultParagraphFont"/>
    <w:link w:val="EPComma"/>
    <w:rsid w:val="00015897"/>
    <w:rPr>
      <w:sz w:val="24"/>
      <w:lang w:val="es-ES_tradnl"/>
    </w:rPr>
  </w:style>
  <w:style w:type="paragraph" w:styleId="Revision">
    <w:name w:val="Revision"/>
    <w:hidden/>
    <w:uiPriority w:val="99"/>
    <w:semiHidden/>
    <w:rsid w:val="00FB6419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César Castelló Relfinale</dc:creator>
  <cp:keywords/>
  <cp:lastModifiedBy>CASTELLO MORENO Cesar Augusto</cp:lastModifiedBy>
  <cp:revision>2</cp:revision>
  <cp:lastPrinted>2004-11-19T15:42:00Z</cp:lastPrinted>
  <dcterms:created xsi:type="dcterms:W3CDTF">2025-11-27T12:25:00Z</dcterms:created>
  <dcterms:modified xsi:type="dcterms:W3CDTF">2025-11-27T12:25:00Z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ES</vt:lpwstr>
  </property>
  <property fmtid="{D5CDD505-2E9C-101B-9397-08002B2CF9AE}" pid="3" name="&lt;FdR&gt;">
    <vt:lpwstr>B10-0528, 0529, 0531, 0535 y 0541/2025</vt:lpwstr>
  </property>
  <property fmtid="{D5CDD505-2E9C-101B-9397-08002B2CF9AE}" pid="4" name="&lt;Type&gt;">
    <vt:lpwstr>RR</vt:lpwstr>
  </property>
</Properties>
</file>